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1, 2025, Fulcrum announced its financial results for the quarter ended March 31, 2025.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May 1, 2025, announcing financial results for the quarter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4632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2325"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467"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First Quarter 2025</w:t>
      </w:r>
    </w:p>
    <w:p>
      <w:pPr>
        <w:spacing w:after="0" w:line="159" w:lineRule="exact"/>
        <w:rPr>
          <w:sz w:val="20"/>
          <w:szCs w:val="20"/>
          <w:color w:val="auto"/>
        </w:rPr>
      </w:pPr>
    </w:p>
    <w:p>
      <w:pPr>
        <w:ind w:left="240" w:hanging="228"/>
        <w:spacing w:after="0"/>
        <w:tabs>
          <w:tab w:leader="none" w:pos="2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Enrollment complete in the 12 mg dose cohort (n=16) of the Phase 1b PIONEER trial of pociredir in sickle cell disease (SCD); initiated the 20 mg dose</w:t>
      </w:r>
    </w:p>
    <w:p>
      <w:pPr>
        <w:spacing w:after="0" w:line="29" w:lineRule="exact"/>
        <w:rPr>
          <w:rFonts w:ascii="Times New Roman" w:cs="Times New Roman" w:eastAsia="Times New Roman" w:hAnsi="Times New Roman"/>
          <w:sz w:val="18"/>
          <w:szCs w:val="18"/>
          <w:i w:val="1"/>
          <w:iCs w:val="1"/>
          <w:color w:val="auto"/>
        </w:rPr>
      </w:pPr>
    </w:p>
    <w:p>
      <w:pPr>
        <w:ind w:left="52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cohort ―</w:t>
      </w:r>
    </w:p>
    <w:p>
      <w:pPr>
        <w:spacing w:after="0" w:line="204" w:lineRule="exact"/>
        <w:rPr>
          <w:rFonts w:ascii="Times New Roman" w:cs="Times New Roman" w:eastAsia="Times New Roman" w:hAnsi="Times New Roman"/>
          <w:sz w:val="18"/>
          <w:szCs w:val="18"/>
          <w:i w:val="1"/>
          <w:iCs w:val="1"/>
          <w:color w:val="auto"/>
        </w:rPr>
      </w:pPr>
    </w:p>
    <w:p>
      <w:pPr>
        <w:ind w:left="1120" w:hanging="218"/>
        <w:spacing w:after="0"/>
        <w:tabs>
          <w:tab w:leader="none" w:pos="112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provide clinical data from the 12 mg dose cohort in early Q3 2025 and the 20 mg dose cohort by the end of 2025 ―</w:t>
      </w:r>
    </w:p>
    <w:p>
      <w:pPr>
        <w:spacing w:after="0" w:line="252" w:lineRule="exact"/>
        <w:rPr>
          <w:rFonts w:ascii="Times New Roman" w:cs="Times New Roman" w:eastAsia="Times New Roman" w:hAnsi="Times New Roman"/>
          <w:sz w:val="18"/>
          <w:szCs w:val="18"/>
          <w:i w:val="1"/>
          <w:iCs w:val="1"/>
          <w:color w:val="auto"/>
        </w:rPr>
      </w:pPr>
    </w:p>
    <w:p>
      <w:pPr>
        <w:ind w:left="1280" w:hanging="226"/>
        <w:spacing w:after="0"/>
        <w:tabs>
          <w:tab w:leader="none" w:pos="128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Q1 2025 with $226.6 million in cash, cash equivalents, and marketable securities; cash runway into at least 2027 ―</w:t>
      </w:r>
    </w:p>
    <w:p>
      <w:pPr>
        <w:spacing w:after="0" w:line="225" w:lineRule="exact"/>
        <w:rPr>
          <w:rFonts w:ascii="Times New Roman" w:cs="Times New Roman" w:eastAsia="Times New Roman" w:hAnsi="Times New Roman"/>
          <w:sz w:val="18"/>
          <w:szCs w:val="18"/>
          <w:i w:val="1"/>
          <w:iCs w:val="1"/>
          <w:color w:val="auto"/>
        </w:rPr>
      </w:pPr>
    </w:p>
    <w:p>
      <w:pPr>
        <w:ind w:left="3360" w:hanging="227"/>
        <w:spacing w:after="0"/>
        <w:tabs>
          <w:tab w:leader="none" w:pos="3360" w:val="left"/>
        </w:tabs>
        <w:numPr>
          <w:ilvl w:val="3"/>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4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May 1, 2025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small molecules to improve the lives of patients with genetically defined rare diseases, today reported financial results for the first quarter of 2025 and provided a business update.</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pleased with the continued momentum of our lead clinical program, pociredir, in development for the treatment of sickle cell disease, including the recent initiation of the 20 mg dose cohort” said Alex C. Sapir, Fulcrum’s president and chief executive officer. “The level of engagement that we’ve observed in the PIONEER trial is highly encouraging, with 16 patients enrolled in the 12 mg dose cohort and enrollment underway in the 20 mg dose cohort. We look forward to sharing data from the 12 mg dose cohort in early Q3 2025, and from the 20 mg dose cohort by the end of 2025. We believe that pociredir has the potential to increase fetal hemoglobin to levels that could ameliorate SCD symptomology and transform the standard of care with a once daily oral treatment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continues to progress in the Phase 1b PIONEER trial evaluating pociredir in patients with SCD. Enrollment is complete in the 12 mg dose cohort (n=16) with greater than 90% rates of adherence to study drug and no patient discontinuations to date. Based on the recommendation of the data monitoring committee, Fulcrum has initiated the 20 mg dose cohort and plans to share data from the 12 mg dose cohort in early Q3 2025 and from the 20 mg dose cohort by the end of 2025.</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abstracts have been accepted for presentation at the 2025 European Hematology Association (EHA) Congress in Milan, Italy, taking place on June 12-15, 2025. The abstracts, which will be published online on May 15, 2025, highlight preclinical target engagement and gene expression reversibility data of pociredir and clinical data from our previously completed Phase 1 healthy volunteer study.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continues to advance its program for the potential treatment of inherited aplastic anemias, such as Diamond-Blackfan anemia (DBA), Shwachman-Diamond syndrome, and Fanconi anemia, and plans to submit an investigational new drug application (IND) for DBA during the fourth quarter of 2025.</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Dae Gon Ha, Ph.D., as senior vice president, head of strategy and business development effective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Financial Results</w:t>
      </w:r>
    </w:p>
    <w:p>
      <w:pPr>
        <w:spacing w:after="0" w:line="117" w:lineRule="exact"/>
        <w:rPr>
          <w:sz w:val="20"/>
          <w:szCs w:val="20"/>
          <w:color w:val="auto"/>
        </w:rPr>
      </w:pPr>
    </w:p>
    <w:p>
      <w:pPr>
        <w:ind w:left="1020" w:right="6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2025, cash, cash equivalents, and marketable securities were $226.6 million, as compared to $241.0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2024. The decrease of $14.4 million is primarily due to cash used to fund operating activities in 2025.</w:t>
      </w:r>
    </w:p>
    <w:p>
      <w:pPr>
        <w:spacing w:after="0" w:line="46" w:lineRule="exact"/>
        <w:rPr>
          <w:rFonts w:ascii="Times New Roman" w:cs="Times New Roman" w:eastAsia="Times New Roman" w:hAnsi="Times New Roman"/>
          <w:sz w:val="18"/>
          <w:szCs w:val="18"/>
          <w:color w:val="auto"/>
        </w:rPr>
      </w:pPr>
    </w:p>
    <w:p>
      <w:pPr>
        <w:ind w:left="1020" w:right="10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$13.4 million for the three months ended March 31, 2025, as compared to $19.8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March 31, 2024. The decrease of $6.4 million was primarily due to decreased costs associated with the discontinuation of our losmapimod program and the reimbursement from the global development cost sharing under the collaboration with Sanofi, partially offset by increased costs related to the advancement of the Phase 1b PIONEER trial of pociredir.</w:t>
      </w:r>
    </w:p>
    <w:p>
      <w:pPr>
        <w:spacing w:after="0" w:line="68" w:lineRule="exact"/>
        <w:rPr>
          <w:rFonts w:ascii="Times New Roman" w:cs="Times New Roman" w:eastAsia="Times New Roman" w:hAnsi="Times New Roman"/>
          <w:sz w:val="18"/>
          <w:szCs w:val="18"/>
          <w:color w:val="auto"/>
        </w:rPr>
      </w:pPr>
    </w:p>
    <w:p>
      <w:pPr>
        <w:jc w:val="both"/>
        <w:ind w:left="1020" w:right="1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$7.0 million for the three months ended March 31, 2025, as compared to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three months ended March 31, 2024. The decrease of $3.1 million was primarily due to decreased employee compensation costs as a result of the reduction in workforce implemented in the third quarter of 2024.</w:t>
      </w:r>
    </w:p>
    <w:p>
      <w:pPr>
        <w:spacing w:after="0" w:line="62" w:lineRule="exact"/>
        <w:rPr>
          <w:rFonts w:ascii="Times New Roman" w:cs="Times New Roman" w:eastAsia="Times New Roman" w:hAnsi="Times New Roman"/>
          <w:sz w:val="18"/>
          <w:szCs w:val="18"/>
          <w:color w:val="auto"/>
        </w:rPr>
      </w:pPr>
    </w:p>
    <w:p>
      <w:pPr>
        <w:ind w:left="1020" w:right="30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$17.7 million for the three months ended March 31, 2025, as compared to a net loss of $26.9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Fulcrum continues to expect that its current cash, cash equivalents, and marketable securities will be sufficient to fund its operating requirements into at least 2027.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Fulcrum Therapeutics, Inc. will host a conference call and webcast today at 8:00 a.m. ET to review the first quarter 2025 financial results and recent business highlights. Individuals may register for the conference call by clicking the link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Once registered, participants will receive dial-in details and unique PIN which will allow them to access the call. An audio webcast will be accessible through the Investor Relations section of the company’s website at </w:t>
      </w:r>
      <w:r>
        <w:rPr>
          <w:rFonts w:ascii="Times New Roman" w:cs="Times New Roman" w:eastAsia="Times New Roman" w:hAnsi="Times New Roman"/>
          <w:sz w:val="18"/>
          <w:szCs w:val="18"/>
          <w:u w:val="single" w:color="auto"/>
          <w:color w:val="0000FF"/>
        </w:rPr>
        <w:t>www.fulcrumtx.com</w:t>
      </w:r>
      <w:r>
        <w:rPr>
          <w:rFonts w:ascii="Times New Roman" w:cs="Times New Roman" w:eastAsia="Times New Roman" w:hAnsi="Times New Roman"/>
          <w:sz w:val="18"/>
          <w:szCs w:val="18"/>
          <w:color w:val="auto"/>
        </w:rPr>
        <w:t xml:space="preserve"> or by clicking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Following the live webcast, an archived replay will also be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fetal hemoglobin (HbF) for the treatment of sickle cell disease (SCD). Fulcrum uses proprietary technology to identify drug targets that can modulate gene expression to treat the known root cause of gene mis-expression. For more information, visit </w:t>
      </w:r>
      <w:r>
        <w:rPr>
          <w:rFonts w:ascii="Times New Roman" w:cs="Times New Roman" w:eastAsia="Times New Roman" w:hAnsi="Times New Roman"/>
          <w:sz w:val="18"/>
          <w:szCs w:val="18"/>
          <w:u w:val="single" w:color="auto"/>
          <w:color w:val="0000FF"/>
        </w:rPr>
        <w:t>www.fulcrumtx.com</w:t>
      </w:r>
      <w:r>
        <w:rPr>
          <w:rFonts w:ascii="Times New Roman" w:cs="Times New Roman" w:eastAsia="Times New Roman" w:hAnsi="Times New Roman"/>
          <w:sz w:val="18"/>
          <w:szCs w:val="18"/>
          <w:color w:val="auto"/>
        </w:rPr>
        <w:t xml:space="preserve"> and follow us on Twitter/X (@FulcrumTx) and LinkedIn.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FDA Fast Track designation and Orphan Drug Designation for the treatment of SCD. To learn more about these trials please visit </w:t>
      </w:r>
      <w:r>
        <w:rPr>
          <w:rFonts w:ascii="Times New Roman" w:cs="Times New Roman" w:eastAsia="Times New Roman" w:hAnsi="Times New Roman"/>
          <w:sz w:val="18"/>
          <w:szCs w:val="18"/>
          <w:u w:val="single" w:color="auto"/>
          <w:color w:val="0000FF"/>
        </w:rPr>
        <w:t>ClinicalTrials.gov</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Phase 1b PIONEER clinical trial of pociredir, including enrollment progress, number of patients per cohort and planned data announcement for such trial; the potential of pociredir to increase HbF to levels that could ameliorate symptoms of SCD and transform the standard of care; Fulcrum’s ability to progress its early stage development programs and planned IND filings related thereto; and its projected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realize the anticipated benefits of the workforce reduction and strategic realignment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226,603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241,021</w:t>
            </w: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238,879</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242,649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260,718</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228,486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243,034</w:t>
            </w: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00"/>
        </w:trPr>
        <w:tc>
          <w:tcPr>
            <w:tcW w:w="6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00" w:type="dxa"/>
            <w:vAlign w:val="bottom"/>
          </w:tcPr>
          <w:p>
            <w:pPr>
              <w:spacing w:after="0"/>
              <w:rPr>
                <w:sz w:val="18"/>
                <w:szCs w:val="18"/>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(29,834)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8"/>
                <w:szCs w:val="18"/>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(17,655)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(26,870)</w:t>
            </w: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520" w:type="dxa"/>
            <w:vAlign w:val="bottom"/>
          </w:tcPr>
          <w:p>
            <w:pPr>
              <w:spacing w:after="0"/>
              <w:rPr>
                <w:sz w:val="17"/>
                <w:szCs w:val="17"/>
                <w:color w:val="auto"/>
              </w:rPr>
            </w:pPr>
          </w:p>
        </w:tc>
        <w:tc>
          <w:tcPr>
            <w:tcW w:w="960" w:type="dxa"/>
            <w:vAlign w:val="bottom"/>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(0.43)</w:t>
            </w:r>
          </w:p>
        </w:tc>
      </w:tr>
      <w:tr>
        <w:trPr>
          <w:trHeight w:val="20"/>
        </w:trPr>
        <w:tc>
          <w:tcPr>
            <w:tcW w:w="6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62,479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61,984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2025-05-01T06:15:03Z</dcterms:created>
  <dcterms:modified xsi:type="dcterms:W3CDTF">2025-05-01T06:15:03Z</dcterms:modified>
</cp:coreProperties>
</file>