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3660" w:right="1720" w:hanging="3652"/>
        <w:spacing w:after="0" w:line="375" w:lineRule="auto"/>
        <w:tabs>
          <w:tab w:leader="none" w:pos="37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8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3690620</wp:posOffset>
            </wp:positionH>
            <wp:positionV relativeFrom="paragraph">
              <wp:posOffset>-5080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001-38978</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tbl>
      <w:tblPr>
        <w:tblLayout w:type="fixed"/>
        <w:tblInd w:w="960" w:type="dxa"/>
        <w:tblCellMar>
          <w:top w:w="0" w:type="dxa"/>
          <w:left w:w="0" w:type="dxa"/>
          <w:bottom w:w="0" w:type="dxa"/>
          <w:right w:w="0" w:type="dxa"/>
        </w:tblCellMar>
      </w:tblPr>
      <w:tr>
        <w:trPr>
          <w:trHeight w:val="238"/>
        </w:trPr>
        <w:tc>
          <w:tcPr>
            <w:tcW w:w="3880" w:type="dxa"/>
            <w:vAlign w:val="bottom"/>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tcPr>
          <w:p>
            <w:pPr>
              <w:jc w:val="right"/>
              <w:ind w:right="597"/>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80"/>
        </w:trPr>
        <w:tc>
          <w:tcPr>
            <w:tcW w:w="3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4700" w:type="dxa"/>
            <w:vAlign w:val="bottom"/>
          </w:tcPr>
          <w:p>
            <w:pPr>
              <w:jc w:val="center"/>
              <w:ind w:left="2417"/>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16"/>
        </w:trPr>
        <w:tc>
          <w:tcPr>
            <w:tcW w:w="388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4700" w:type="dxa"/>
            <w:vAlign w:val="bottom"/>
          </w:tcPr>
          <w:p>
            <w:pPr>
              <w:spacing w:after="0"/>
              <w:rPr>
                <w:sz w:val="18"/>
                <w:szCs w:val="18"/>
                <w:color w:val="auto"/>
              </w:rPr>
            </w:pPr>
          </w:p>
        </w:tc>
      </w:tr>
      <w:tr>
        <w:trPr>
          <w:trHeight w:val="238"/>
        </w:trPr>
        <w:tc>
          <w:tcPr>
            <w:tcW w:w="38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4700" w:type="dxa"/>
            <w:vAlign w:val="bottom"/>
          </w:tcPr>
          <w:p>
            <w:pPr>
              <w:jc w:val="right"/>
              <w:ind w:right="797"/>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3"/>
        </w:trPr>
        <w:tc>
          <w:tcPr>
            <w:tcW w:w="38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700" w:type="dxa"/>
            <w:vAlign w:val="bottom"/>
          </w:tcPr>
          <w:p>
            <w:pPr>
              <w:jc w:val="center"/>
              <w:ind w:left="2397"/>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4"/>
        </w:trPr>
        <w:tc>
          <w:tcPr>
            <w:tcW w:w="3880" w:type="dxa"/>
            <w:vAlign w:val="bottom"/>
          </w:tcPr>
          <w:p>
            <w:pPr>
              <w:spacing w:after="0"/>
              <w:rPr>
                <w:sz w:val="24"/>
                <w:szCs w:val="24"/>
                <w:color w:val="auto"/>
              </w:rPr>
            </w:pPr>
          </w:p>
        </w:tc>
        <w:tc>
          <w:tcPr>
            <w:tcW w:w="4700" w:type="dxa"/>
            <w:vAlign w:val="bottom"/>
          </w:tcPr>
          <w:p>
            <w:pPr>
              <w:jc w:val="right"/>
              <w:ind w:right="3317"/>
              <w:spacing w:after="0"/>
              <w:rPr>
                <w:sz w:val="20"/>
                <w:szCs w:val="20"/>
                <w:color w:val="auto"/>
              </w:rPr>
            </w:pPr>
            <w:r>
              <w:rPr>
                <w:rFonts w:ascii="Times New Roman" w:cs="Times New Roman" w:eastAsia="Times New Roman" w:hAnsi="Times New Roman"/>
                <w:sz w:val="18"/>
                <w:szCs w:val="18"/>
                <w:b w:val="1"/>
                <w:bCs w:val="1"/>
                <w:color w:val="auto"/>
              </w:rPr>
              <w:t>(617) 651-8851</w:t>
            </w:r>
          </w:p>
        </w:tc>
      </w:tr>
    </w:tbl>
    <w:p>
      <w:pPr>
        <w:ind w:left="36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27"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Borders>
              <w:top w:val="single" w:sz="8" w:color="auto"/>
              <w:bottom w:val="single" w:sz="8" w:color="auto"/>
              <w:right w:val="single" w:sz="8" w:color="auto"/>
            </w:tcBorders>
          </w:tcPr>
          <w:p>
            <w:pPr>
              <w:spacing w:after="0"/>
              <w:rPr>
                <w:sz w:val="18"/>
                <w:szCs w:val="18"/>
                <w:color w:val="auto"/>
              </w:rPr>
            </w:pP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Borders>
              <w:top w:val="single" w:sz="8" w:color="auto"/>
              <w:bottom w:val="single" w:sz="8" w:color="auto"/>
              <w:right w:val="single" w:sz="8" w:color="auto"/>
            </w:tcBorders>
          </w:tcPr>
          <w:p>
            <w:pPr>
              <w:spacing w:after="0"/>
              <w:rPr>
                <w:sz w:val="18"/>
                <w:szCs w:val="18"/>
                <w:color w:val="auto"/>
              </w:rPr>
            </w:pP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4"/>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1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FULC</w:t>
            </w:r>
          </w:p>
        </w:tc>
        <w:tc>
          <w:tcPr>
            <w:tcW w:w="100" w:type="dxa"/>
            <w:vAlign w:val="bottom"/>
            <w:tcBorders>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The Nasdaq Global Market</w:t>
            </w:r>
          </w:p>
        </w:tc>
      </w:tr>
    </w:tbl>
    <w:p>
      <w:pPr>
        <w:spacing w:after="0" w:line="100" w:lineRule="exact"/>
        <w:rPr>
          <w:sz w:val="24"/>
          <w:szCs w:val="24"/>
          <w:color w:val="auto"/>
        </w:rPr>
      </w:pPr>
    </w:p>
    <w:p>
      <w:pPr>
        <w:ind w:right="80" w:firstLine="509"/>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196" w:lineRule="exact"/>
        <w:tabs>
          <w:tab w:leader="none" w:pos="4440" w:val="left"/>
          <w:tab w:leader="none" w:pos="5120" w:val="left"/>
        </w:tabs>
        <w:rPr>
          <w:sz w:val="20"/>
          <w:szCs w:val="20"/>
          <w:color w:val="auto"/>
        </w:rPr>
      </w:pPr>
      <w:r>
        <w:rPr>
          <w:rFonts w:ascii="Times New Roman" w:cs="Times New Roman" w:eastAsia="Times New Roman" w:hAnsi="Times New Roman"/>
          <w:sz w:val="17"/>
          <w:szCs w:val="17"/>
          <w:color w:val="auto"/>
        </w:rPr>
        <w:t>for the past 90 days.</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09" w:lineRule="exact"/>
        <w:rPr>
          <w:sz w:val="24"/>
          <w:szCs w:val="24"/>
          <w:color w:val="auto"/>
        </w:rPr>
      </w:pPr>
    </w:p>
    <w:p>
      <w:pPr>
        <w:ind w:right="400" w:firstLine="50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ind w:right="260" w:firstLine="50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8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Accelerated filer</w:t>
            </w:r>
          </w:p>
        </w:tc>
        <w:tc>
          <w:tcPr>
            <w:tcW w:w="3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92"/>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8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91"/>
        </w:trPr>
        <w:tc>
          <w:tcPr>
            <w:tcW w:w="19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Emerging growth company</w:t>
            </w:r>
          </w:p>
        </w:tc>
        <w:tc>
          <w:tcPr>
            <w:tcW w:w="3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89"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7" w:lineRule="exact"/>
        <w:rPr>
          <w:sz w:val="24"/>
          <w:szCs w:val="24"/>
          <w:color w:val="auto"/>
        </w:rPr>
      </w:pPr>
    </w:p>
    <w:p>
      <w:pPr>
        <w:spacing w:after="0" w:line="196" w:lineRule="exact"/>
        <w:tabs>
          <w:tab w:leader="none" w:pos="7960" w:val="left"/>
          <w:tab w:leader="none" w:pos="872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5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November 6, 2024, the registrant had 53,938,661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and include, among other statements, express or implied statements regarding:</w:t>
      </w:r>
    </w:p>
    <w:p>
      <w:pPr>
        <w:spacing w:after="0" w:line="94"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clinical trial of pociredir, including the effects of the revised inclusion and exclusion criteria on our trial of pociredir;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organizational streamlining and realignment of resources, including anticipated savings;</w:t>
      </w:r>
    </w:p>
    <w:p>
      <w:pPr>
        <w:spacing w:after="0" w:line="117" w:lineRule="exact"/>
        <w:rPr>
          <w:rFonts w:ascii="Times New Roman" w:cs="Times New Roman" w:eastAsia="Times New Roman" w:hAnsi="Times New Roman"/>
          <w:sz w:val="18"/>
          <w:szCs w:val="18"/>
          <w:color w:val="auto"/>
        </w:rPr>
      </w:pPr>
    </w:p>
    <w:p>
      <w:pPr>
        <w:ind w:left="900" w:right="5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obtain and maintain regulatory approvals for pociredir and any other product candidates;</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cash equivalents, and marketable securities;</w:t>
      </w:r>
    </w:p>
    <w:p>
      <w:pPr>
        <w:spacing w:after="0" w:line="53" w:lineRule="exact"/>
        <w:rPr>
          <w:rFonts w:ascii="Times New Roman" w:cs="Times New Roman" w:eastAsia="Times New Roman" w:hAnsi="Times New Roman"/>
          <w:sz w:val="18"/>
          <w:szCs w:val="18"/>
          <w:color w:val="auto"/>
        </w:rPr>
      </w:pPr>
    </w:p>
    <w:p>
      <w:pPr>
        <w:ind w:left="900" w:right="22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our research and development programs, including novel therapeutic agents for the potential treatment of inherited aplastic anemias, such as Diamond-Blackfan anemia, or DBA, Shwachman-Diamond syndrome, and Fanconi anemia, and other early discovery programs;</w:t>
      </w:r>
    </w:p>
    <w:p>
      <w:pPr>
        <w:spacing w:after="0" w:line="6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pociredir and any other product candidates, including in combination with other drugs and therapies;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 if our product candidates are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drug target discovery screening programs;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collaboration agreement with MyoKardia, Inc., or MyoKardia, a wholly-owned subsidiary of Bristol-Myers Squibb Company, or under our exclusive global license agreement with CAMP4 Therapeutics Corp., or CAMP4;</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license agreements or obtain additional funding;</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global pandemics or other geopolitical events on our business and operations, including our clinical trials and development plans, as well as our future financial results; and</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or a smaller reporting company as defined under the federal securities laws.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Such forward looking statements are subject to various risks and uncertainties.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and “Management’s Discussion and Analysis of Results of Operations” sections, that we believe could cause actual results or events to differ materially from the forward-looking statements that we make. Our forward-looking statements do not reflect the potential impact of any future acquisitions, mergers, dispositions, collaborations, license agreements, joint ventures or investments we may make or enter into.</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7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Quarterly Report on Form 10-Q. Our principal risks include the following:</w:t>
      </w:r>
    </w:p>
    <w:p>
      <w:pPr>
        <w:spacing w:after="0" w:line="176" w:lineRule="exact"/>
        <w:rPr>
          <w:sz w:val="20"/>
          <w:szCs w:val="20"/>
          <w:color w:val="auto"/>
        </w:rPr>
      </w:pPr>
    </w:p>
    <w:p>
      <w:pPr>
        <w:ind w:left="760" w:right="2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Our net loss was $97.3 million for the year ended December 31, 2023. Our net income was $6.8 million for the nine months ended September 30, 2024, primarily due to the $80.0 million upfront payment under our collaboration and license agreement with Genzyme Corporation, a wholly-owned subsidiary of Sanofi, or Sanofi. We expect to incur losses over the next several years and may never achieve or maintain profitability. As of September 30, 2024, we had an accumulated deficit of $502.8 million.</w:t>
      </w:r>
    </w:p>
    <w:p>
      <w:pPr>
        <w:spacing w:after="0" w:line="179" w:lineRule="exact"/>
        <w:rPr>
          <w:rFonts w:ascii="Times New Roman" w:cs="Times New Roman" w:eastAsia="Times New Roman" w:hAnsi="Times New Roman"/>
          <w:sz w:val="18"/>
          <w:szCs w:val="18"/>
          <w:color w:val="auto"/>
        </w:rPr>
      </w:pPr>
    </w:p>
    <w:p>
      <w:pPr>
        <w:ind w:left="760" w:right="14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 of pociredir and continue research and development and initiate additional clinical trials of, and seek regulatory approval for, pociredir and other product candidates.</w:t>
      </w:r>
    </w:p>
    <w:p>
      <w:pPr>
        <w:spacing w:after="0" w:line="179"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we only have one product candidate in clinical trials. If we are unable to commercialize our product candidates or experience significant delays in doing so, our business will be materially harmed.</w:t>
      </w:r>
    </w:p>
    <w:p>
      <w:pPr>
        <w:spacing w:after="0" w:line="161"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further delays in completing, or ultimately be unable to complete, the development and commercialization of our product candidates.</w:t>
      </w:r>
    </w:p>
    <w:p>
      <w:pPr>
        <w:spacing w:after="0" w:line="175"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limited clinical experience and, in some cases, using new endpoints or methodologies, the U.S. Food and Drug Administration, or FDA, or other regulatory authorities may not consider the endpoints of our clinical trials to predict or provide clinically meaningful results.</w:t>
      </w:r>
    </w:p>
    <w:p>
      <w:pPr>
        <w:spacing w:after="0" w:line="17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or unacceptable side effects are identified during the development of our product candidates, including others’ product candidates in the same class of drugs, we may need to abandon or limit our development of some of our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our discovery approach to build a pipeline of product candidates.</w:t>
      </w:r>
    </w:p>
    <w:p>
      <w:pPr>
        <w:spacing w:after="0" w:line="225"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161" w:lineRule="exact"/>
        <w:rPr>
          <w:rFonts w:ascii="Times New Roman" w:cs="Times New Roman" w:eastAsia="Times New Roman" w:hAnsi="Times New Roman"/>
          <w:sz w:val="18"/>
          <w:szCs w:val="18"/>
          <w:color w:val="auto"/>
        </w:rPr>
      </w:pPr>
    </w:p>
    <w:p>
      <w:pPr>
        <w:ind w:left="760" w:right="34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 w:name="page4"/>
    <w:bookmarkEnd w:id="3"/>
    <w:p>
      <w:pPr>
        <w:ind w:left="380" w:right="500" w:hanging="378"/>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61"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and may in the future enter into, collaborations and license agreements with third parties for the discovery, development or commercialization of product candidates. If our collaborations are not successful or we are not able to develop product candidates that we license-in, we may not be able to capitalize on the market potential of these product candidates and our business could be adversely affected.</w:t>
      </w:r>
    </w:p>
    <w:p>
      <w:pPr>
        <w:spacing w:after="0" w:line="175" w:lineRule="exact"/>
        <w:rPr>
          <w:rFonts w:ascii="Times New Roman" w:cs="Times New Roman" w:eastAsia="Times New Roman" w:hAnsi="Times New Roman"/>
          <w:sz w:val="18"/>
          <w:szCs w:val="18"/>
          <w:color w:val="auto"/>
        </w:rPr>
      </w:pPr>
    </w:p>
    <w:p>
      <w:pPr>
        <w:ind w:left="380" w:right="4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75" w:lineRule="exact"/>
        <w:rPr>
          <w:rFonts w:ascii="Times New Roman" w:cs="Times New Roman" w:eastAsia="Times New Roman" w:hAnsi="Times New Roman"/>
          <w:sz w:val="18"/>
          <w:szCs w:val="18"/>
          <w:color w:val="auto"/>
        </w:rPr>
      </w:pPr>
    </w:p>
    <w:p>
      <w:pPr>
        <w:ind w:left="380" w:right="56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75" w:lineRule="exact"/>
        <w:rPr>
          <w:rFonts w:ascii="Times New Roman" w:cs="Times New Roman" w:eastAsia="Times New Roman" w:hAnsi="Times New Roman"/>
          <w:sz w:val="18"/>
          <w:szCs w:val="18"/>
          <w:color w:val="auto"/>
        </w:rPr>
      </w:pPr>
    </w:p>
    <w:p>
      <w:pPr>
        <w:ind w:left="380" w:right="28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75" w:lineRule="exact"/>
        <w:rPr>
          <w:rFonts w:ascii="Times New Roman" w:cs="Times New Roman" w:eastAsia="Times New Roman" w:hAnsi="Times New Roman"/>
          <w:sz w:val="18"/>
          <w:szCs w:val="18"/>
          <w:color w:val="auto"/>
        </w:rPr>
      </w:pPr>
    </w:p>
    <w:p>
      <w:pPr>
        <w:ind w:left="380" w:right="80" w:hanging="378"/>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was negatively impacted by the COVID-19 pandemic and may in the future be impacted by any future pandemics, as well as other geopolitical events that can impact our clinical trials or the supply chain, such as the Russian invasion of Ukraine or recent hostilities in Israel, Lebanon, and the Gaza Strip. These events may continue to, and any future pandemics may, adversely impact economies worldwide, which could result in adverse effects on our business and operations.</w:t>
      </w:r>
    </w:p>
    <w:p>
      <w:pPr>
        <w:spacing w:after="0" w:line="18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1201" w:right="3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30" w:type="dxa"/>
        <w:tblCellMar>
          <w:top w:w="0" w:type="dxa"/>
          <w:left w:w="0" w:type="dxa"/>
          <w:bottom w:w="0" w:type="dxa"/>
          <w:right w:w="0" w:type="dxa"/>
        </w:tblCellMar>
      </w:tblPr>
      <w:tr>
        <w:trPr>
          <w:trHeight w:val="187"/>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7580" w:type="dxa"/>
            <w:vAlign w:val="bottom"/>
            <w:gridSpan w:val="11"/>
            <w:vMerge w:val="restart"/>
          </w:tcPr>
          <w:p>
            <w:pPr>
              <w:spacing w:after="0"/>
              <w:rPr>
                <w:sz w:val="16"/>
                <w:szCs w:val="16"/>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880" w:type="dxa"/>
            <w:vAlign w:val="bottom"/>
            <w:gridSpan w:val="2"/>
            <w:vMerge w:val="continue"/>
          </w:tcPr>
          <w:p>
            <w:pPr>
              <w:spacing w:after="0"/>
              <w:rPr>
                <w:sz w:val="14"/>
                <w:szCs w:val="14"/>
                <w:color w:val="auto"/>
              </w:rPr>
            </w:pPr>
          </w:p>
        </w:tc>
        <w:tc>
          <w:tcPr>
            <w:tcW w:w="2260" w:type="dxa"/>
            <w:vAlign w:val="bottom"/>
            <w:tcBorders>
              <w:bottom w:val="single" w:sz="8" w:color="0000FF"/>
            </w:tcBorders>
            <w:gridSpan w:val="9"/>
            <w:vMerge w:val="continue"/>
          </w:tcPr>
          <w:p>
            <w:pPr>
              <w:spacing w:after="0"/>
              <w:rPr>
                <w:sz w:val="14"/>
                <w:szCs w:val="14"/>
                <w:color w:val="auto"/>
              </w:rPr>
            </w:pPr>
          </w:p>
        </w:tc>
        <w:tc>
          <w:tcPr>
            <w:tcW w:w="7580" w:type="dxa"/>
            <w:vAlign w:val="bottom"/>
            <w:gridSpan w:val="11"/>
            <w:vMerge w:val="continue"/>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September 30, 2024 and December 31, 2023</w:t>
            </w:r>
          </w:p>
        </w:tc>
        <w:tc>
          <w:tcPr>
            <w:tcW w:w="20" w:type="dxa"/>
            <w:vAlign w:val="bottom"/>
            <w:tcBorders>
              <w:bottom w:val="single" w:sz="8" w:color="0000EE"/>
            </w:tcBorders>
          </w:tcPr>
          <w:p>
            <w:pPr>
              <w:spacing w:after="0"/>
              <w:rPr>
                <w:sz w:val="18"/>
                <w:szCs w:val="18"/>
                <w:color w:val="auto"/>
              </w:rPr>
            </w:pPr>
          </w:p>
        </w:tc>
        <w:tc>
          <w:tcPr>
            <w:tcW w:w="4080" w:type="dxa"/>
            <w:vAlign w:val="bottom"/>
            <w:gridSpan w:val="5"/>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Income for the three and nine months ended September 30, 2024 and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2023</w:t>
            </w:r>
          </w:p>
        </w:tc>
        <w:tc>
          <w:tcPr>
            <w:tcW w:w="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and nine months ended September 30, 2024 and 2023</w:t>
            </w:r>
          </w:p>
        </w:tc>
        <w:tc>
          <w:tcPr>
            <w:tcW w:w="142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2024 and 2023</w:t>
            </w:r>
          </w:p>
        </w:tc>
        <w:tc>
          <w:tcPr>
            <w:tcW w:w="2840" w:type="dxa"/>
            <w:vAlign w:val="bottom"/>
            <w:gridSpan w:val="3"/>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380" w:type="dxa"/>
            <w:vAlign w:val="bottom"/>
            <w:gridSpan w:val="4"/>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480" w:type="dxa"/>
            <w:vAlign w:val="bottom"/>
            <w:gridSpan w:val="7"/>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gridSpan w:val="2"/>
            <w:vMerge w:val="continue"/>
          </w:tcPr>
          <w:p>
            <w:pPr>
              <w:spacing w:after="0"/>
              <w:rPr>
                <w:sz w:val="18"/>
                <w:szCs w:val="18"/>
                <w:color w:val="auto"/>
              </w:rPr>
            </w:pPr>
          </w:p>
        </w:tc>
        <w:tc>
          <w:tcPr>
            <w:tcW w:w="9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18"/>
                <w:szCs w:val="18"/>
                <w:color w:val="auto"/>
              </w:rPr>
            </w:pPr>
          </w:p>
        </w:tc>
        <w:tc>
          <w:tcPr>
            <w:tcW w:w="7960" w:type="dxa"/>
            <w:vAlign w:val="bottom"/>
            <w:gridSpan w:val="12"/>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500" w:type="dxa"/>
            <w:vAlign w:val="bottom"/>
            <w:gridSpan w:val="8"/>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520" w:type="dxa"/>
            <w:vAlign w:val="bottom"/>
            <w:gridSpan w:val="10"/>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tcBorders>
              <w:top w:val="single" w:sz="8" w:color="0000FF"/>
            </w:tcBorders>
            <w:gridSpan w:val="3"/>
          </w:tcPr>
          <w:p>
            <w:pPr>
              <w:spacing w:after="0"/>
              <w:rPr>
                <w:sz w:val="18"/>
                <w:szCs w:val="18"/>
                <w:color w:val="auto"/>
              </w:rPr>
            </w:pPr>
          </w:p>
        </w:tc>
        <w:tc>
          <w:tcPr>
            <w:tcW w:w="8060" w:type="dxa"/>
            <w:vAlign w:val="bottom"/>
            <w:gridSpan w:val="13"/>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this Quarterly Report on Form 10-Q, unless otherwise stated or as the context otherwise requires, references to “Fulcrum,” “Fulcrum Therapeutics,” “the Company,” “we,” “us,” “our” and similar references refer to Fulcrum Therapeutics, Inc. together with its consolidated subsidiary. The Fulcrum Therapeutics logo and other trademarks or service marks of Fulcrum Therapeutics, Inc. appearing in this Quarterly Report on Form 10-Q are the property of Fulcrum Therapeutics, Inc. This Quarterly Report on Form 10-Q also contains registered marks, trademarks and trade names of other companies. All other trademarks, registered marks and trade names appearing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72,630</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25,563</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184,604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210,658</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3,656</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537</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6,599</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5,441</w:t>
            </w: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267,489</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242,199</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4,218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5,216</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6,024</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7,176</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1,092</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2,011</w:t>
            </w: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279,008</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257,694</w:t>
            </w: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4,041</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2,757</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8,334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8,726</w:t>
            </w:r>
          </w:p>
        </w:tc>
      </w:tr>
      <w:tr>
        <w:trPr>
          <w:trHeight w:val="24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2,134</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2,192</w:t>
            </w: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14,509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13,675</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excluding current portion</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7,011</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8,629</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excluding current portion</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21,717</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22,501</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200,000,000 shares authorized; 53,938,661 and 61,915,367 shares</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and outstanding as of September 30, 2024 and December 31, 2023, respectively</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759,688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744,940</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(502,830 )</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(509,673 )</w:t>
            </w: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257,291</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235,193</w:t>
            </w: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279,008</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257,694</w:t>
            </w: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-3162935</wp:posOffset>
            </wp:positionV>
            <wp:extent cx="111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-2202815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759</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80,000</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1,934</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14,639</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18,238</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51,673</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52,802</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8,424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9,961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28,732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31,804</w:t>
            </w: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expenses</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2,063</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2,063</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25,126</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28,199</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82,468</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84,606</w:t>
            </w: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(25,126 )</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(27,440 )</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(2,468 )</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(82,672 )</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3,430</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3,423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9,311</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10,093</w:t>
            </w: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(21,696 )</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(24,017 )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6,843</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(72,579 )</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share, 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(0.39 )</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0.11</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per share, diluted</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(0.39 )</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0.11</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23"/>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62,409</w:t>
            </w:r>
          </w:p>
        </w:tc>
        <w:tc>
          <w:tcPr>
            <w:tcW w:w="14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61,823</w:t>
            </w: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62,200</w:t>
            </w:r>
          </w:p>
        </w:tc>
        <w:tc>
          <w:tcPr>
            <w:tcW w:w="14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61,121</w:t>
            </w: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64"/>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2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62,409</w:t>
            </w:r>
          </w:p>
        </w:tc>
        <w:tc>
          <w:tcPr>
            <w:tcW w:w="1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61,823</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63,688</w:t>
            </w:r>
          </w:p>
        </w:tc>
        <w:tc>
          <w:tcPr>
            <w:tcW w:w="1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61,121</w:t>
            </w:r>
          </w:p>
        </w:tc>
      </w:tr>
      <w:tr>
        <w:trPr>
          <w:trHeight w:val="228"/>
        </w:trPr>
        <w:tc>
          <w:tcPr>
            <w:tcW w:w="5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(21,696 )</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(24,017 )</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6,843</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(72,579 )</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37"/>
        </w:trPr>
        <w:tc>
          <w:tcPr>
            <w:tcW w:w="5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(20,951 )</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(23,703 )</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7,358</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(72,668 )</w:t>
            </w: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-2510790</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-2510790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-2510790</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-1868170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-1851025</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-1868170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-1851025</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-1868170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-1851025</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-1508125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-1490980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-1508125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-1490980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-1508125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-1490980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-1148080</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-1130935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-1148080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-1130935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-1148080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-1130935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-187960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140" w:type="dxa"/>
            <w:vAlign w:val="bottom"/>
            <w:gridSpan w:val="3"/>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214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2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52,099,211</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612,025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(797 )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(412,338 )</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198,942</w:t>
            </w:r>
          </w:p>
        </w:tc>
        <w:tc>
          <w:tcPr>
            <w:tcW w:w="0" w:type="dxa"/>
            <w:vAlign w:val="bottom"/>
          </w:tcPr>
          <w:p>
            <w:pPr>
              <w:spacing w:after="0"/>
              <w:rPr>
                <w:sz w:val="1"/>
                <w:szCs w:val="1"/>
                <w:color w:val="auto"/>
              </w:rPr>
            </w:pPr>
          </w:p>
        </w:tc>
      </w:tr>
      <w:tr>
        <w:trPr>
          <w:trHeight w:val="139"/>
        </w:trPr>
        <w:tc>
          <w:tcPr>
            <w:tcW w:w="39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 public offering,</w:t>
            </w:r>
          </w:p>
        </w:tc>
        <w:tc>
          <w:tcPr>
            <w:tcW w:w="1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9,615,384</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117,336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117,346</w:t>
            </w:r>
          </w:p>
        </w:tc>
        <w:tc>
          <w:tcPr>
            <w:tcW w:w="0" w:type="dxa"/>
            <w:vAlign w:val="bottom"/>
          </w:tcPr>
          <w:p>
            <w:pPr>
              <w:spacing w:after="0"/>
              <w:rPr>
                <w:sz w:val="1"/>
                <w:szCs w:val="1"/>
                <w:color w:val="auto"/>
              </w:rPr>
            </w:pPr>
          </w:p>
        </w:tc>
      </w:tr>
      <w:tr>
        <w:trPr>
          <w:trHeight w:val="185"/>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of issuance costs</w:t>
            </w: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common stock under employee benefit plans</w:t>
            </w:r>
          </w:p>
        </w:tc>
        <w:tc>
          <w:tcPr>
            <w:tcW w:w="1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38,903</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176"/>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Vesting of restricted stock awards</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5,496</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4,253</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4,253</w:t>
            </w:r>
          </w:p>
        </w:tc>
        <w:tc>
          <w:tcPr>
            <w:tcW w:w="0" w:type="dxa"/>
            <w:vAlign w:val="bottom"/>
          </w:tcPr>
          <w:p>
            <w:pPr>
              <w:spacing w:after="0"/>
              <w:rPr>
                <w:sz w:val="1"/>
                <w:szCs w:val="1"/>
                <w:color w:val="auto"/>
              </w:rPr>
            </w:pPr>
          </w:p>
        </w:tc>
      </w:tr>
      <w:tr>
        <w:trPr>
          <w:trHeight w:val="176"/>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76"/>
        </w:trPr>
        <w:tc>
          <w:tcPr>
            <w:tcW w:w="3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(24,779 )</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(24,779 )</w:t>
            </w: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61,758,994</w:t>
            </w:r>
          </w:p>
        </w:tc>
        <w:tc>
          <w:tcPr>
            <w:tcW w:w="920" w:type="dxa"/>
            <w:vAlign w:val="bottom"/>
            <w:gridSpan w:val="2"/>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733,962</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(437,117 )</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296,256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4"/>
                <w:szCs w:val="14"/>
                <w:color w:val="auto"/>
              </w:rPr>
              <w:t>Issuance of common stock under employee benefit plans</w:t>
            </w:r>
          </w:p>
        </w:tc>
        <w:tc>
          <w:tcPr>
            <w:tcW w:w="1220" w:type="dxa"/>
            <w:vAlign w:val="bottom"/>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50,912</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141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76"/>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Vesting of restricted stock awards</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12,648</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3,363</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3,363</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(549 )</w:t>
            </w:r>
          </w:p>
        </w:tc>
        <w:tc>
          <w:tcPr>
            <w:tcW w:w="0" w:type="dxa"/>
            <w:vAlign w:val="bottom"/>
          </w:tcPr>
          <w:p>
            <w:pPr>
              <w:spacing w:after="0"/>
              <w:rPr>
                <w:sz w:val="1"/>
                <w:szCs w:val="1"/>
                <w:color w:val="auto"/>
              </w:rPr>
            </w:pPr>
          </w:p>
        </w:tc>
      </w:tr>
      <w:tr>
        <w:trPr>
          <w:trHeight w:val="176"/>
        </w:trPr>
        <w:tc>
          <w:tcPr>
            <w:tcW w:w="3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(23,783 )</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(23,783 )</w:t>
            </w: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61,822,554</w:t>
            </w:r>
          </w:p>
        </w:tc>
        <w:tc>
          <w:tcPr>
            <w:tcW w:w="920" w:type="dxa"/>
            <w:vAlign w:val="bottom"/>
            <w:gridSpan w:val="2"/>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737,466</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(460,900 )</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275,428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3,737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3,737</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76"/>
        </w:trPr>
        <w:tc>
          <w:tcPr>
            <w:tcW w:w="3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(24,017 )</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(24,017 )</w:t>
            </w: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61,822,554</w:t>
            </w:r>
          </w:p>
        </w:tc>
        <w:tc>
          <w:tcPr>
            <w:tcW w:w="920" w:type="dxa"/>
            <w:vAlign w:val="bottom"/>
            <w:gridSpan w:val="2"/>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741,203</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(484,917 )</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255,462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Balance at December 31, 2023</w:t>
            </w:r>
          </w:p>
        </w:tc>
        <w:tc>
          <w:tcPr>
            <w:tcW w:w="1220" w:type="dxa"/>
            <w:vAlign w:val="bottom"/>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61,915,367</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744,940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(136 )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(509,673 )</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235,193</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under employee benefit plans</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214,094</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1,651</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Vesting of restricted stock awards</w:t>
            </w:r>
          </w:p>
        </w:tc>
        <w:tc>
          <w:tcPr>
            <w:tcW w:w="1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11,550</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3,916</w:t>
            </w: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(298 )</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(26,870 )</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(26,870 )</w:t>
            </w:r>
          </w:p>
        </w:tc>
        <w:tc>
          <w:tcPr>
            <w:tcW w:w="0" w:type="dxa"/>
            <w:vAlign w:val="bottom"/>
          </w:tcPr>
          <w:p>
            <w:pPr>
              <w:spacing w:after="0"/>
              <w:rPr>
                <w:sz w:val="1"/>
                <w:szCs w:val="1"/>
                <w:color w:val="auto"/>
              </w:rPr>
            </w:pPr>
          </w:p>
        </w:tc>
      </w:tr>
      <w:tr>
        <w:trPr>
          <w:trHeight w:val="20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62,141,011</w:t>
            </w:r>
          </w:p>
        </w:tc>
        <w:tc>
          <w:tcPr>
            <w:tcW w:w="9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750,507</w:t>
            </w:r>
          </w:p>
        </w:tc>
        <w:tc>
          <w:tcPr>
            <w:tcW w:w="2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(434 )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(536,543 )</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213,592</w:t>
            </w:r>
          </w:p>
        </w:tc>
        <w:tc>
          <w:tcPr>
            <w:tcW w:w="0" w:type="dxa"/>
            <w:vAlign w:val="bottom"/>
          </w:tcPr>
          <w:p>
            <w:pPr>
              <w:spacing w:after="0"/>
              <w:rPr>
                <w:sz w:val="1"/>
                <w:szCs w:val="1"/>
                <w:color w:val="auto"/>
              </w:rPr>
            </w:pPr>
          </w:p>
        </w:tc>
      </w:tr>
      <w:tr>
        <w:trPr>
          <w:trHeight w:val="156"/>
        </w:trPr>
        <w:tc>
          <w:tcPr>
            <w:tcW w:w="3900" w:type="dxa"/>
            <w:vAlign w:val="bottom"/>
            <w:tcBorders>
              <w:top w:val="single" w:sz="8" w:color="CFF0FC"/>
            </w:tcBorders>
          </w:tcPr>
          <w:p>
            <w:pPr>
              <w:ind w:left="200"/>
              <w:spacing w:after="0" w:line="156" w:lineRule="exact"/>
              <w:rPr>
                <w:sz w:val="20"/>
                <w:szCs w:val="20"/>
                <w:color w:val="auto"/>
              </w:rPr>
            </w:pPr>
            <w:r>
              <w:rPr>
                <w:rFonts w:ascii="Times New Roman" w:cs="Times New Roman" w:eastAsia="Times New Roman" w:hAnsi="Times New Roman"/>
                <w:sz w:val="14"/>
                <w:szCs w:val="14"/>
                <w:color w:val="auto"/>
              </w:rPr>
              <w:t>Issuance of common stock under employee benefit plans</w:t>
            </w:r>
          </w:p>
        </w:tc>
        <w:tc>
          <w:tcPr>
            <w:tcW w:w="1220" w:type="dxa"/>
            <w:vAlign w:val="bottom"/>
            <w:tcBorders>
              <w:top w:val="single" w:sz="8" w:color="auto"/>
            </w:tcBorders>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98,844</w:t>
            </w:r>
          </w:p>
        </w:tc>
        <w:tc>
          <w:tcPr>
            <w:tcW w:w="120" w:type="dxa"/>
            <w:vAlign w:val="bottom"/>
            <w:tcBorders>
              <w:top w:val="single" w:sz="8" w:color="CFF0FC"/>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377</w:t>
            </w: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Vesting of restricted stock awards</w:t>
            </w:r>
          </w:p>
        </w:tc>
        <w:tc>
          <w:tcPr>
            <w:tcW w:w="1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10,776</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4,344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4,344</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55,409</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55,409</w:t>
            </w:r>
          </w:p>
        </w:tc>
        <w:tc>
          <w:tcPr>
            <w:tcW w:w="0" w:type="dxa"/>
            <w:vAlign w:val="bottom"/>
          </w:tcPr>
          <w:p>
            <w:pPr>
              <w:spacing w:after="0"/>
              <w:rPr>
                <w:sz w:val="1"/>
                <w:szCs w:val="1"/>
                <w:color w:val="auto"/>
              </w:rPr>
            </w:pPr>
          </w:p>
        </w:tc>
      </w:tr>
      <w:tr>
        <w:trPr>
          <w:trHeight w:val="20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62,250,631</w:t>
            </w:r>
          </w:p>
        </w:tc>
        <w:tc>
          <w:tcPr>
            <w:tcW w:w="9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755,228</w:t>
            </w:r>
          </w:p>
        </w:tc>
        <w:tc>
          <w:tcPr>
            <w:tcW w:w="2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(481,134 )</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273,790</w:t>
            </w:r>
          </w:p>
        </w:tc>
        <w:tc>
          <w:tcPr>
            <w:tcW w:w="0" w:type="dxa"/>
            <w:vAlign w:val="bottom"/>
          </w:tcPr>
          <w:p>
            <w:pPr>
              <w:spacing w:after="0"/>
              <w:rPr>
                <w:sz w:val="1"/>
                <w:szCs w:val="1"/>
                <w:color w:val="auto"/>
              </w:rPr>
            </w:pPr>
          </w:p>
        </w:tc>
      </w:tr>
      <w:tr>
        <w:trPr>
          <w:trHeight w:val="156"/>
        </w:trPr>
        <w:tc>
          <w:tcPr>
            <w:tcW w:w="3900" w:type="dxa"/>
            <w:vAlign w:val="bottom"/>
            <w:tcBorders>
              <w:top w:val="single" w:sz="8" w:color="CFF0FC"/>
            </w:tcBorders>
          </w:tcPr>
          <w:p>
            <w:pPr>
              <w:ind w:left="200"/>
              <w:spacing w:after="0" w:line="156" w:lineRule="exact"/>
              <w:rPr>
                <w:sz w:val="20"/>
                <w:szCs w:val="20"/>
                <w:color w:val="auto"/>
              </w:rPr>
            </w:pPr>
            <w:r>
              <w:rPr>
                <w:rFonts w:ascii="Times New Roman" w:cs="Times New Roman" w:eastAsia="Times New Roman" w:hAnsi="Times New Roman"/>
                <w:sz w:val="14"/>
                <w:szCs w:val="14"/>
                <w:color w:val="auto"/>
              </w:rPr>
              <w:t>Issuance of common stock under employee benefit plans</w:t>
            </w:r>
          </w:p>
        </w:tc>
        <w:tc>
          <w:tcPr>
            <w:tcW w:w="1220" w:type="dxa"/>
            <w:vAlign w:val="bottom"/>
            <w:tcBorders>
              <w:top w:val="single" w:sz="8" w:color="auto"/>
            </w:tcBorders>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188,030</w:t>
            </w:r>
          </w:p>
        </w:tc>
        <w:tc>
          <w:tcPr>
            <w:tcW w:w="120" w:type="dxa"/>
            <w:vAlign w:val="bottom"/>
            <w:tcBorders>
              <w:top w:val="single" w:sz="8" w:color="CFF0FC"/>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635</w:t>
            </w: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pre-funded warrants in exchange for common</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(9,350,000 )</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w:t>
            </w:r>
          </w:p>
        </w:tc>
        <w:tc>
          <w:tcPr>
            <w:tcW w:w="12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pursuant to pre-funded warrant</w:t>
            </w:r>
          </w:p>
        </w:tc>
        <w:tc>
          <w:tcPr>
            <w:tcW w:w="1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850,000</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exercise</w:t>
            </w: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3,817</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3,817</w:t>
            </w:r>
          </w:p>
        </w:tc>
        <w:tc>
          <w:tcPr>
            <w:tcW w:w="0" w:type="dxa"/>
            <w:vAlign w:val="bottom"/>
          </w:tcPr>
          <w:p>
            <w:pPr>
              <w:spacing w:after="0"/>
              <w:rPr>
                <w:sz w:val="1"/>
                <w:szCs w:val="1"/>
                <w:color w:val="auto"/>
              </w:rPr>
            </w:pPr>
          </w:p>
        </w:tc>
      </w:tr>
      <w:tr>
        <w:trPr>
          <w:trHeight w:val="176"/>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175"/>
        </w:trPr>
        <w:tc>
          <w:tcPr>
            <w:tcW w:w="3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(21,696 )</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(21,696 )</w:t>
            </w: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53,938,661</w:t>
            </w:r>
          </w:p>
        </w:tc>
        <w:tc>
          <w:tcPr>
            <w:tcW w:w="920" w:type="dxa"/>
            <w:vAlign w:val="bottom"/>
            <w:gridSpan w:val="2"/>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759,688</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(502,830 )</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257,291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-3848100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-3848100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-3848100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-3848100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-3848100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-3145155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-3145155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-3145155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-3145155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-3145155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-2665095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-2665095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-2665095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-2665095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-2665095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-1731010</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-1713865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-1731010</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-1713865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-1731010</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-1713865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-1731010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-1713865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-1731010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-1713865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-1028065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-1010920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-1028065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-1010920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-1028065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-1010920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-1028065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-1010920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-1028065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-1010920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-145415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-145415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-145415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-145415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-145415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6,843</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(72,579 )</w:t>
            </w: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9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expense</w:t>
            </w:r>
          </w:p>
        </w:tc>
        <w:tc>
          <w:tcPr>
            <w:tcW w:w="92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1,224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1,664</w:t>
            </w: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12,077</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11,353</w:t>
            </w: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accretion of discounts on marketable securities</w:t>
            </w:r>
          </w:p>
        </w:tc>
        <w:tc>
          <w:tcPr>
            <w:tcW w:w="9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(4,663 )</w:t>
            </w: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9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(3,119 )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(351 )</w:t>
            </w: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(450 )</w:t>
            </w: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9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(526 )</w:t>
            </w: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1,935</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115</w:t>
            </w: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92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1,104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9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(1,734 )</w:t>
            </w:r>
          </w:p>
        </w:tc>
      </w:tr>
      <w:tr>
        <w:trPr>
          <w:trHeight w:val="223"/>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9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(600 )</w:t>
            </w:r>
          </w:p>
        </w:tc>
      </w:tr>
      <w:tr>
        <w:trPr>
          <w:trHeight w:val="23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14,543</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(67,807 )</w:t>
            </w:r>
          </w:p>
        </w:tc>
      </w:tr>
      <w:tr>
        <w:trPr>
          <w:trHeight w:val="22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9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(157,185 )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(169,818 )</w:t>
            </w: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92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187,202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115,203</w:t>
            </w:r>
          </w:p>
        </w:tc>
      </w:tr>
      <w:tr>
        <w:trPr>
          <w:trHeight w:val="23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(431 )</w:t>
            </w: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2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29,970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(55,046 )</w:t>
            </w: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public offerings, net of issuance costs</w:t>
            </w:r>
          </w:p>
        </w:tc>
        <w:tc>
          <w:tcPr>
            <w:tcW w:w="92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117,345</w:t>
            </w:r>
          </w:p>
        </w:tc>
      </w:tr>
      <w:tr>
        <w:trPr>
          <w:trHeight w:val="23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benefit plans, net</w:t>
            </w:r>
          </w:p>
        </w:tc>
        <w:tc>
          <w:tcPr>
            <w:tcW w:w="9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2,663</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490</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2,663</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117,835</w:t>
            </w:r>
          </w:p>
        </w:tc>
      </w:tr>
      <w:tr>
        <w:trPr>
          <w:trHeight w:val="23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9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47,176</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(5,018 )</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9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26,655</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36,190</w:t>
            </w:r>
          </w:p>
        </w:tc>
      </w:tr>
      <w:tr>
        <w:trPr>
          <w:trHeight w:val="26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73,831</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31,172</w:t>
            </w:r>
          </w:p>
        </w:tc>
      </w:tr>
      <w:tr>
        <w:trPr>
          <w:trHeight w:val="208"/>
        </w:trPr>
        <w:tc>
          <w:tcPr>
            <w:tcW w:w="7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9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 liabilities</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2,131</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2,489</w:t>
            </w: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purchases unpaid at end of period</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180</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-1807845</wp:posOffset>
            </wp:positionV>
            <wp:extent cx="1028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-1216660</wp:posOffset>
            </wp:positionV>
            <wp:extent cx="1028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-607695</wp:posOffset>
            </wp:positionV>
            <wp:extent cx="1028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-590550</wp:posOffset>
            </wp:positionV>
            <wp:extent cx="1028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7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72,630</w:t>
            </w:r>
          </w:p>
        </w:tc>
        <w:tc>
          <w:tcPr>
            <w:tcW w:w="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30,080</w:t>
            </w: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1,201</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rPr>
              <w:t>1,092</w:t>
            </w:r>
          </w:p>
        </w:tc>
      </w:tr>
      <w:tr>
        <w:trPr>
          <w:trHeight w:val="26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73,831</w:t>
            </w: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31,172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9"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Fulcrum Therapeutics, Inc. (the “Company” or “Fulcrum”) was incorporated in Delaware on August 18, 2015. The Company is focused on developing small molecules to improve the lives of patients with genetically-defined rare diseases in areas of high unmet medical need.</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September 30, 2024 and the results of its operations and its cash flows for the three and nine months ended September 30, 2024 and 2023. The results for the three and nine months ended September 30, 2024 are not necessarily indicative of results to be expected for the year ending December 31, 2024, any other interim periods, or any future year or period. These consolidated financial statements should be read in conjunction with the Company’s audited consolidated financial statements and the notes thereto for the year ended December 31, 2023 included in the Company’s Annual Report on Form 10-K filed with the Securities and Exchange Commission (the “SEC”) on February 27, 2024 (the “Annual Report on Form 10-K”).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Common Stock</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January 2023, the Company completed a public offering of its common stock and issued and sold 9,615,384 shares of common stock at a public offering price of $13.00 per share, resulting in net proceeds of $117.3 million after deducting underwriting discounts and commissions and offering expenses.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primarily funded its operations with proceeds from the sale of shares of its capital stock and from upfront payments received from collaboration and license agreements. As of September 30, 2024, the Company had an accumulated deficit of $502.8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and estimates used in the preparation of the accompanying consolidated financial statements are described in the Company’s audited consolidated financial statements for the year ended December 31, 2023 included in the Company’s Annual Report on Form 10-K. There have been no material changes in the Company’s significant accounting policies during the nine months ended September 30, 2024, except as noted below with respect to the Company's accounting policies related to collaborative arrangements and common stock warrants.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At contract inception, the Company analyzes its collaboration arrangements to assess whether such arrangements involve joint operating activities performed by parties that are both active participants in the activities and are exposed to significant risks and rewards dependent on the commercial success of such activities, and therefore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This assessment is performed on an ongoing basis throughout the collaboration based on changes in the responsibilities of the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are therefore within the scope of ASC 606,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(ASC 606).</w:t>
      </w:r>
    </w:p>
    <w:p>
      <w:pPr>
        <w:spacing w:after="0" w:line="18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For elements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collaborators associated with multiple activities in a collaboration arrangement based on the nature of each separate activity. The Company made an accounting policy election to account for research and development reimbursements received from its collaboration partner that are outside of the scope of ASC 606 as a reduction of research and development expenses to best reflect the economics and nature of the transaction in the context of the unit-of-account.</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Company’s audited consolidated financial statements for the year ended December 31, 2023 included in the Company’s Annual Report on Form 10-K for the Company's accounting policies for arrangements within the scope of ASC 606.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1" w:name="page12"/>
    <w:bookmarkEnd w:id="11"/>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common stock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Hedging </w:t>
      </w:r>
      <w:r>
        <w:rPr>
          <w:rFonts w:ascii="Times New Roman" w:cs="Times New Roman" w:eastAsia="Times New Roman" w:hAnsi="Times New Roman"/>
          <w:sz w:val="18"/>
          <w:szCs w:val="18"/>
          <w:color w:val="auto"/>
        </w:rPr>
        <w:t>(ASC 815). The assessment considers whether the warrants are freestanding financial instruments pursuant to ASC 480, whether the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remeasured each balance sheet date thereafter. Changes in the estimated fair value of the liability-classified warrants are recognized as a non-cash gain or loss in the accompanying consolidated statements of operations and comprehensive loss.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U.S. Treasury securities, and commercial paper. The Company’s marketable securities consist of U.S. Treasury securities,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standard updates reportable segment disclosure requirements, primarily through enhanced disclosures about significant segment expenses and information used to assess segment performance and requires companies to disclose all annual disclosures about segments in interim periods. The standard also requires companies with a single reportable segment to provide all disclosures required by Topic 280 – Segment Reporting. The new standard will become effective for the Company on January 1, 2025. The Company is currently evaluating the impact that the adoption of this standard will have on its consolidated financial statements and disclosures.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fair value hierarchy classification of such fair values as of September 30, 2024 and December 31, 2023 (in thousands):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7"/>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54,263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54,263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18,367</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18,367</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10,241</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10,241</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13,273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13,273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161,090</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161,090</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257,234</w:t>
            </w:r>
          </w:p>
        </w:tc>
        <w:tc>
          <w:tcPr>
            <w:tcW w:w="1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54,263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202,971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65"/>
        </w:trPr>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7"/>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25,563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25,563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14,215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14,215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65,107</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65,107</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17,889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17,889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113,447</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113,447</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236,221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25,563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210,658</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-1945005</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-1945005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-1945005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-187960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three and nine months ended September 30,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Equivalents and Marketable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and marketable securities consisted of the following as of September 30, 2024 and December 31, 2023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4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54,263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54,263</w:t>
            </w:r>
          </w:p>
        </w:tc>
        <w:tc>
          <w:tcPr>
            <w:tcW w:w="0" w:type="dxa"/>
            <w:vAlign w:val="bottom"/>
          </w:tcPr>
          <w:p>
            <w:pPr>
              <w:spacing w:after="0"/>
              <w:rPr>
                <w:sz w:val="1"/>
                <w:szCs w:val="1"/>
                <w:color w:val="auto"/>
              </w:rPr>
            </w:pPr>
          </w:p>
        </w:tc>
      </w:tr>
      <w:tr>
        <w:trPr>
          <w:trHeight w:val="243"/>
        </w:trPr>
        <w:tc>
          <w:tcPr>
            <w:tcW w:w="4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18,364</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18,367</w:t>
            </w:r>
          </w:p>
        </w:tc>
        <w:tc>
          <w:tcPr>
            <w:tcW w:w="0" w:type="dxa"/>
            <w:vAlign w:val="bottom"/>
          </w:tcPr>
          <w:p>
            <w:pPr>
              <w:spacing w:after="0"/>
              <w:rPr>
                <w:sz w:val="1"/>
                <w:szCs w:val="1"/>
                <w:color w:val="auto"/>
              </w:rPr>
            </w:pPr>
          </w:p>
        </w:tc>
      </w:tr>
      <w:tr>
        <w:trPr>
          <w:trHeight w:val="237"/>
        </w:trPr>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72,627</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72,630</w:t>
            </w:r>
          </w:p>
        </w:tc>
        <w:tc>
          <w:tcPr>
            <w:tcW w:w="0" w:type="dxa"/>
            <w:vAlign w:val="bottom"/>
          </w:tcPr>
          <w:p>
            <w:pPr>
              <w:spacing w:after="0"/>
              <w:rPr>
                <w:sz w:val="1"/>
                <w:szCs w:val="1"/>
                <w:color w:val="auto"/>
              </w:rPr>
            </w:pPr>
          </w:p>
        </w:tc>
      </w:tr>
      <w:tr>
        <w:trPr>
          <w:trHeight w:val="241"/>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10,235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10,241</w:t>
            </w:r>
          </w:p>
        </w:tc>
        <w:tc>
          <w:tcPr>
            <w:tcW w:w="0" w:type="dxa"/>
            <w:vAlign w:val="bottom"/>
          </w:tcPr>
          <w:p>
            <w:pPr>
              <w:spacing w:after="0"/>
              <w:rPr>
                <w:sz w:val="1"/>
                <w:szCs w:val="1"/>
                <w:color w:val="auto"/>
              </w:rPr>
            </w:pPr>
          </w:p>
        </w:tc>
      </w:tr>
      <w:tr>
        <w:trPr>
          <w:trHeight w:val="247"/>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13,233</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13,273</w:t>
            </w:r>
          </w:p>
        </w:tc>
        <w:tc>
          <w:tcPr>
            <w:tcW w:w="0" w:type="dxa"/>
            <w:vAlign w:val="bottom"/>
          </w:tcPr>
          <w:p>
            <w:pPr>
              <w:spacing w:after="0"/>
              <w:rPr>
                <w:sz w:val="1"/>
                <w:szCs w:val="1"/>
                <w:color w:val="auto"/>
              </w:rPr>
            </w:pPr>
          </w:p>
        </w:tc>
      </w:tr>
      <w:tr>
        <w:trPr>
          <w:trHeight w:val="239"/>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160,760</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161,090</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184,228</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184,604</w:t>
            </w:r>
          </w:p>
        </w:tc>
        <w:tc>
          <w:tcPr>
            <w:tcW w:w="0" w:type="dxa"/>
            <w:vAlign w:val="bottom"/>
          </w:tcPr>
          <w:p>
            <w:pPr>
              <w:spacing w:after="0"/>
              <w:rPr>
                <w:sz w:val="1"/>
                <w:szCs w:val="1"/>
                <w:color w:val="auto"/>
              </w:rPr>
            </w:pPr>
          </w:p>
        </w:tc>
      </w:tr>
      <w:tr>
        <w:trPr>
          <w:trHeight w:val="234"/>
        </w:trPr>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256,855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399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257,234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7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-2047875</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-2047875</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-2047875</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-1096645</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-1096645</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-1096645</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97"/>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25,563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25,563</w:t>
            </w: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25,563</w:t>
            </w: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25,563</w:t>
            </w: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14,229</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14,215</w:t>
            </w: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8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65,182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65,107</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17,891</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17,889</w:t>
            </w: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113,492</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113,447</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210,794</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210,658</w:t>
            </w: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236,357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236,221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-187960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There were no sales of marketable securities during the three and nine months ended September 30, 2024. As of September 30, 2024, the Company held 6 debt securities that were in an unrealized loss position for less than 12 months with an aggregate fair value of $8.1 million. As of September 30, 2024, the Company held 4 debt securities that were in an unrealized loss position for greater than 12 months with an aggregate fair value of $14.1 million. As of September 30, 2024, the aggregate fair value of marketable securities with a remaining contractual maturity of greater than one year was $10.9 million.</w:t>
      </w:r>
    </w:p>
    <w:p>
      <w:pPr>
        <w:spacing w:after="0" w:line="18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the intent and ability to hold its debt securities until recovery. As a result, the Company did not record any charges for credit-related impairments for its marketable securities for the three and nine months ended September 30, 2024</w:t>
      </w:r>
      <w:r>
        <w:rPr>
          <w:rFonts w:ascii="Times New Roman" w:cs="Times New Roman" w:eastAsia="Times New Roman" w:hAnsi="Times New Roman"/>
          <w:sz w:val="18"/>
          <w:szCs w:val="18"/>
          <w:color w:val="212529"/>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9,682</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4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w:t>
            </w:r>
          </w:p>
        </w:tc>
      </w:tr>
      <w:tr>
        <w:trPr>
          <w:trHeight w:val="23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17,976</w:t>
            </w:r>
          </w:p>
        </w:tc>
      </w:tr>
      <w:tr>
        <w:trPr>
          <w:trHeight w:val="247"/>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(13,888 )</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(12,760 )</w:t>
            </w: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r>
      <w:tr>
        <w:trPr>
          <w:trHeight w:val="20"/>
        </w:trPr>
        <w:tc>
          <w:tcPr>
            <w:tcW w:w="5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-505460</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-187960</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2024 and 2023 was $0.4 million and $0.5 million, respectively. Depreciation expense for the nine months ended September 30, 2024 and 2023 was $1.2 million and $1.7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Additional Balance Sheet Detail</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w w:val="99"/>
              </w:rPr>
              <w:t>Prepaid sign-on bonuses subject to vesting provisions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receivable</w:t>
            </w:r>
          </w:p>
        </w:tc>
        <w:tc>
          <w:tcPr>
            <w:tcW w:w="15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20" w:type="dxa"/>
            <w:vAlign w:val="bottom"/>
            <w:vMerge w:val="restart"/>
          </w:tcPr>
          <w:p>
            <w:pPr>
              <w:jc w:val="right"/>
              <w:ind w:right="1352"/>
              <w:spacing w:after="0"/>
              <w:rPr>
                <w:sz w:val="20"/>
                <w:szCs w:val="20"/>
                <w:color w:val="auto"/>
              </w:rPr>
            </w:pPr>
            <w:r>
              <w:rPr>
                <w:rFonts w:ascii="Times New Roman" w:cs="Times New Roman" w:eastAsia="Times New Roman" w:hAnsi="Times New Roman"/>
                <w:sz w:val="17"/>
                <w:szCs w:val="17"/>
                <w:color w:val="auto"/>
                <w:w w:val="70"/>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7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-1096645</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benefits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77"/>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-25400</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85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Preferred Stock</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5,000,000 shares of undesignated preferred stock were authorized. No shares of preferred stock were issued or outstanding as of September 30, 2024 and December 31, 2023.</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and December 31, 2023, 200,000,000 shares of common stock, $0.001 par value per share, were authorized.</w:t>
      </w:r>
    </w:p>
    <w:p>
      <w:pPr>
        <w:spacing w:after="0" w:line="22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and December 31, 2023, the Company has reserved for future issuance the following number of shares of common stock:</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360" w:type="dxa"/>
            <w:vAlign w:val="bottom"/>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10,746,789</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9,972,217</w:t>
            </w: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75,017</w:t>
            </w: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 Stock Incentive Plan</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4,351,368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3,157,537</w:t>
            </w:r>
          </w:p>
        </w:tc>
      </w:tr>
      <w:tr>
        <w:trPr>
          <w:trHeight w:val="211"/>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 Employee Stock</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1"/>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1,701,485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1,346,125</w:t>
            </w:r>
          </w:p>
        </w:tc>
      </w:tr>
      <w:tr>
        <w:trPr>
          <w:trHeight w:val="218"/>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2022 Inducement Stock</w:t>
            </w: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48"/>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1,348,270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837,877</w:t>
            </w: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future issuance for pre-funded warrants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36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26,719,050</w:t>
            </w:r>
          </w:p>
        </w:tc>
        <w:tc>
          <w:tcPr>
            <w:tcW w:w="1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15,388,773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-24765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August 2024, the Company entered into separate exchange agreements with RA Capital Healthcare Fund, L.P. (“RA Capital”) and another existing institutional stockholder, pursuant to which (i) RA Capital exchanged 8,500,000 shares of the Company's common stock, par value $0.001 per share, or common stock, for a pre-funded warrant to acquire 8,500,000 shares of the Company's common stock and (ii) the other existing institutional stockholder exchanged an aggregate of 850,000 shares of the Company's common stock, for pre-funded warrants to acquire an aggregate of 850,000 shares of the Company's common stock. The aggregate 9,350,000 shares of common stock subject to the exchange agreements were retired on the date of the exchanges. As of September 30, 2024, 850,000 pre-funded warrants have been exercised.</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pre-funded warrants have an exercise price of $0.001 per underlying share of common stock, are immediately exercisable and have no expiration date. The number of shares of the Company’s common stock issuable upon exercise of each pre-funded warrant is subject to adjustment upon certain corporate events, including certain stock dividends and splits, combinations, reclassifications, and certain other events. The pre-funded warrants include a beneficial ownership blocker that provides that the holder may not exercise (nor may we allow the exercise) if upon giving effect to such exercise, it would cause the aggregate number</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ind w:right="120"/>
        <w:spacing w:after="0" w:line="261" w:lineRule="auto"/>
        <w:rPr>
          <w:sz w:val="20"/>
          <w:szCs w:val="20"/>
          <w:color w:val="auto"/>
        </w:rPr>
      </w:pPr>
      <w:r>
        <w:rPr>
          <w:rFonts w:ascii="Times New Roman" w:cs="Times New Roman" w:eastAsia="Times New Roman" w:hAnsi="Times New Roman"/>
          <w:sz w:val="18"/>
          <w:szCs w:val="18"/>
          <w:color w:val="auto"/>
        </w:rPr>
        <w:t>of shares of the Company’s common stock beneficially owned by the holder (together with affiliates and any other persons whose beneficial ownership of the Company’s common stock would be aggregated for the purposes of Section 13(d) of the Securities Exchange Act of 1934, as amended) to exceed</w:t>
      </w: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9.99% of the total number of then issued and outstanding shares of the Company’s common stock as determined in accordance with the terms of the pre-funded warrant. This threshold may be increased or decreased upon 61 days’ prior notice at the discretion of RA Capital, but not in excess of 19.99% or, with respect to the other existing institutional stockholder’s pre-funded warrants, not in excess of 9.99%.</w:t>
      </w:r>
    </w:p>
    <w:p>
      <w:pPr>
        <w:spacing w:after="0" w:line="1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assessed the pre-funded warrants for appropriate classification as either equity or liability pursuant to the Company’s accounting policy described in Note 2, “Summary of Significant Accounting Policies.” The Company determined the pre-funded warrants are freestanding instruments that do not meet the definition of a liability pursuant to ASC 480 and do not meet the definition of a derivative pursuant to ASC 815. The pre-funded warrants are indexed to the Company’s common stock and meet all other conditions for equity classification under ASC 480 and ASC 815. Accordingly, the pre-funded warrants are classified as equity and are accounted for as a component of additional paid-in capital at the time of issuance. The Company also determined that the pre-funded warrants should be included in the determination of basic and diluted earnings per share.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Incentive Plan</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September 30, 2024, no shares remained available for future issuance under the 2016 Plan. Any options or other awards outstanding under the 2016 Plan remain outstanding and effective.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annually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On January 1, 2024, the number of shares reserved for issuance under the 2019 Plan was increased by 2,000,000 shares. As of September 30, 2024, there were 4,351,368 shares available for future issuance under the 2019 Plan.</w:t>
      </w:r>
    </w:p>
    <w:p>
      <w:pPr>
        <w:spacing w:after="0" w:line="19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Inducement Stock Incentive Plan</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of shares reserved for issuance by 1,400,000 shares. Effective June 17, 2024, the Company’s board of directors amended the Inducement Plan to increase the number of shares reserved for issuance by 1,000,000 shares. As of September 30, 2024, there were 1,348,270 shares available for future issuance under the Inducement Plan.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nine months ended September 30, 2024:</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3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2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9,972,217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8.44</w:t>
            </w:r>
          </w:p>
        </w:tc>
        <w:tc>
          <w:tcPr>
            <w:tcW w:w="1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8.49</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15,114,074</w:t>
            </w:r>
          </w:p>
        </w:tc>
        <w:tc>
          <w:tcPr>
            <w:tcW w:w="0" w:type="dxa"/>
            <w:vAlign w:val="bottom"/>
          </w:tcPr>
          <w:p>
            <w:pPr>
              <w:spacing w:after="0"/>
              <w:rPr>
                <w:sz w:val="1"/>
                <w:szCs w:val="1"/>
                <w:color w:val="auto"/>
              </w:rPr>
            </w:pPr>
          </w:p>
        </w:tc>
      </w:tr>
      <w:tr>
        <w:trPr>
          <w:trHeight w:val="23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4,058,508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(427,757 )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(2,856,179 )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10,746,789</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8.05</w:t>
            </w:r>
          </w:p>
        </w:tc>
        <w:tc>
          <w:tcPr>
            <w:tcW w:w="144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8.26</w:t>
            </w:r>
          </w:p>
        </w:tc>
        <w:tc>
          <w:tcPr>
            <w:tcW w:w="2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1,296,365</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4,592,720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7.47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452,380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-205105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-187960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jc w:val="both"/>
        <w:ind w:right="40" w:firstLine="509"/>
        <w:spacing w:after="0" w:line="312" w:lineRule="auto"/>
        <w:rPr>
          <w:sz w:val="20"/>
          <w:szCs w:val="20"/>
          <w:color w:val="auto"/>
        </w:rPr>
      </w:pPr>
      <w:r>
        <w:rPr>
          <w:rFonts w:ascii="Times New Roman" w:cs="Times New Roman" w:eastAsia="Times New Roman" w:hAnsi="Times New Roman"/>
          <w:sz w:val="17"/>
          <w:szCs w:val="17"/>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4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in the three and nine months ended September 30, 2024 was $7.17 per share and $6.44 per share, respectively. The weighted average grant date fair value of stock options granted in the three and nine months ended September 30, 2023 was $3.26 per share and $4.67 per share, respectively. The total intrinsic value of stock options exercised during the three and nine months ended September 30, 2024 was $0.6 million and $1.4 million, respectively. The total intrinsic value of stock options exercised during the three and nine months ended September 30, 2023 was zero and $0.2 million, respectively.</w:t>
      </w:r>
    </w:p>
    <w:p>
      <w:pPr>
        <w:spacing w:after="0" w:line="183"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three and nine months ended September 30, 2024 and 2023 has been calculated on the date of grant using the following weighted average assumptions: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13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3.8 %</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4.1 %</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5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3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103.0 %</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100.4 %</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103.1 %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-610870</wp:posOffset>
            </wp:positionV>
            <wp:extent cx="641223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240" w:firstLine="509"/>
        <w:spacing w:after="0" w:line="313" w:lineRule="auto"/>
        <w:rPr>
          <w:sz w:val="20"/>
          <w:szCs w:val="20"/>
          <w:color w:val="auto"/>
        </w:rPr>
      </w:pPr>
      <w:r>
        <w:rPr>
          <w:rFonts w:ascii="Times New Roman" w:cs="Times New Roman" w:eastAsia="Times New Roman" w:hAnsi="Times New Roman"/>
          <w:sz w:val="18"/>
          <w:szCs w:val="18"/>
          <w:color w:val="auto"/>
        </w:rPr>
        <w:t>The Company has also granted restricted stock units. The shares of common stock underlying restricted stock units typically vest over a four-year period. The shares of common stock are recorded in stockholders’ equity as they vest.</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activity during the nine months ended September 30, 2024: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40" w:type="dxa"/>
            <w:vAlign w:val="bottom"/>
            <w:vMerge w:val="restart"/>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5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474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75,017</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10.77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47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70,445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6.95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4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(22,326 )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10.65</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32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(51,998 )</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8.56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2024</w:t>
            </w:r>
          </w:p>
        </w:tc>
        <w:tc>
          <w:tcPr>
            <w:tcW w:w="474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71,138</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8.64</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580" w:type="dxa"/>
            <w:vAlign w:val="bottom"/>
          </w:tcPr>
          <w:p>
            <w:pPr>
              <w:spacing w:after="0"/>
              <w:rPr>
                <w:sz w:val="24"/>
                <w:szCs w:val="24"/>
                <w:color w:val="auto"/>
              </w:rPr>
            </w:pPr>
          </w:p>
        </w:tc>
        <w:tc>
          <w:tcPr>
            <w:tcW w:w="3660" w:type="dxa"/>
            <w:vAlign w:val="bottom"/>
            <w:tcBorders>
              <w:top w:val="single" w:sz="8" w:color="CFF0FC"/>
            </w:tcBorders>
          </w:tcPr>
          <w:p>
            <w:pPr>
              <w:spacing w:after="0"/>
              <w:rPr>
                <w:sz w:val="24"/>
                <w:szCs w:val="24"/>
                <w:color w:val="auto"/>
              </w:rPr>
            </w:pPr>
          </w:p>
        </w:tc>
        <w:tc>
          <w:tcPr>
            <w:tcW w:w="3200" w:type="dxa"/>
            <w:vAlign w:val="bottom"/>
            <w:tcBorders>
              <w:top w:val="single" w:sz="8" w:color="CFF0FC"/>
            </w:tcBorders>
          </w:tcPr>
          <w:p>
            <w:pPr>
              <w:jc w:val="right"/>
              <w:ind w:right="1630"/>
              <w:spacing w:after="0"/>
              <w:rPr>
                <w:sz w:val="20"/>
                <w:szCs w:val="20"/>
                <w:color w:val="auto"/>
              </w:rPr>
            </w:pPr>
            <w:r>
              <w:rPr>
                <w:rFonts w:ascii="Times New Roman" w:cs="Times New Roman" w:eastAsia="Times New Roman" w:hAnsi="Times New Roman"/>
                <w:sz w:val="18"/>
                <w:szCs w:val="18"/>
                <w:color w:val="auto"/>
              </w:rPr>
              <w:t>12</w:t>
            </w:r>
          </w:p>
        </w:tc>
        <w:tc>
          <w:tcPr>
            <w:tcW w:w="1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-933450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-916305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095"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540" w:firstLine="509"/>
        <w:spacing w:after="0" w:line="280" w:lineRule="auto"/>
        <w:rPr>
          <w:sz w:val="20"/>
          <w:szCs w:val="20"/>
          <w:color w:val="auto"/>
        </w:rPr>
      </w:pPr>
      <w:r>
        <w:rPr>
          <w:rFonts w:ascii="Times New Roman" w:cs="Times New Roman" w:eastAsia="Times New Roman" w:hAnsi="Times New Roman"/>
          <w:sz w:val="18"/>
          <w:szCs w:val="18"/>
          <w:color w:val="auto"/>
        </w:rPr>
        <w:t>The total compensation cost recognized in the statements of operations and comprehensive loss associated with all stock-based compensation awards granted by the Company is as follows (in thousands)</w:t>
      </w:r>
      <w:r>
        <w:rPr>
          <w:rFonts w:ascii="Times New Roman" w:cs="Times New Roman" w:eastAsia="Times New Roman" w:hAnsi="Times New Roman"/>
          <w:sz w:val="21"/>
          <w:szCs w:val="21"/>
          <w:color w:val="auto"/>
        </w:rPr>
        <w:t>:</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2,494</w:t>
            </w:r>
          </w:p>
        </w:tc>
        <w:tc>
          <w:tcPr>
            <w:tcW w:w="4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2,734</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7,762</w:t>
            </w:r>
          </w:p>
        </w:tc>
        <w:tc>
          <w:tcPr>
            <w:tcW w:w="4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8,533</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1,323</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2,820</w:t>
            </w:r>
          </w:p>
        </w:tc>
      </w:tr>
      <w:tr>
        <w:trPr>
          <w:trHeight w:val="27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3,817</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3,737</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12,077</w:t>
            </w:r>
          </w:p>
        </w:tc>
        <w:tc>
          <w:tcPr>
            <w:tcW w:w="1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11,353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76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an aggregate of $29.6 million of unrecognized stock-based compensation expense, which is expected to be recognized over a weighted average period of 2.64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2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2024, the number of shares reserved for issuance under the 2019 ESPP was increased by 428,571 shares. As of September 30, 2024, there were 1,701,485 shares available for future issuance under the ESPP.</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May 2024, the Company entered into a collaboration and license agreement (the “Sanofi Agreement”) with Genzyme Corporation (“Sanofi”) pursuant to which the Company granted Sanofi an exclusive license under certain intellectual property rights to commercialize losmapimod, an oral small molecule for the treatment of facioscapulohumeral muscular dystrophy (“FSHD”), outside of the United States.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a mutually agreed global development plan, the Company agreed to continue to conduct the ongoing Phase 3 clinical trial for losmapimod for the treatment of FSHD and the Company and Sanofi equally share global development costs. In addition to activities conducted under a mutually agreed global development plan, Sanofi also has the right to conduct certain development activities that are solely intended to support obtaining or maintaining regulatory approval outside of the United States. The Company has the sole right to manufacture for its activities under the global development plan and for commercialization in the United States and, subject to the terms of a supply agreement, the Company will supply Sanofi’s clinical and commercial supply requirements of losmapimod until Sanofi elects to take over such manufacturing responsibilities.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Per the terms of the Sanofi Agreement, Sanofi made an upfront license payment of $80.0 million to the Company during the second quarter of 2024. The Company is also eligible to receive up to an additional $975.0 million in specified regulatory and sales-based milestones, and Sanofi will pay the Company tiered royalties ranging from low-teens to mid-twenties percent of Sanofi’s and any of its affiliates’ and sublicensees’ annual net sales of losmapimod outside the United States. The royalties are payable on a product-by-product basis during a specified royalty term, and may be reduced in specified circumstances.</w:t>
      </w:r>
    </w:p>
    <w:p>
      <w:pPr>
        <w:spacing w:after="0" w:line="183"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During the term of the Sanofi Agreement, the Company may not research, develop, manufacture, commercialize, use, or otherwise exploit any compound or product that binds or otherwise modulates p38a/b MAPK anywhere in the world, other than losmapimod in the United States.</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Sanofi Agreement continues on a country-by-country and product-by-product basis until the last to expire royalty term for a product in a country, at which time the Sanofi Agreement expires with respect to such product in such country. Either party has the right to terminate the Sanofi Agreement if the other party has materially breached its obligations under the Sanofi Agreement and such breach has not been cured within the applicable cure period. Sanofi also has the right to terminate the Sanofi Agreement for convenience in its entirety or on a product-by-product or region-by-region (or country-by-country with respect to certain major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ind w:right="940"/>
        <w:spacing w:after="0" w:line="282" w:lineRule="auto"/>
        <w:rPr>
          <w:sz w:val="20"/>
          <w:szCs w:val="20"/>
          <w:color w:val="auto"/>
        </w:rPr>
      </w:pPr>
      <w:r>
        <w:rPr>
          <w:rFonts w:ascii="Times New Roman" w:cs="Times New Roman" w:eastAsia="Times New Roman" w:hAnsi="Times New Roman"/>
          <w:sz w:val="18"/>
          <w:szCs w:val="18"/>
          <w:color w:val="auto"/>
        </w:rPr>
        <w:t>markets) basis. The Company also has the right to terminate the Sanofi Agreement if Sanofi terminates all bona fide material development and commercialization activities for a specified period and such cessation is not the result of certain agreed upon reasons.</w:t>
      </w:r>
    </w:p>
    <w:p>
      <w:pPr>
        <w:spacing w:after="0" w:line="162"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that the Sanofi Agreement contained three material promises: (i) the license granted to Sanofi to develop and commercialize losmapimod outside of the United States (the “losmapimod license”); (ii) the parties’ joint global development activities for losmapimod; and (iii) the Sanofi territory-specific manufacturing activities for losmapimod, subject to the terms of a supply agreement. The Company considered the guidance in ASC 606 to determine which, if any, of the components of the losmapimod agreement are performance obligations with a customer and concluded that the losmapimod license and the Sanofi territory-specific manufacturing activities are within the scope of ASC 606 because Sanofi is the Company’s customer in those transactions.</w:t>
      </w:r>
    </w:p>
    <w:p>
      <w:pPr>
        <w:spacing w:after="0" w:line="187"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the losmapimod license under ASC 606 and concluded that the losmapimod license is a functional intellectual property license and is a distinct performance obligation. The Company determined that Sanofi benefited from the losmapimod license at the time of grant, and therefore the related performance obligation is satisfied at a point in time.</w:t>
      </w:r>
    </w:p>
    <w:p>
      <w:pPr>
        <w:spacing w:after="0" w:line="176"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Company evaluated the Sanofi territory-specific manufacturing activities under ASC 606 and identified one material promise associated with manufacturing activities related to development and commercial supply of losmapimod. Given that Sanofi is not obligated to purchase any minimum amount or quantities of the development and commercial supply from the Company, the Company concluded that, for the purpose of ASC 606, the provision of manufacturing activities related to development and commercial supply of losmapimod in the Sanofi territory was an option but not a performance obligation of the Company at the inception of the Sanofi agreement and will be accounted for if and when exercised. The Company also concluded that there is no separate material right in connection with the development and commercial supply of losmapimod, as the expected pricing was not issued at a significant and incremental discount. Therefore, the manufacturing activities were excluded as a performance obligation at the outset of the arrangement. Additionally, the Company is entitled to sales milestones and royalties from Sanofi upon future sales of losmapimod in the Sanofi territory, and revenue will be recognized when the related sales occur. Costs that are incurred associated with the Sanofi territory-specific manufacturing activities are reimbursable from Sanofi and will be recognized as revenue.</w:t>
      </w:r>
    </w:p>
    <w:p>
      <w:pPr>
        <w:spacing w:after="0" w:line="1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For the purposes of ASC 606, the transaction price of the Sanofi Agreement as of the outset of the arrangement consists of the upfront cash payment of $80.0 million, which was allocated to the performance obligation related to the losmapimod license. The other potential milestone payments that the Company is eligible to receive under the Sanofi agreement have been excluded from the transaction price, as all the remaining milestone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 During the nine months ended September 30, 2024, the Company recognized $80.0 million of revenue associated with the upfront license payment.</w:t>
      </w:r>
    </w:p>
    <w:p>
      <w:pPr>
        <w:spacing w:after="0" w:line="19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For the parties’ participation in global development for losmapimod, the Company concluded that those activities and cost-sharing payments related to such activities are within the scope of ASC 808, as both parties are active participants in the development activities and are exposed to significant risks and rewards of those activities under the Sanofi agreement. The Company assessed its relationship with Sanofi, the economics and nature of the global development activities, and the contractual terms of the Sanofi Agreement and concluded that, in accordance with its policy, payments to or reimbursements from Sanofi related to the global development activities will be accounted for as an increase to or reduction of research and development expenses. During the three and nine months ended September 30, 2024, the Company recorded a reduction in research and development expenses in connection with global development activities for losmapimod of $3.7 million and $6.0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GSK Agreement</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February 2019, the Company entered into the right of reference and license agreement, as amended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Under the GSK Agreement, the Company issued 12,500,000 shares of Series B Preferred Stock to GSK (all of which converted to common stock in connection with the Company’s 2019 initial public offering). In addition, the Company may owe GSK up to $37.5 million in certain specified clinical and regulatory milestones, including a $5.0 million milestone that was achieved during 2022 and a $2.5 million milestone that was achieved 2019, and up to $60.0 million in certain specified sales milestones. The Company agreed to</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pay tiered royalties on annual net sales of losmapimod that range from mid single-digit percentages to a low double-digit, but less than teens, percentage.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royalties are payable on a product-by-product and country-by-country basis, and may be reduced in specified circumstances.</w:t>
      </w:r>
    </w:p>
    <w:p>
      <w:pPr>
        <w:spacing w:after="0" w:line="207"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clinical and regulatory milestone payments when the underlying contingency is resolved and the consideration is paid or becomes payable. The milestone payments are capitalized or expensed depending on the nature of the associated asset as of the date of recognition.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MyoKardia Agreement</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July 20, 2020, the Company entered into the MyoKardia Collaboration Agreement, as amended,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188"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8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Under the MyoKardia Collaboration Agreement, MyoKardia made a $10.0 million upfront payment and a $2.5 million payment as prepaid research funding to the Company in July 2020. MyoKardia agreed to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To date, the Company has achieved a $2.5 million specified preclinical milestone.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ind w:right="20"/>
        <w:spacing w:after="0" w:line="282" w:lineRule="auto"/>
        <w:rPr>
          <w:sz w:val="20"/>
          <w:szCs w:val="20"/>
          <w:color w:val="auto"/>
        </w:rPr>
      </w:pPr>
      <w:r>
        <w:rPr>
          <w:rFonts w:ascii="Times New Roman" w:cs="Times New Roman" w:eastAsia="Times New Roman" w:hAnsi="Times New Roman"/>
          <w:sz w:val="18"/>
          <w:szCs w:val="18"/>
          <w:color w:val="auto"/>
        </w:rPr>
        <w:t>applicable cure period. MyoKardia also has the right to terminate the MyoKardia Collaboration Agreement for convenience in its entirety or on a target-by-target, product-by-product or molecule-by-molecule basis.</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July 2024, the Company entered into an amendment to the MyoKardia Collaboration Agreement, pursuant to which the Company and MyoKardia agreed to extend the Research Term.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Contract</w:t>
      </w:r>
    </w:p>
    <w:p>
      <w:pPr>
        <w:spacing w:after="0" w:line="22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assessed the MyoKardia Collaboration Agreement and concluded that it represents a contract with a customer within the scope of ASC 606.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Promises and Performance Obligations</w:t>
      </w:r>
    </w:p>
    <w:p>
      <w:pPr>
        <w:spacing w:after="0" w:line="22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18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22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received a non-refundable upfront payment of $10.0 million, which the Company included in the transaction price. In December 2021, the Company achieved a $2.5 million specified preclinical milestone associated with the MyoKardia Collaboration Agreement, which was previously constrained due to the significant uncertainty regarding whether such preclinical milestone would be achieved. The Company included this amount in the transaction price as of December 31, 2021. Based on the continued uncertainty associated with the achievement of any of the remaining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p>
    <w:p>
      <w:pPr>
        <w:spacing w:after="0" w:line="19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also included in the transaction price the expected amount of costs to be reimbursed for the MyoKardia Research Services, which includes the $2.5 million prepaid research funding payment that the Company received in the third quarter of 2020.</w:t>
      </w:r>
    </w:p>
    <w:p>
      <w:pPr>
        <w:spacing w:after="0" w:line="162" w:lineRule="exact"/>
        <w:rPr>
          <w:sz w:val="20"/>
          <w:szCs w:val="20"/>
          <w:color w:val="auto"/>
        </w:rPr>
      </w:pPr>
    </w:p>
    <w:p>
      <w:pPr>
        <w:jc w:val="both"/>
        <w:ind w:right="840" w:firstLine="509"/>
        <w:spacing w:after="0" w:line="266" w:lineRule="auto"/>
        <w:rPr>
          <w:sz w:val="20"/>
          <w:szCs w:val="20"/>
          <w:color w:val="auto"/>
        </w:rPr>
      </w:pPr>
      <w:r>
        <w:rPr>
          <w:rFonts w:ascii="Times New Roman" w:cs="Times New Roman" w:eastAsia="Times New Roman" w:hAnsi="Times New Roman"/>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and nine months ended September 30, 2024.</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Performance Obligations</w:t>
      </w:r>
    </w:p>
    <w:p>
      <w:pPr>
        <w:spacing w:after="0" w:line="22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of Revenue</w:t>
      </w:r>
    </w:p>
    <w:p>
      <w:pPr>
        <w:spacing w:after="0" w:line="22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 The Company satisfied its obligation to perform research services as of December 31, 2023.</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recognized no collaboration revenue associated with the MyoKardia Collaboration Agreement. During the three and nine months ended September 30, 2023, the Company recognized $0.8 million and $1.9 million, respectively, of collaboration revenue associated with the MyoKardia Collaboration Agreement, which includes $0.2 million and $0.6 million, respectively, of revenue recognized that was in deferred revenue as of December 31, 2022. As of September 30, 2024 and December 31, 2023, the Company recorded no deferred revenue or accounts receivable associated with the MyoKardia Collaboration Agreement. As of September 30, 2024, the Company had received $7.7 million of cost reimbursement payments under the MyoKardia Collaboration Agreement and $2.5 million associated with the achievement of a preclinical milestone. As of December 31, 2023, the Company had received $7.2 million of cost reimbursement payments under the MyoKardia Collaboration Agreement and $2.5 million associated with the achievement of a preclinical milestone. As of September 30, 2024, the Company recorded no unbilled accounts receivable related to reimbursable research and development costs under the MyoKardia Collaboration Agreement for activities performed during the three months ended September 30, 2024. As of December 31, 2023, the Company recorded unbilled accounts receivable of $0.5 million related to reimbursable research and development costs under the MyoKardia Collaboration Agreement for activities performed during the three months ended December 31,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CAMP4 Agreement</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July 2023, the Company entered into a license agreement (the “CAMP4 Agreement”) with CAMP4 Therapeutics Corporation (“CAMP4”) pursuant to which the Company received a worldwide exclusive license (including the right to sublicense) from CAMP4 to rights under its Diamond Blackfan Anemia (“DBA”) program, which includes certain small molecule compounds, composition of matter and method of use patent rights, and know-how for the Company to research, develop, manufacture, use, commercialize or otherwise exploit therapeutic products in any indication, including the grant of a sublicense under certain intellectual property rights that CAMP4 has licensed under an agreement with Children’s Medical Center Corporation (“CMCC”).</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made an undisclosed upfront non-refundable, non-creditable payment to CAMP4. If the Company succeeds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w:t>
      </w:r>
    </w:p>
    <w:p>
      <w:pPr>
        <w:spacing w:after="0" w:line="3"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all valid patent claims covering the compounds in such country, (ii) the expiration of all regulatory exclusivities in such country, and</w:t>
      </w:r>
    </w:p>
    <w:p>
      <w:pPr>
        <w:spacing w:after="0" w:line="9" w:lineRule="exact"/>
        <w:rPr>
          <w:rFonts w:ascii="Times New Roman" w:cs="Times New Roman" w:eastAsia="Times New Roman" w:hAnsi="Times New Roman"/>
          <w:sz w:val="18"/>
          <w:szCs w:val="18"/>
          <w:color w:val="auto"/>
        </w:rPr>
      </w:pPr>
    </w:p>
    <w:p>
      <w:pPr>
        <w:ind w:right="60" w:firstLine="8"/>
        <w:spacing w:after="0" w:line="260"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years following the first commercial sale in such country. The Company is responsible for the costs associated with the development and regulatory approvals of licensed products.</w:t>
      </w:r>
    </w:p>
    <w:p>
      <w:pPr>
        <w:spacing w:after="0" w:line="1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license agreement continues on a country-by-country and licensed product-by-licensed product basis until the expiration of the royalty term in each country, at which time the license agreement expires with respect to such licensed product in such country and the Company will have a fully-paid up, royalty-free and perpetual license to the licensed patent rights and know-how with respect to such licensed product in such country. CAMP4 has the right to terminate the license agreement in the event of the Company’s non-payment (subject to cure periods and tolling for bona fide disputes). CAMP4 may also terminate the license agreement if the Company challenges certain patents sublicensed to the Company by CAMP4. Either party may terminate the license agreement in its entirety for the other party’s material breach if such other party fails to cure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2" w:name="page23"/>
    <w:bookmarkEnd w:id="22"/>
    <w:p>
      <w:pPr>
        <w:ind w:right="20"/>
        <w:spacing w:after="0" w:line="282" w:lineRule="auto"/>
        <w:rPr>
          <w:sz w:val="20"/>
          <w:szCs w:val="20"/>
          <w:color w:val="auto"/>
        </w:rPr>
      </w:pPr>
      <w:r>
        <w:rPr>
          <w:rFonts w:ascii="Times New Roman" w:cs="Times New Roman" w:eastAsia="Times New Roman" w:hAnsi="Times New Roman"/>
          <w:sz w:val="18"/>
          <w:szCs w:val="18"/>
          <w:color w:val="auto"/>
        </w:rPr>
        <w:t>breach. Either party may also terminate the agreement in its entirety upon certain insolvency events involving the other party. The Company has the right to terminate the license agreement with CAMP4 for any or no reason upon prior written notice to CAMP4.</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development and regulatory milestone payments when the underlying contingency is resolved and the consideration is paid or becomes payable. The milestone payments are capitalized or expensed depending on the nature of the associated asset as of the date of recognition.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26 Landsdowne Street</w:t>
      </w:r>
    </w:p>
    <w:p>
      <w:pPr>
        <w:spacing w:after="0" w:line="22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September 30, 2024 and December 31, 2023. Operating lease expense associated with this lease for the three and nine months ended September 30, 2024 was approximately $0.5 million and $1.4 million, respectively. Variable lease expense associated with this lease for the three and nine months ended September 30, 2024 was approximately $0.2 million and $0.7 million,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future minimum lease payments associated with the 26 Landsdowne Street lease as of September 30, 2024,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2024(1)</w:t>
            </w:r>
          </w:p>
        </w:tc>
        <w:tc>
          <w:tcPr>
            <w:tcW w:w="79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FF0FC"/>
          </w:tcPr>
          <w:p>
            <w:pPr>
              <w:spacing w:after="0"/>
              <w:rPr>
                <w:sz w:val="21"/>
                <w:szCs w:val="21"/>
                <w:color w:val="auto"/>
              </w:rPr>
            </w:pPr>
          </w:p>
        </w:tc>
      </w:tr>
      <w:tr>
        <w:trPr>
          <w:trHeight w:val="23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20"/>
                <w:szCs w:val="20"/>
                <w:color w:val="auto"/>
              </w:rPr>
            </w:pPr>
          </w:p>
        </w:tc>
      </w:tr>
      <w:tr>
        <w:trPr>
          <w:trHeight w:val="247"/>
        </w:trPr>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9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shd w:val="clear" w:color="auto" w:fill="CFF0FC"/>
          </w:tcPr>
          <w:p>
            <w:pPr>
              <w:spacing w:after="0"/>
              <w:rPr>
                <w:sz w:val="21"/>
                <w:szCs w:val="21"/>
                <w:color w:val="auto"/>
              </w:rPr>
            </w:pPr>
          </w:p>
        </w:tc>
      </w:tr>
      <w:tr>
        <w:trPr>
          <w:trHeight w:val="23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20"/>
                <w:szCs w:val="20"/>
                <w:color w:val="auto"/>
              </w:rPr>
            </w:pPr>
          </w:p>
        </w:tc>
      </w:tr>
      <w:tr>
        <w:trPr>
          <w:trHeight w:val="243"/>
        </w:trPr>
        <w:tc>
          <w:tcPr>
            <w:tcW w:w="92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100" w:type="dxa"/>
            <w:vAlign w:val="bottom"/>
          </w:tcPr>
          <w:p>
            <w:pPr>
              <w:spacing w:after="0"/>
              <w:rPr>
                <w:sz w:val="20"/>
                <w:szCs w:val="20"/>
                <w:color w:val="auto"/>
              </w:rPr>
            </w:pPr>
          </w:p>
        </w:tc>
      </w:tr>
      <w:tr>
        <w:trPr>
          <w:trHeight w:val="243"/>
        </w:trPr>
        <w:tc>
          <w:tcPr>
            <w:tcW w:w="9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(1,122 )</w:t>
            </w:r>
          </w:p>
        </w:tc>
      </w:tr>
      <w:tr>
        <w:trPr>
          <w:trHeight w:val="237"/>
        </w:trPr>
        <w:tc>
          <w:tcPr>
            <w:tcW w:w="926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00" w:type="dxa"/>
            <w:vAlign w:val="bottom"/>
            <w:tcBorders>
              <w:top w:val="single" w:sz="8" w:color="CFF0FC"/>
            </w:tcBorders>
          </w:tcPr>
          <w:p>
            <w:pPr>
              <w:spacing w:after="0"/>
              <w:rPr>
                <w:sz w:val="20"/>
                <w:szCs w:val="20"/>
                <w:color w:val="auto"/>
              </w:rPr>
            </w:pPr>
          </w:p>
        </w:tc>
      </w:tr>
      <w:tr>
        <w:trPr>
          <w:trHeight w:val="20"/>
        </w:trPr>
        <w:tc>
          <w:tcPr>
            <w:tcW w:w="13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
        </w:trPr>
        <w:tc>
          <w:tcPr>
            <w:tcW w:w="1360" w:type="dxa"/>
            <w:vAlign w:val="bottom"/>
            <w:tcBorders>
              <w:bottom w:val="single" w:sz="8" w:color="auto"/>
            </w:tcBorders>
          </w:tcPr>
          <w:p>
            <w:pPr>
              <w:spacing w:after="0"/>
              <w:rPr>
                <w:sz w:val="10"/>
                <w:szCs w:val="10"/>
                <w:color w:val="auto"/>
              </w:rPr>
            </w:pPr>
          </w:p>
        </w:tc>
        <w:tc>
          <w:tcPr>
            <w:tcW w:w="7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 w:lineRule="exact"/>
        <w:rPr>
          <w:sz w:val="20"/>
          <w:szCs w:val="20"/>
          <w:color w:val="auto"/>
        </w:rPr>
      </w:pPr>
    </w:p>
    <w:p>
      <w:pPr>
        <w:ind w:left="520" w:right="6320" w:hanging="512"/>
        <w:spacing w:after="0" w:line="50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are for the nine months ending December 31, 2024. </w:t>
      </w:r>
      <w:r>
        <w:rPr>
          <w:rFonts w:ascii="Times New Roman" w:cs="Times New Roman" w:eastAsia="Times New Roman" w:hAnsi="Times New Roman"/>
          <w:sz w:val="18"/>
          <w:szCs w:val="18"/>
          <w:i w:val="1"/>
          <w:iCs w:val="1"/>
          <w:color w:val="auto"/>
        </w:rPr>
        <w:t>125 Sidney Street</w:t>
      </w:r>
    </w:p>
    <w:p>
      <w:pPr>
        <w:spacing w:after="0" w:line="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November 2021, the Company entered into a lease agreement comprising approximately 12,196 square feet of office space at 125 Sidney Street in Cambridge, Massachusetts, commencing November 2021. The Company began recognizing rent expense associated with this lease during November 2021. The lease ended on March 31, 2024. The Company had the option to extend the term of the lease for two successive one-year periods, at the market rate, by giving the landlord written notice of its election to exercise the extension at least nine months prior to the original expiration of the lease term. The lease had a total commitment of $1.7 million over the initial term, and included escalating rent payments. Operating lease expense associated with this lease for the three and nine months ended September 30, 2024 was approximately zero and $0.2 million, respectively. No variable lease expense was recorded associated with this lease for the three and nine months ended September 30, 2024.</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no future minimum lease payments associated with this lease as of September 30,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line="258" w:lineRule="auto"/>
        <w:rPr>
          <w:sz w:val="20"/>
          <w:szCs w:val="20"/>
          <w:color w:val="auto"/>
        </w:rPr>
      </w:pPr>
      <w:r>
        <w:rPr>
          <w:rFonts w:ascii="Times New Roman" w:cs="Times New Roman" w:eastAsia="Times New Roman" w:hAnsi="Times New Roman"/>
          <w:sz w:val="18"/>
          <w:szCs w:val="18"/>
          <w:color w:val="auto"/>
        </w:rPr>
        <w:t>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September 30, 2024 or December 31,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April 28, 2023, a class action complaint was filed in the United States District Court for the District of New Jersey against the Company and current and former officers (the “Securities Action”). On May 19, 2023, the Securities Action was transferred to the United States District Court for the District of Massachusetts, captioned </w:t>
      </w:r>
      <w:r>
        <w:rPr>
          <w:rFonts w:ascii="Times New Roman" w:cs="Times New Roman" w:eastAsia="Times New Roman" w:hAnsi="Times New Roman"/>
          <w:sz w:val="18"/>
          <w:szCs w:val="18"/>
          <w:i w:val="1"/>
          <w:iCs w:val="1"/>
          <w:color w:val="auto"/>
        </w:rPr>
        <w:t>Celano v. Fulcrum Therapeutics, Inc., et al</w:t>
      </w:r>
      <w:r>
        <w:rPr>
          <w:rFonts w:ascii="Times New Roman" w:cs="Times New Roman" w:eastAsia="Times New Roman" w:hAnsi="Times New Roman"/>
          <w:sz w:val="18"/>
          <w:szCs w:val="18"/>
          <w:color w:val="auto"/>
        </w:rPr>
        <w:t>., Case No. 1:23-cv-11125-IT. On July 31, 2023, the court appointed a lead plaintiff, who filed an amended complaint on September 29, 2023. The Securities Action alleges violations of Section 10(b) of the Securities Exchange Act of 1934, as amended, and Rule 10b-5 promulgated thereunder against all defendants and control person violations of Section 20(a) against the individuals, related to the Company’s February 2023 announcement that the U.S. Food and Drug Administration issued a clinical hold regarding the investigational new drug application for pociredir for the potential treatment of sickle cell disease. The Securities Action alleges that the defendants made misleading statements and omitted to disclose material information related to the clinical hold and seeks, among other things, compensatory damages in connection with an allegedly inflated stock price between March 3, 2022, and March 8, 2023, as well as attorneys’ fees and costs. On November 28, 2023, all defendants filed a motion to dismiss the Securities Action. Briefing was completed on the motion in February 2024, and the motion is currently pending. The Company intends to defend vigorously against this litigation.</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Other than attorneys’ fees and costs related to the defense of the Securities Action, no such costs have been incurred during the three and nine months ended September 30,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$0.2 million and $0.6 million, respectively, in contributions to the 401(k) Plan for the three and nine months ended September 30, 2024 and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(Loss) per Share</w:t>
      </w:r>
    </w:p>
    <w:p>
      <w:pPr>
        <w:spacing w:after="0" w:line="22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Basic net income per share is calculated by dividing net income (loss) by the weighted average number of shares of common stock outstanding during the period. </w:t>
      </w:r>
      <w:r>
        <w:rPr>
          <w:rFonts w:ascii="Times New Roman" w:cs="Times New Roman" w:eastAsia="Times New Roman" w:hAnsi="Times New Roman"/>
          <w:sz w:val="18"/>
          <w:szCs w:val="18"/>
          <w:color w:val="212529"/>
        </w:rPr>
        <w:t>Shares of the Company’s common stock underlying pre-funded warrants are included in the calculation of basic and diluted net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per share. </w:t>
      </w:r>
      <w:r>
        <w:rPr>
          <w:rFonts w:ascii="Times New Roman" w:cs="Times New Roman" w:eastAsia="Times New Roman" w:hAnsi="Times New Roman"/>
          <w:sz w:val="18"/>
          <w:szCs w:val="18"/>
          <w:color w:val="000000"/>
        </w:rPr>
        <w:t>Diluted net income per share is calculated by adjusting weighted average shares outstanding for the dilutive effect of common stock equivalents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outstanding for the period. For purposes of the diluted net income per share calculation, the effect of stock options and unvested restricted stock units on the weighted average number of shares is calculated using the treasury stock method. In periods with reported net operating losses, all common stock equivalents are deemed anti-dilutive such that basic net loss per share and diluted net loss per share are equal.</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calculation of net income (loss) and the number of shares used to compute basic and diluted net income (loss) per share for the three and nine months ended September 30, 2024 and 2023 are as follows (in thousands, except per share data):</w:t>
      </w:r>
    </w:p>
    <w:tbl>
      <w:tblPr>
        <w:tblLayout w:type="fixed"/>
        <w:tblInd w:w="0" w:type="dxa"/>
        <w:tblCellMar>
          <w:top w:w="0" w:type="dxa"/>
          <w:left w:w="0" w:type="dxa"/>
          <w:bottom w:w="0" w:type="dxa"/>
          <w:right w:w="0" w:type="dxa"/>
        </w:tblCellMar>
      </w:tblPr>
      <w:tr>
        <w:trPr>
          <w:trHeight w:val="137"/>
        </w:trPr>
        <w:tc>
          <w:tcPr>
            <w:tcW w:w="4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40" w:type="dxa"/>
            <w:vAlign w:val="bottom"/>
            <w:gridSpan w:val="3"/>
          </w:tcPr>
          <w:p>
            <w:pPr>
              <w:jc w:val="right"/>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3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basic and diluted</w:t>
            </w: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6"/>
              </w:rPr>
              <w:t>(21,696 )</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(24,017 )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7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(72,579 )</w:t>
            </w: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62,409</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62,200</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61,121</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diluted securities: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9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62,409</w:t>
            </w:r>
          </w:p>
        </w:tc>
        <w:tc>
          <w:tcPr>
            <w:tcW w:w="240" w:type="dxa"/>
            <w:vAlign w:val="bottom"/>
            <w:tcBorders>
              <w:top w:val="single" w:sz="8" w:color="CFF0FC"/>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61,823</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63,688</w:t>
            </w:r>
          </w:p>
        </w:tc>
        <w:tc>
          <w:tcPr>
            <w:tcW w:w="220" w:type="dxa"/>
            <w:vAlign w:val="bottom"/>
            <w:tcBorders>
              <w:top w:val="single" w:sz="8" w:color="CFF0FC"/>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61,121</w:t>
            </w:r>
          </w:p>
        </w:tc>
        <w:tc>
          <w:tcPr>
            <w:tcW w:w="100" w:type="dxa"/>
            <w:vAlign w:val="bottom"/>
            <w:tcBorders>
              <w:top w:val="single" w:sz="8" w:color="CFF0FC"/>
            </w:tcBorders>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per share, basic</w:t>
            </w: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(0.35 )</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(0.39 )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7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(1.19 )</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share, diluted</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(0.35 )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(1.19 )</w:t>
            </w:r>
          </w:p>
        </w:tc>
      </w:tr>
      <w:tr>
        <w:trPr>
          <w:trHeight w:val="657"/>
        </w:trPr>
        <w:tc>
          <w:tcPr>
            <w:tcW w:w="4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-1379220</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-1379220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-1379220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income (loss) per share for the periods indicated because including them would have had an anti-dilutive effect (in thousands):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460" w:type="dxa"/>
            <w:vAlign w:val="bottom"/>
            <w:gridSpan w:val="4"/>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00" w:type="dxa"/>
            <w:vAlign w:val="bottom"/>
            <w:gridSpan w:val="4"/>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40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6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69"/>
        </w:trPr>
        <w:tc>
          <w:tcPr>
            <w:tcW w:w="4000" w:type="dxa"/>
            <w:vAlign w:val="bottom"/>
          </w:tcPr>
          <w:p>
            <w:pPr>
              <w:spacing w:after="0"/>
              <w:rPr>
                <w:sz w:val="14"/>
                <w:szCs w:val="14"/>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10,747</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10,109</w:t>
            </w:r>
          </w:p>
        </w:tc>
        <w:tc>
          <w:tcPr>
            <w:tcW w:w="12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7,480</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10,109</w:t>
            </w: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78</w:t>
            </w:r>
          </w:p>
        </w:tc>
      </w:tr>
      <w:tr>
        <w:trPr>
          <w:trHeight w:val="276"/>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10,818</w:t>
            </w:r>
          </w:p>
        </w:tc>
        <w:tc>
          <w:tcPr>
            <w:tcW w:w="1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10,187</w:t>
            </w:r>
          </w:p>
        </w:tc>
        <w:tc>
          <w:tcPr>
            <w:tcW w:w="1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10,187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-25400</wp:posOffset>
            </wp:positionV>
            <wp:extent cx="768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 Activities</w:t>
      </w:r>
    </w:p>
    <w:p>
      <w:pPr>
        <w:spacing w:after="0" w:line="229" w:lineRule="exact"/>
        <w:rPr>
          <w:sz w:val="20"/>
          <w:szCs w:val="20"/>
          <w:color w:val="auto"/>
        </w:rPr>
      </w:pPr>
    </w:p>
    <w:p>
      <w:pPr>
        <w:ind w:right="380" w:firstLine="509"/>
        <w:spacing w:after="0" w:line="256" w:lineRule="auto"/>
        <w:rPr>
          <w:sz w:val="20"/>
          <w:szCs w:val="20"/>
          <w:color w:val="auto"/>
        </w:rPr>
      </w:pPr>
      <w:r>
        <w:rPr>
          <w:rFonts w:ascii="Times New Roman" w:cs="Times New Roman" w:eastAsia="Times New Roman" w:hAnsi="Times New Roman"/>
          <w:sz w:val="18"/>
          <w:szCs w:val="18"/>
          <w:color w:val="auto"/>
        </w:rPr>
        <w:t>In September 2024, the Company announced a plan to reprioritize research and development activities to focus on advancing pociredir for the treatment of sickle cell disease, novel therapeutic agents for the treatment of DBA, and the Company's early discovery programs. The plan reduced the Company’s workforce from 80 to 51 full-time employees, including a reduction of positions across both research and development and general and administrative functions. During the three and nine months ended September 30, 2024, the Company recorded aggregate restructuring charges of $2.1 million related to severance and other employee-related costs. During the three and nine months ended September 30, 2024, the Company paid no restructuring charges.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restructuring charges as of December 31, 2023</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 incurred during the period</w:t>
            </w:r>
          </w:p>
        </w:tc>
        <w:tc>
          <w:tcPr>
            <w:tcW w:w="7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Pr>
          <w:p>
            <w:pPr>
              <w:spacing w:after="0"/>
              <w:rPr>
                <w:sz w:val="20"/>
                <w:szCs w:val="20"/>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paid during the period</w:t>
            </w:r>
          </w:p>
        </w:tc>
        <w:tc>
          <w:tcPr>
            <w:tcW w:w="7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Accrued restructuring charges as of September 30, 2024</w:t>
            </w: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Related-Party Transactions</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August 2024, the Company entered into an exchange agreement with RA Capital, one of the Company's principal stockholders and a related party in accordance with </w:t>
      </w:r>
      <w:r>
        <w:rPr>
          <w:rFonts w:ascii="Times New Roman" w:cs="Times New Roman" w:eastAsia="Times New Roman" w:hAnsi="Times New Roman"/>
          <w:sz w:val="18"/>
          <w:szCs w:val="18"/>
          <w:color w:val="212529"/>
        </w:rPr>
        <w:t>ASC 850,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xml:space="preserve"> pursuant to which RA Capital exchanged 8,500,000 shares of the Company's common stock, par value $0.001 per share, or common stock, for a pre-funded warrant to acquire 8,500,000 shares of the Company's common stock. No cash was exchanged related to the transaction. See Note 8, "Common Stock", for additional details of the transaction.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elsewhere in this Quarterly Report on Form 10-Q and our Annual Report on Form 10-K filed with the Securities and Exchange Commission, or SEC, on February 27, 2024.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small molecules to improve the lives of patients with genetically defined rare diseases in areas of high unmet medical need. Our clinical-stage product candidate, pociredir, is being developed for the potential treatment of sickle cell disease, or SCD.</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January 2023, we announced interim data from our Phase 1b clinical trial of pociredir in SCD. We completed enrollment in the 6 mg and 2 mg dose cohorts, and do not plan to enroll additional subjects in these cohorts. Although we commenced enrollment in the 12 mg dose cohort, in February 2023 the FDA placed a full clinical hold on the investigational new drug, or IND, application for pociredir for SCD, which was lifted in August 2023. Following the clinical hold, we amended the protocol to revise the inclusion and exclusion criteria for the Phase 1b clinical trial to target subjects with higher disease severity. We reinitiated the Phase 1b clinical trial at the 12 mg once daily dose level in the fourth quarter of 2023, with that cohort expected to enroll up to 10 subjects, to be followed by an additional cohort of up to 10 subjects at the 20 mg once daily dose level. We expect to provide clinical data from this trial in 2025.</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2024, we announced </w:t>
      </w:r>
      <w:r>
        <w:rPr>
          <w:rFonts w:ascii="Times New Roman" w:cs="Times New Roman" w:eastAsia="Times New Roman" w:hAnsi="Times New Roman"/>
          <w:sz w:val="18"/>
          <w:szCs w:val="18"/>
          <w:color w:val="212529"/>
        </w:rPr>
        <w:t>topline results from our Phase 3 REACH clinical trial of losmapimod in facioscapulohumeral muscular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dystrophy, or FSHD. The Phase 3 REACH trial did not achieve its primary endpoint of change from baseline in relative surface area with losmapimod compared to placebo. In addition, secondary endpoints did not achieve nominal statistical significance. The safety and tolerability profile of losmapimod was consistent with previously reported studies. We plan to share the results at an upcoming medical meeting. Based on the results of the REACH trial, we have suspended future development of losmapimod.</w:t>
      </w:r>
    </w:p>
    <w:p>
      <w:pPr>
        <w:spacing w:after="0" w:line="1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September 2024, we also announced a strategic plan to reprioritize research and development activities and are now focused on advancing pociredir for the treatment of SCD, novel therapeutic agents for the potential treatment of inherited aplastic anemias, such as DBA, Shwachman-Diamond syndrome, and Fanconi anemia, and our early discovery programs. The plan reduced our workforce from 80 to 51 full-time employees, including a reduction of positions across both research and development and general and administrative functions. This restructuring will result in annual operating expense savings of approximately $10.0 million beginning in the first quarter of 2025.</w:t>
      </w:r>
    </w:p>
    <w:p>
      <w:pPr>
        <w:spacing w:after="0" w:line="183"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product candidates, we developed a discovery approach that we employ to systematically identify and validate cellular drug targets that can potentially modulate gene expression to treat known root causes of genetically defined rare diseases. Our discovery approach led to the identification of pociredir for SCD, as well as a robust discovery pipeline.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technologies, identifying drug targets and potential product candidates, in-licensing assets, producing drug substance and drug product material for use in clinical trials and conducting preclinical studies and clinical trials. To date, we have funded our operations primarily from the sale of shares of our capital stock and from upfront payments received under our collaboration and license agreements.</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with the exception of the nine months ended September 30, 2024,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income was $6.8 million for the nine months ended September 30, 2024, primarily due to the $80.0 million of collaboration revenue associated with our collaboration and license agreement with Sanofi that we recognized during the period. Our net loss was $72.6 million for the nine months ended September 30, 2023. As of September 30, 2024, we had an accumulated deficit of $502.8 million. We expect our expenses and operating losses will increase over the next several years in connection with our ongoing activities, as we:</w:t>
      </w:r>
    </w:p>
    <w:p>
      <w:pPr>
        <w:spacing w:after="0" w:line="81" w:lineRule="exact"/>
        <w:rPr>
          <w:sz w:val="20"/>
          <w:szCs w:val="20"/>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pociredir;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into later stage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6" w:name="page27"/>
    <w:bookmarkEnd w:id="26"/>
    <w:p>
      <w:pPr>
        <w:ind w:left="900" w:right="300" w:hanging="383"/>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 including for the potential treatment of inherited aplastic anemias, such as DBA, Shwachman-Diamond syndrome, and Fanconi anemia under our license agreement with CAMP4;</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5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that we have not out-licensed;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such as our agreement with CAMP4;</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CAMP4 under our license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we had $257.2 million in cash, cash equivalents, and marketable securities. We believe that our existing cash, cash equivalents, and marketable securities as of September 30, 2024 will enable us to fund our operating expenses and capital expenditure requirements into at least 2027. We have based this estimate on assumptions that may prove to be wrong, and we could exhaust our available capital resources sooner than we expect. See “—Liquidity and Capital Resources.”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8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May 2024, we entered into a collaboration and license agreement with Sanofi, pursuant to which we granted Sanofi an exclusive license under certain intellectual property rights to commercialize losmapimod, an oral small molecule for the treatment of FSHD outside of the United States.</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we recognized $80.0 million of revenue associated with the upfront license payment. During the three and nine months ended September 30, 2024, we recorded a $3.7 million and $6.0 million reduction in research and development expenses in connection with global development activities for losmapimod, respectively. During the three and nine months ended September 30, 2024, we recognized no revenue associated with the Sanofi territory-specific manufacturing</w:t>
      </w: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 w:name="page28"/>
    <w:bookmarkEnd w:id="27"/>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activities for losmapimod. As a result of the suspension of </w:t>
      </w:r>
      <w:r>
        <w:rPr>
          <w:rFonts w:ascii="Times New Roman" w:cs="Times New Roman" w:eastAsia="Times New Roman" w:hAnsi="Times New Roman"/>
          <w:sz w:val="18"/>
          <w:szCs w:val="18"/>
          <w:color w:val="212529"/>
        </w:rPr>
        <w:t>future development of losmapimod, we do not expect to recognize additional revenues under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Sanofi collaboration agreement.</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July 2020, we entered into a collaboration and license agreement with MyoKardia, which we amended in April 2023 and again in July 2024,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up to a certain number of genes of interest with relevance to certain genetically defined cardiomyopathies. MyoKardia was subsequently acquired by Bristol-Myers Squibb Company in November 2020.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 We satisfied our obligation to perform research services as of December 31, 2023.</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MyoKardia collaboration agreement, we received a $10.0 million upfront payment and a $2.5 million payment as prepaid research funding in July 2020. MyoKardia agreed to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 million in the aggregate per target for certain potential cardiomyopathy gene targets, and of up to $150.0 million in the aggregate per target for certain other potential cardiomyopathy gene targets. To date, we have achieved a $2.5 million specified preclinical milestone.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8"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and 2023, we recognized zero and $0.8 million, respectively, of collaboration revenue under the MyoKardia collaboration agreement. As of September 30, 2024 and December 31, 2023, we have recorded no deferred revenue associated with the MyoKardia collaboration agreement. As of September 30, 2024, we had received $7.7 million of cost reimbursement payments and $2.5 million of milestone payments under the MyoKardia collaboration agreement. As of September 30, 2024, we recorded no accounts receivable or unbilled accounts receivable under the MyoKardia collaboration agreement.</w:t>
      </w:r>
    </w:p>
    <w:p>
      <w:pPr>
        <w:spacing w:after="0" w:line="17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the future, we may generate revenue from milestones and royalty payments under the MyoKardia collaboration agreement. We expect that our revenue may fluctuate from quarter-to-quarter and year-to-year as a result of the timing, amount, and achievement of milestones under the MyoKardia collaboration agreement.</w:t>
      </w:r>
    </w:p>
    <w:p>
      <w:pPr>
        <w:spacing w:after="0" w:line="17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by us for the discovery, development, and manufacture of our product candidates and include:</w:t>
      </w:r>
    </w:p>
    <w:p>
      <w:pPr>
        <w:spacing w:after="0" w:line="54" w:lineRule="exact"/>
        <w:rPr>
          <w:sz w:val="20"/>
          <w:szCs w:val="20"/>
          <w:color w:val="auto"/>
        </w:rPr>
      </w:pPr>
    </w:p>
    <w:p>
      <w:pPr>
        <w:ind w:left="900" w:right="78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contract manufacturing organizations, and consultants;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payroll taxes, employee benefits and stock-based compensation expenses for individuals involved in research and development efforts;</w:t>
      </w:r>
    </w:p>
    <w:p>
      <w:pPr>
        <w:spacing w:after="0" w:line="12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other operating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following nomination as a development candidate for the three and nine months ended September 30, 2024 and 2023. Pre-development candidate expenses, unallocated expenses and internal research and development expenses are classified separately. Payments to or reimbursements from Sanofi related to global development activities are accounted for as an increase to or reduction of losmapimod external expenses.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69"/>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4,308</w:t>
            </w:r>
          </w:p>
        </w:tc>
        <w:tc>
          <w:tcPr>
            <w:tcW w:w="4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7,727</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18,783</w:t>
            </w:r>
          </w:p>
        </w:tc>
        <w:tc>
          <w:tcPr>
            <w:tcW w:w="4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21,452</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Pociredir external expenses</w:t>
            </w:r>
          </w:p>
        </w:tc>
        <w:tc>
          <w:tcPr>
            <w:tcW w:w="240" w:type="dxa"/>
            <w:vAlign w:val="bottom"/>
          </w:tcPr>
          <w:p>
            <w:pPr>
              <w:spacing w:after="0"/>
              <w:rPr>
                <w:sz w:val="20"/>
                <w:szCs w:val="20"/>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2,216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5,665</w:t>
            </w: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3,520</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4,196</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10,524</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10,636</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4,595</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5,205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16,346</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15,049</w:t>
            </w:r>
          </w:p>
        </w:tc>
      </w:tr>
      <w:tr>
        <w:trPr>
          <w:trHeight w:val="277"/>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14,639</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18,238</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51,673</w:t>
            </w:r>
          </w:p>
        </w:tc>
        <w:tc>
          <w:tcPr>
            <w:tcW w:w="1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52,802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85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768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2"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clinical development of and, if applicable, commercialize our product candidates if and when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and active pharmaceutical ingredient, or API, for use in production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operate a manufacturing facility, or secure manufacturing supply through relationships with third parties;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in quantities sufficient for use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enforce, defend and protect our rights in our intellectual property portfolio;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coverage and adequate reimbursement for our product candidates, if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products following receipt of any regulatory approvals.</w:t>
      </w:r>
    </w:p>
    <w:p>
      <w:pPr>
        <w:spacing w:after="0" w:line="22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in future periods as we continue to implement our business strategy, which includes advancing pociredir for the treatment of SCD,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approval and commercialization. There are numerous factors associated with obtaining regulatory approval and the successful commercialization of any of our product candidates, including future trial design and various regulatory requirements, many of which cannot be determined with accuracy at this time based on our stage of development.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to support continued research and development activities and planned commercialization activities, including establishing a sales, marketing and distribution infrastructure to commercialize any medicines for which we may obtain marketing approval. These increases will likely include increased costs related to the hiring of additional personnel, legal, audit, filing fees, and general compliance and consulting expenses, among other expenses.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Expenses</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2024, we announced a plan to reprioritize research and development activities to focus on advancing pociredir for the treatment of SCD, novel therapeutic agents for the treatment of inherited aplastic anemias, such as DBA, Shwachman-Diamond syndrome, and Fanconi anemia, and our early discovery programs. The plan reduced our workforce from 80 to 51 full-time employees, including a reduction of positions across both research and development and general and administrative functions.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related to our investments in cash equivalents and marketable securities.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three months ended September 30, 2024 and 2023 along with the changes in those items in dollars:</w:t>
      </w:r>
    </w:p>
    <w:tbl>
      <w:tblPr>
        <w:tblLayout w:type="fixed"/>
        <w:tblInd w:w="860" w:type="dxa"/>
        <w:tblCellMar>
          <w:top w:w="0" w:type="dxa"/>
          <w:left w:w="0" w:type="dxa"/>
          <w:bottom w:w="0" w:type="dxa"/>
          <w:right w:w="0" w:type="dxa"/>
        </w:tblCellMar>
      </w:tblPr>
      <w:tr>
        <w:trPr>
          <w:trHeight w:val="137"/>
        </w:trPr>
        <w:tc>
          <w:tcPr>
            <w:tcW w:w="5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40" w:type="dxa"/>
            <w:vAlign w:val="bottom"/>
            <w:gridSpan w:val="5"/>
          </w:tcPr>
          <w:p>
            <w:pPr>
              <w:jc w:val="right"/>
              <w:ind w:right="800"/>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1"/>
                <w:szCs w:val="11"/>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(759 )</w:t>
            </w:r>
          </w:p>
        </w:tc>
        <w:tc>
          <w:tcPr>
            <w:tcW w:w="0" w:type="dxa"/>
            <w:vAlign w:val="bottom"/>
          </w:tcPr>
          <w:p>
            <w:pPr>
              <w:spacing w:after="0"/>
              <w:rPr>
                <w:sz w:val="1"/>
                <w:szCs w:val="1"/>
                <w:color w:val="auto"/>
              </w:rPr>
            </w:pPr>
          </w:p>
        </w:tc>
      </w:tr>
      <w:tr>
        <w:trPr>
          <w:trHeight w:val="23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(3,599 )</w:t>
            </w:r>
          </w:p>
        </w:tc>
        <w:tc>
          <w:tcPr>
            <w:tcW w:w="0" w:type="dxa"/>
            <w:vAlign w:val="bottom"/>
          </w:tcPr>
          <w:p>
            <w:pPr>
              <w:spacing w:after="0"/>
              <w:rPr>
                <w:sz w:val="1"/>
                <w:szCs w:val="1"/>
                <w:color w:val="auto"/>
              </w:rPr>
            </w:pPr>
          </w:p>
        </w:tc>
      </w:tr>
      <w:tr>
        <w:trPr>
          <w:trHeight w:val="239"/>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(1,537 )</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Restructuring expense</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(3,073 )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(25,126 )</w:t>
            </w:r>
          </w:p>
        </w:tc>
        <w:tc>
          <w:tcPr>
            <w:tcW w:w="3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(27,440 )</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(21,696 )</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(24,017 )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-668020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-668020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-668020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-25400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decreased by $0.8 million from $0.8 million for the three months ended September 30, 2023 to zero for the three months ended September 30, 2024. The decrease was attributable to the completion of our research services under our collaboration agreement with MyoKardia during the fourth quarter of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September 30, 2024 and 2023:</w:t>
      </w:r>
    </w:p>
    <w:p>
      <w:pPr>
        <w:spacing w:after="0" w:line="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4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78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(2,269 )</w:t>
            </w:r>
          </w:p>
        </w:tc>
        <w:tc>
          <w:tcPr>
            <w:tcW w:w="0" w:type="dxa"/>
            <w:vAlign w:val="bottom"/>
          </w:tcPr>
          <w:p>
            <w:pPr>
              <w:spacing w:after="0"/>
              <w:rPr>
                <w:sz w:val="1"/>
                <w:szCs w:val="1"/>
                <w:color w:val="auto"/>
              </w:rPr>
            </w:pPr>
          </w:p>
        </w:tc>
      </w:tr>
      <w:tr>
        <w:trPr>
          <w:trHeight w:val="23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(611 )</w:t>
            </w:r>
          </w:p>
        </w:tc>
        <w:tc>
          <w:tcPr>
            <w:tcW w:w="0" w:type="dxa"/>
            <w:vAlign w:val="bottom"/>
          </w:tcPr>
          <w:p>
            <w:pPr>
              <w:spacing w:after="0"/>
              <w:rPr>
                <w:sz w:val="1"/>
                <w:szCs w:val="1"/>
                <w:color w:val="auto"/>
              </w:rPr>
            </w:pPr>
          </w:p>
        </w:tc>
      </w:tr>
      <w:tr>
        <w:trPr>
          <w:trHeight w:val="247"/>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3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4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0"/>
        </w:trPr>
        <w:tc>
          <w:tcPr>
            <w:tcW w:w="48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24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(3,599 )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-187960</wp:posOffset>
            </wp:positionV>
            <wp:extent cx="596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-187960</wp:posOffset>
            </wp:positionV>
            <wp:extent cx="603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$3.6 million from $18.2 million for the three months ended September 30, 2023 to $14.6 million for the three months ended September 30, 2024. The decrease in research and development expense was primarily attributable to the following:</w:t>
      </w:r>
    </w:p>
    <w:p>
      <w:pPr>
        <w:spacing w:after="0" w:line="54" w:lineRule="exact"/>
        <w:rPr>
          <w:sz w:val="20"/>
          <w:szCs w:val="20"/>
          <w:color w:val="auto"/>
        </w:rPr>
      </w:pPr>
    </w:p>
    <w:p>
      <w:pPr>
        <w:ind w:left="900" w:hanging="383"/>
        <w:spacing w:after="0" w:line="26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of decreased external research and development costs, primarily due to $3.7 million of reimbursement from the global development cost sharing under our collaboration with Sanofi for losmapimod, partially offset by increased development costs associated with the advancement of REACH, as we completed enrollment in September 2023, as well as increased costs associated with pociredir;</w:t>
      </w:r>
    </w:p>
    <w:p>
      <w:pPr>
        <w:spacing w:after="0" w:line="67"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of decreased employee compensation costs, which reflects a partial offset of $0.3 million in increased stock-based compensation expense.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of decreased laboratory supplies costs;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of decreased facility costs;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of decreased other costs.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September 30, 2024 and 2023:</w:t>
      </w:r>
    </w:p>
    <w:p>
      <w:pPr>
        <w:spacing w:after="0" w:line="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2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2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18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(1,714 )</w:t>
            </w: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8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(1,537 )</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603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51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51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$1.6 million from $10.0 million for the three months ended September 30, 2023 to $8.4 million for the three months ended September 30, 2024. The decrease in general and administrative expenses was primarily attributable to the following:</w:t>
      </w:r>
    </w:p>
    <w:p>
      <w:pPr>
        <w:spacing w:after="0" w:line="54" w:lineRule="exact"/>
        <w:rPr>
          <w:sz w:val="20"/>
          <w:szCs w:val="20"/>
          <w:color w:val="auto"/>
        </w:rPr>
      </w:pPr>
    </w:p>
    <w:p>
      <w:pPr>
        <w:ind w:left="900" w:right="72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of decreased employee compensation costs due to decreased headcount, including a $0.2 million decrease in stock-based compensation expense;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of decreased facility costs as a result of the expiration of our lease agreement for office space at 125 Sidney Street;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$0.1 million of decreased other costs;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$0.6 million of increased professional services costs, primarily due to increased legal and commercial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Expenses</w:t>
      </w:r>
    </w:p>
    <w:p>
      <w:pPr>
        <w:spacing w:after="0" w:line="22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Restructuring charges were $2.1 million for the three months ended September 30, 2024, compared to zero for the three months ended September 30,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Other income, net increased by less than $0.1 million from $3.4 million for the three months ended September 30, 2023 to $3.4 million for the three months ended September 30, 2024. The slight increase was primarily attributable to an increase in investment income on our cash, cash equivalents, and marketable securities as a result of an overall increased rate of return.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nine months ended September 30, 2024 and 2023 along with the changes in those items in dollars: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2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78,066</w:t>
            </w:r>
          </w:p>
        </w:tc>
        <w:tc>
          <w:tcPr>
            <w:tcW w:w="80" w:type="dxa"/>
            <w:vAlign w:val="bottom"/>
            <w:shd w:val="clear" w:color="auto" w:fill="CFF0FC"/>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20" w:type="dxa"/>
            <w:vAlign w:val="bottom"/>
          </w:tcPr>
          <w:p>
            <w:pPr>
              <w:spacing w:after="0"/>
              <w:rPr>
                <w:sz w:val="21"/>
                <w:szCs w:val="21"/>
                <w:color w:val="auto"/>
              </w:rPr>
            </w:pPr>
          </w:p>
        </w:tc>
        <w:tc>
          <w:tcPr>
            <w:tcW w:w="3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51,673</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52,802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(1,129 )</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p>
        </w:tc>
        <w:tc>
          <w:tcPr>
            <w:tcW w:w="3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(3,072 )</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4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Restructuring expense</w:t>
            </w:r>
          </w:p>
        </w:tc>
        <w:tc>
          <w:tcPr>
            <w:tcW w:w="20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tcBorders>
              <w:bottom w:val="single" w:sz="8" w:color="CFF0FC"/>
            </w:tcBorders>
            <w:shd w:val="clear" w:color="auto" w:fill="CFF0FC"/>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(2,138 )</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20" w:type="dxa"/>
            <w:vAlign w:val="bottom"/>
          </w:tcPr>
          <w:p>
            <w:pPr>
              <w:spacing w:after="0"/>
              <w:rPr>
                <w:sz w:val="20"/>
                <w:szCs w:val="20"/>
                <w:color w:val="auto"/>
              </w:rPr>
            </w:pPr>
          </w:p>
        </w:tc>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(2,468 )</w:t>
            </w:r>
          </w:p>
        </w:tc>
        <w:tc>
          <w:tcPr>
            <w:tcW w:w="3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(82,672 )</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80,204</w:t>
            </w:r>
          </w:p>
        </w:tc>
        <w:tc>
          <w:tcPr>
            <w:tcW w:w="80" w:type="dxa"/>
            <w:vAlign w:val="bottom"/>
            <w:shd w:val="clear" w:color="auto" w:fill="CFF0FC"/>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(782 )</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020" w:type="dxa"/>
            <w:vAlign w:val="bottom"/>
          </w:tcPr>
          <w:p>
            <w:pPr>
              <w:spacing w:after="0"/>
              <w:rPr>
                <w:sz w:val="24"/>
                <w:szCs w:val="24"/>
                <w:color w:val="auto"/>
              </w:rPr>
            </w:pPr>
          </w:p>
        </w:tc>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24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(72,579 )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79,422</w:t>
            </w:r>
          </w:p>
        </w:tc>
        <w:tc>
          <w:tcPr>
            <w:tcW w:w="80" w:type="dxa"/>
            <w:vAlign w:val="bottom"/>
            <w:shd w:val="clear" w:color="auto" w:fill="CFF0FC"/>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1020" w:type="dxa"/>
            <w:vAlign w:val="bottom"/>
          </w:tcPr>
          <w:p>
            <w:pPr>
              <w:spacing w:after="0"/>
              <w:rPr>
                <w:sz w:val="24"/>
                <w:szCs w:val="24"/>
                <w:color w:val="auto"/>
              </w:rPr>
            </w:pPr>
          </w:p>
        </w:tc>
        <w:tc>
          <w:tcPr>
            <w:tcW w:w="3420" w:type="dxa"/>
            <w:vAlign w:val="bottom"/>
            <w:tcBorders>
              <w:top w:val="single" w:sz="8" w:color="CFF0FC"/>
            </w:tcBorders>
          </w:tcPr>
          <w:p>
            <w:pPr>
              <w:spacing w:after="0"/>
              <w:rPr>
                <w:sz w:val="24"/>
                <w:szCs w:val="24"/>
                <w:color w:val="auto"/>
              </w:rPr>
            </w:pPr>
          </w:p>
        </w:tc>
        <w:tc>
          <w:tcPr>
            <w:tcW w:w="2000" w:type="dxa"/>
            <w:vAlign w:val="bottom"/>
            <w:tcBorders>
              <w:top w:val="single" w:sz="8" w:color="CFF0FC"/>
            </w:tcBorders>
          </w:tcPr>
          <w:p>
            <w:pPr>
              <w:jc w:val="right"/>
              <w:ind w:right="63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-1576705</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-1576705</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-1576705</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-933450</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-916305</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-933450</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-916305</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-933450</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-916305</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increased by $78.1 million from $1.9 million for the nine months ended September 30, 2023 to $80.0 million for the nine months ended September 30, 2024. The increase was primarily attributable to the recognition of $80.0 million of revenue associated with the upfront license payment received during the second quarter of 2024 under the Sanofi collaboration agreement.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nine months ended September 30, 2024 and 2023:</w:t>
      </w:r>
    </w:p>
    <w:p>
      <w:pPr>
        <w:spacing w:after="0" w:line="200" w:lineRule="exact"/>
        <w:rPr>
          <w:sz w:val="20"/>
          <w:szCs w:val="20"/>
          <w:color w:val="auto"/>
        </w:rPr>
      </w:pP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3"/>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29,972</w:t>
            </w:r>
          </w:p>
        </w:tc>
        <w:tc>
          <w:tcPr>
            <w:tcW w:w="112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30,343</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(371 )</w:t>
            </w: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16,345</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(1,363 )</w:t>
            </w: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4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(402 )</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51,673</w:t>
            </w:r>
          </w:p>
        </w:tc>
        <w:tc>
          <w:tcPr>
            <w:tcW w:w="260" w:type="dxa"/>
            <w:vAlign w:val="bottom"/>
          </w:tcPr>
          <w:p>
            <w:pPr>
              <w:spacing w:after="0"/>
              <w:rPr>
                <w:sz w:val="20"/>
                <w:szCs w:val="20"/>
                <w:color w:val="auto"/>
              </w:rPr>
            </w:pP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52,802</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(1,129 )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-187960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-187960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-187960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$1.1 million from $52.8 million for the nine months ended September 30, 2023 to $51.7 million for the nine months ended September 30, 2024. The decrease in research and development expense was primarily attributable to the following:</w:t>
      </w:r>
    </w:p>
    <w:p>
      <w:pPr>
        <w:spacing w:after="0" w:line="54" w:lineRule="exact"/>
        <w:rPr>
          <w:sz w:val="20"/>
          <w:szCs w:val="20"/>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of decreased laboratory supplies costs;</w:t>
      </w:r>
    </w:p>
    <w:p>
      <w:pPr>
        <w:spacing w:after="0" w:line="117"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of decreased external research and development costs, primarily due to $6.0 million of reimbursement from the global development cost sharing under our collaboration with Sanofi for losmapimod, partially offset by increased development costs associated with the advancement of REACH, as we completed enrollment in September 2023, as well as increased pociredir costs;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of decreased facility costs;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$0.4 million of decreased other costs;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$1.3 million of increased employee compensation costs, primarily due to increased stock-based compensation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nine months ended September 30, 2024 and 2023:</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9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12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15,541</w:t>
            </w:r>
          </w:p>
        </w:tc>
        <w:tc>
          <w:tcPr>
            <w:tcW w:w="78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19,088</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(3,547 )</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tcPr>
          <w:p>
            <w:pPr>
              <w:spacing w:after="0"/>
              <w:rPr>
                <w:sz w:val="21"/>
                <w:szCs w:val="21"/>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Facility costs</w:t>
            </w:r>
          </w:p>
        </w:tc>
        <w:tc>
          <w:tcPr>
            <w:tcW w:w="8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(758 )</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960" w:type="dxa"/>
            <w:vAlign w:val="bottom"/>
          </w:tcPr>
          <w:p>
            <w:pPr>
              <w:spacing w:after="0"/>
              <w:rPr>
                <w:sz w:val="22"/>
                <w:szCs w:val="22"/>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28,732</w:t>
            </w:r>
          </w:p>
        </w:tc>
        <w:tc>
          <w:tcPr>
            <w:tcW w:w="260" w:type="dxa"/>
            <w:vAlign w:val="bottom"/>
            <w:shd w:val="clear" w:color="auto" w:fill="CFF0FC"/>
          </w:tcPr>
          <w:p>
            <w:pPr>
              <w:spacing w:after="0"/>
              <w:rPr>
                <w:sz w:val="22"/>
                <w:szCs w:val="22"/>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31,804</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(3,072 )</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9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6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-933450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-916940</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-933450</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-916940</wp:posOffset>
            </wp:positionV>
            <wp:extent cx="51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-933450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-916940</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3" w:name="page34"/>
    <w:bookmarkEnd w:id="33"/>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$3.1 million from $31.8 million for the three months ended September 30, 2023 to $28.7 million for the nine months ended September 30, 2024. The decrease in general and administrative expenses was primarily attributable to the following:</w:t>
      </w:r>
    </w:p>
    <w:p>
      <w:pPr>
        <w:spacing w:after="0" w:line="54" w:lineRule="exact"/>
        <w:rPr>
          <w:sz w:val="20"/>
          <w:szCs w:val="20"/>
          <w:color w:val="auto"/>
        </w:rPr>
      </w:pPr>
    </w:p>
    <w:p>
      <w:pPr>
        <w:ind w:left="900" w:right="54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million of decreased employee compensation costs, including a $0.8 million decrease in stock-based compensation expense, due to decreased headcount;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of decreased facility costs as a result of the expiration of our lease agreement for office space at 125 Sidney Street;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$1.3 million of increased professional services costs, primarily due to increased legal and commercial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Restructuring charges were $2.1 million for the nine months ended September 30, 2024, compared to zero for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right="120" w:firstLine="509"/>
        <w:spacing w:after="0" w:line="312" w:lineRule="auto"/>
        <w:rPr>
          <w:sz w:val="20"/>
          <w:szCs w:val="20"/>
          <w:color w:val="auto"/>
        </w:rPr>
      </w:pPr>
      <w:r>
        <w:rPr>
          <w:rFonts w:ascii="Times New Roman" w:cs="Times New Roman" w:eastAsia="Times New Roman" w:hAnsi="Times New Roman"/>
          <w:sz w:val="17"/>
          <w:szCs w:val="17"/>
          <w:color w:val="auto"/>
        </w:rPr>
        <w:t>Other income, net decreased by $0.8 million from $10.1 million for the nine months ended September 30, 2023 to $9.3 million for the nine months ended September 30, 2024. The decrease was primarily attributable to a decrease in our average cash, cash equivalents, and marketable securities balance.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continue to incur significant operating losses for the foreseeable future and may never become profitable. We have not yet commercialized any product candidates, which are in various phases of preclinical and clinical development, and we do not expect to generate revenue from sales of any products for several years, if at all. As of September 30, 2024, we have funded our operations primarily with aggregate gross proceeds of $792.5 million from the sale of shares of our capital stock and from upfront payments received under our collaboration and license agreements. As of September 30, 2024, we had cash, cash equivalents, and marketable securities of $257.2 million.</w:t>
      </w:r>
    </w:p>
    <w:p>
      <w:pPr>
        <w:spacing w:after="0" w:line="190"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8"/>
          <w:szCs w:val="18"/>
          <w:color w:val="auto"/>
        </w:rPr>
        <w:t>In February 2024,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agreement with Cantor Fitzgerald &amp; Co. and Stifel, Nicolaus &amp; Company, Incorporated, as agents, with respect to an at-the-market offering program pursuant to which we may offer and sell, from time to time in our sole discretion, shares of our common stock, par value $0.001 per share, having an aggregate offering price of up to $100.0 million through the agents. As of September 30, 2024, we have not issued or sold any shares of common stock under the at-the-market offering program.</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2024:</w:t>
      </w:r>
    </w:p>
    <w:p>
      <w:pPr>
        <w:spacing w:after="0" w:line="2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6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69"/>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14,543</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(67,807 )</w:t>
            </w: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29,970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(55,046 )</w:t>
            </w: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2,663</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117,835</w:t>
            </w:r>
          </w:p>
        </w:tc>
      </w:tr>
      <w:tr>
        <w:trPr>
          <w:trHeight w:val="23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47,176</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(5,018 )</w:t>
            </w:r>
          </w:p>
        </w:tc>
      </w:tr>
      <w:tr>
        <w:trPr>
          <w:trHeight w:val="20"/>
        </w:trPr>
        <w:tc>
          <w:tcPr>
            <w:tcW w:w="6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-187960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227"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$14.5 million during the nine months ended September 30, 2024 compared to net cash used in operating activities of $67.8 million during the nine months ended September 30, 2023. The increase in net cash provided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4" w:name="page35"/>
    <w:bookmarkEnd w:id="34"/>
    <w:p>
      <w:pPr>
        <w:ind w:right="360"/>
        <w:spacing w:after="0" w:line="282" w:lineRule="auto"/>
        <w:rPr>
          <w:sz w:val="20"/>
          <w:szCs w:val="20"/>
          <w:color w:val="auto"/>
        </w:rPr>
      </w:pPr>
      <w:r>
        <w:rPr>
          <w:rFonts w:ascii="Times New Roman" w:cs="Times New Roman" w:eastAsia="Times New Roman" w:hAnsi="Times New Roman"/>
          <w:sz w:val="18"/>
          <w:szCs w:val="18"/>
          <w:color w:val="auto"/>
        </w:rPr>
        <w:t>by operating activities of $82.3 million was primarily due to the receipt of the $80.0 million upfront license payment during the second quarter of 2024 under the Sanofi collaboration agreement.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22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$30.0 million during the nine months ended September 30, 2024 compared to net cash used in investing activities of $55.0 million during the nine months ended September 30, 2023. The increase in net cash provided by investing activities of $85.0 million was primarily due to net maturities of marketable securities during the nine months ended September 30, 2024, as compared to net purchases of marketable securities during the nine months ended September 30, 2023.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$2.7 million during the nine months ended September 30, 2024 compared to net cash provided by financing activities of $117.8 million during the nine months ended September 30, 2023. Net cash provided by financing activities during the nine months ended September 30, 2024 consisted of net proceeds of $2.4 million from the issuance of common stock under our benefit plans. Net cash provided by financing activities during the nine months ended September 30, 2023 primarily consisted of net proceeds of $117.3 million from the January 2023 public offering of our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some of which are in the discovery stage of development. In addition, we expect to incur additional costs to support the growth of our organization when appropriate. As a result, we expect to incur substantial operating losses and negative operating cash flows for the foreseeable future.</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as of September 30, 2024 will enable us to fund our operating expenses and capital expenditure requirements into at least 2027. However, we have based this estimate on assumptions that may prove to be wrong and we could exhaust our capital resources sooner than we expect.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clinical trials of pociredir;</w:t>
      </w:r>
    </w:p>
    <w:p>
      <w:pPr>
        <w:spacing w:after="0" w:line="117" w:lineRule="exact"/>
        <w:rPr>
          <w:rFonts w:ascii="Times New Roman" w:cs="Times New Roman" w:eastAsia="Times New Roman" w:hAnsi="Times New Roman"/>
          <w:sz w:val="18"/>
          <w:szCs w:val="18"/>
          <w:color w:val="auto"/>
        </w:rPr>
      </w:pPr>
    </w:p>
    <w:p>
      <w:pPr>
        <w:ind w:left="900" w:right="28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 including under our license agreement with CAMP4;</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MyoKardia;</w:t>
      </w:r>
    </w:p>
    <w:p>
      <w:pPr>
        <w:spacing w:after="0" w:line="117"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 and that we do not out-license to a third party;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September 30, 2024, there were no material changes to our critical accounting policies from those described in our Annual Report on Form 10-K filed with the SEC on February 27, 2024, except as noted below with respect to our accounting policies related to collaboration revenue.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At contract inception, we analyze our collaboration arrangements to assess whether such arrangements involve joint operating activities performed by parties that are both active participants in the activities and are exposed to significant risks and rewards dependent on the commercial success of such activities, and therefore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This assessment is performed on an ongoing basis throughout the collaboration based on changes in the responsibilities of the parties in the arrangement. For collaboration arrangements within the scope of ASC 808 that contain multiple elements, we first determine which elements of the collaboration are deemed to be within the scope of ASC 808 and which elements of the collaboration are more reflective of a vendor-customer relationship and are therefore within the scope of ASC 606,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(ASC 606).</w:t>
      </w:r>
    </w:p>
    <w:p>
      <w:pPr>
        <w:spacing w:after="0" w:line="18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For elements of collaboration arrangements that are accounted for pursuant to ASC 808, an appropriate recognition method is determined and applied consistently, either by analogy to authoritative accounting literature or by applying a reasonable and rational policy election. We evaluate the income statement classification for presentation of amounts due from or owed to collaborators associated with multiple activities in a collaboration arrangement based on the nature of each separate activity. We have made an accounting policy election to account for research and development reimbursements received from our collaboration partner that are outside of the scope of ASC 606 as a reduction of research and development expenses to best reflect the economics and nature of the transaction in the context of the unit-of-account.</w:t>
      </w:r>
    </w:p>
    <w:p>
      <w:pPr>
        <w:spacing w:after="0" w:line="18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in our audited consolidated financial statements for the year ended December 31, 2023 included in our Annual Report on Form 10-K for our accounting policies for arrangements within the scope of ASC 606.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(our principal executive officer) and our Chief Financial Officer (our principal financial officer), evaluated the effectiveness of our disclosure controls and procedures as of September 30, 2024.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September 30, 2024, our Chief Executive Officer and our Chief Financial Officer concluded that, as of such date,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April 28, 2023, a class action complaint was filed in the United States District Court for the District of New Jersey against our company and current and former officers, or the Securities Action. On May 19, 2023, the Securities Action was transferred to the United States District Court for the District of Massachusetts, captioned </w:t>
      </w:r>
      <w:r>
        <w:rPr>
          <w:rFonts w:ascii="Times New Roman" w:cs="Times New Roman" w:eastAsia="Times New Roman" w:hAnsi="Times New Roman"/>
          <w:sz w:val="18"/>
          <w:szCs w:val="18"/>
          <w:i w:val="1"/>
          <w:iCs w:val="1"/>
          <w:color w:val="auto"/>
        </w:rPr>
        <w:t>Celano v. Fulcrum Therapeutics, Inc</w:t>
      </w:r>
      <w:r>
        <w:rPr>
          <w:rFonts w:ascii="Times New Roman" w:cs="Times New Roman" w:eastAsia="Times New Roman" w:hAnsi="Times New Roman"/>
          <w:sz w:val="18"/>
          <w:szCs w:val="18"/>
          <w:color w:val="auto"/>
        </w:rPr>
        <w:t>., et al., Case No. 1:23-cv-11125-IT. On July 31, 2023, the court appointed a lead plaintiff, who filed an amended complaint on September 29, 2023. The Securities Action alleges violations of Section 10(b) of the Exchange Act and Rule 10b-5 promulgated thereunder against all defendants and control person violations of Section 20(a) against the individuals, related to our February 2023 announcement that the FDA issued a clinical hold regarding the IND application for pociredir for the potential treatment of SCD. The Securities Action alleges that the defendants made misleading statements and omitted to disclose material information related to the clinical hold and seeks, among other things, compensatory damages in connection with an allegedly inflated stock price between March 3, 2022, and March 8, 2023, as well as attorneys’ fees and costs. On November 28, 2023, all defendants filed a motion to dismiss the Securities Action. Briefing was completed on the motion in February 2024, and the court held a hearing on the motion in September 2024. The motion to dismiss is currently pending. We intend to defend vigorously against this litigation.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$97.3 million for the year ended December 31, 2023. Our net income was $6.8 million for the nine months ended September 30, 2024 primarily due to the recognition of $80.0 million of collaboration revenue associated with our collaboration and license agreement with Sanofi. As of September 30, 2024, we had an accumulated deficit of $502.8 million. To date, we have funded our operations primarily from the sale of shares of our capital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4" w:lineRule="exact"/>
        <w:rPr>
          <w:sz w:val="20"/>
          <w:szCs w:val="20"/>
          <w:color w:val="auto"/>
        </w:rPr>
      </w:pPr>
    </w:p>
    <w:p>
      <w:pPr>
        <w:ind w:left="900" w:hanging="368"/>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pociredir and any future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right="280" w:hanging="368"/>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 including for the potential treatment of inherited aplastic anemias, such as DBA, Shwachman-Diamond syndrome, and Fanconi anemia under our license agreement with CAMP4;</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such as our agreement with CAMP4;</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CAMP4 under our license agreement with CAMP4;</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as needed;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9" w:name="page40"/>
    <w:bookmarkEnd w:id="39"/>
    <w:p>
      <w:pPr>
        <w:ind w:left="900" w:right="260" w:hanging="368"/>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any product candidate and commercialization of any of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that we have not out-licensed; and</w:t>
      </w:r>
    </w:p>
    <w:p>
      <w:pPr>
        <w:spacing w:after="0" w:line="53" w:lineRule="exact"/>
        <w:rPr>
          <w:rFonts w:ascii="Times New Roman" w:cs="Times New Roman" w:eastAsia="Times New Roman" w:hAnsi="Times New Roman"/>
          <w:sz w:val="18"/>
          <w:szCs w:val="18"/>
          <w:color w:val="auto"/>
        </w:rPr>
      </w:pPr>
    </w:p>
    <w:p>
      <w:pPr>
        <w:ind w:left="900" w:right="240" w:hanging="368"/>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any future commercialization efforts, as needed, and our operations as a public company.</w:t>
      </w:r>
    </w:p>
    <w:p>
      <w:pPr>
        <w:spacing w:after="0" w:line="16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for our current product candidates.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84" w:lineRule="exact"/>
        <w:rPr>
          <w:sz w:val="20"/>
          <w:szCs w:val="20"/>
          <w:color w:val="auto"/>
        </w:rPr>
      </w:pPr>
    </w:p>
    <w:p>
      <w:pPr>
        <w:ind w:left="900" w:right="640" w:hanging="368"/>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the FDA, the EMA, or other regulatory authorities to perform trials or studies in addition to, or different than, those expected;</w:t>
      </w:r>
    </w:p>
    <w:p>
      <w:pPr>
        <w:spacing w:after="0" w:line="53" w:lineRule="exact"/>
        <w:rPr>
          <w:rFonts w:ascii="Times New Roman" w:cs="Times New Roman" w:eastAsia="Times New Roman" w:hAnsi="Times New Roman"/>
          <w:sz w:val="18"/>
          <w:szCs w:val="18"/>
          <w:color w:val="auto"/>
        </w:rPr>
      </w:pPr>
    </w:p>
    <w:p>
      <w:pPr>
        <w:ind w:left="900" w:right="100" w:hanging="368"/>
        <w:spacing w:after="0" w:line="261"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further delays in completing our ongoing clinical trial or otherwise in the development of any of our current or future product candidates, such as due to any further clinical holds imposed by the FDA (similar to the hold on the IND application for pociredir in SCD that was lifted in August 2023), or due to enrollment challenges (such as for our ongoing clinical trial of pociredir in light of the more stringent inclusion and exclusion criteria); or</w:t>
      </w:r>
    </w:p>
    <w:p>
      <w:pPr>
        <w:spacing w:after="0" w:line="71"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22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expect to devote substantial financial resources to our ongoing and planned activities, particularly as we continue our clinical development of pociredir, continue research and development and initiate additional clinical trials of, and seek regulatory approval for, this and any other product candidates. We expect our expenses to increase substantially in connection with our ongoing activities, particularly as we advance our preclinical activities and Phase 1b clinical trial of pociredir in SCD. In addition, if we obtain regulatory approval for any of our product candidates, we expect to incur significant commercialization expenses related to product manufacturing, sales, marketing and distribution, particularly if we do not out-license our product candidate. Accordingly, we will need to obtain substantial additional funding in connection with our continuing operations. Given current uncertainty in the capital markets and other factors, such funding may not be available on terms favorable to us or at all. If we are unable to raise capital when needed or on acceptable terms, we could be forced to delay, reduce or eliminate our research and development programs or any future commercialization efforts.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Phase 1b clinical trial of pociredir in SCD;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planned clinical trials;</w:t>
      </w:r>
    </w:p>
    <w:p>
      <w:pPr>
        <w:spacing w:after="0" w:line="117"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any of our product candidates in additional indications or for any future product candidates that we may pursue;</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MyoKardia or under our license agreement with CAMP4;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left="900" w:right="620" w:hanging="368"/>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40" w:hanging="368"/>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 and that we do not out-license for commercialization;</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800" w:hanging="368"/>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we had cash, cash equivalents, and marketable securities of approximately $257.2 million. We believe that our cash, cash equivalents, and marketable securities as of September 30, 2024 will enable us to fund our operating expenses and capital expenditure requirements into 2027.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For example, we invested significant time and effort into developing losmapimod for FSHD but did not demonstrate a statistically significant difference between losmapimod and placebo on the primary endpoint in the Phase 3 REACH trial, for which we announced topline data in September 2024. In addition, our product candidates, if approved, may not achieve commercial success. Commercial revenues, if any, will not be derived unless and until we can achieve sales of products, which we do not anticipate for several years, if at all. Accordingly, we will need to continue to rely on additional financing to achieve our business objectives. Adequate additional financing may not be available to us on acceptable terms, or at all, and may become even more difficult to obtain due to rising interest rates and the recent downturn in the U.S. capital markets and the biotechnology sector in general.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bring our product candidates to market. We may also choose to further realign our operations to achieve additional operational efficiencies beyond the recent strategic realignment effected in September 2024.</w:t>
      </w:r>
    </w:p>
    <w:p>
      <w:pPr>
        <w:spacing w:after="0" w:line="30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and in the future anticipate we will rely, in part on sales of our common stock through an at-the-market, or ATM, offering program. Increased volatility and decreases in market prices of equity securities generally and of our common stock in particular may have an adverse impact on our willingness and/or ability to continue to sell our common stock through our ATM offering program. Decreases in these sales could affect the cost or availability of equity capital, which could 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1" w:name="page42"/>
    <w:bookmarkEnd w:id="41"/>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turn have an adverse effect on our business, including current operations, future growth, revenues, net income and the market prices of our common stock.</w:t>
      </w:r>
    </w:p>
    <w:p>
      <w:pPr>
        <w:spacing w:after="0" w:line="15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February 2024, we established a new ATM offering program to sell shares of our common stock having an aggregate offering price of up to $100.0 million from time to time. Given the overall volatility in the capital markets, we may not be willing or able to continue to raise equity capital through our ATM offering program. We may, therefore, need to turn to other sources of funding that may have terms that are not favorable to us, or reduce our business operations given capital constraints.</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our equity ownership in the subsidiary, which would adversely affect the rights of holders of both our equity securities and, if any, our debt and debt securities.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reduce our net income, and these impacts may be material. If the issuance of new securities results in diminished rights to holders of our common stock, the market price of our common stock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have been focused on research and development and conducting clinical trials, which may make it difficult for stockholders to evaluate the success of our business to date and to assess our future viability.</w:t>
      </w:r>
    </w:p>
    <w:p>
      <w:pPr>
        <w:spacing w:after="0" w:line="15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commenced activities in 2015 and are a clinical-stage biotechnology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or arrange for a third party to do so on our behalf. Consequently, any predictions stockholders make about our future success or viability may not be as accurate as they could be if we had a history of successfully developing and commercializing products.</w:t>
      </w:r>
    </w:p>
    <w:p>
      <w:pPr>
        <w:spacing w:after="0" w:line="18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as our business evolves, we may encounter unforeseen expenses, difficulties, complications, delays and other known and unknown factors, such as our recent announcement that our Phase 3 REACH trial evaluating losmapidmod for FSHD did not achieve its primary endpoint of change from baseline in relative surface area compared to placebo, and subsequent implementation of a plan to reprioritize research and development activities to focus on our other programs and reduction in workforce. If we are successful in moving our current pipeline programs through the clinic, we will need to transition at some point from a company with a research and development focus to a company capable of supporting commercial activities. We may not be successful in such a transition.</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For example, under Section 174 of the U.S. Internal Revenue Code of 1986, as amended, or the Code, in taxable years beginning after December 31, 2021, expenses that are incurred for research and development in the United States will be capitalized and amortized, which may have an adverse effect on our cash flow.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2" w:name="page43"/>
    <w:bookmarkEnd w:id="42"/>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15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we had federal and state net operating loss carryforwards of $312.3 million and $317.1 million, respectively, which begin to expire in 2036. Approximately $288.7 million of the federal net operating losses can be carried forward indefinitely. As of December 31, 2023, we also had federal orphan drug credits of $23.8 million, which begin to expire in 2040. As of December 31, 2023, we also had federal and state research and development tax credit carryforwards of $7.6 million and $4.9 million, respectively, which begin to expire in 2035 and 2030, respectively. These net operating loss and tax credit carryforwards could expire unused and be unavailable to offset future income tax liabilities.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conducted an analysis under Section 382 of the Code to determine if historical changes in ownership through December 31, 2021 would limit or otherwise restrict our ability to utilize our pre-change net operating losses and research and development tax credit carryforwards to offset future taxable income. As a result of the analysis, we do not believe that there are any significant limitations on our ability to utilize our net operating losses and research and development tax credit carryforwards to offset future taxable income. However, we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8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26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 March 2023, a number of banks (e.g., Silicon Valley Bank, Signature Bank and Silvergate Capital Corp.) were placed into receivership, followed by First Republic Bank in May 2023. Although the Federal Deposit Insurance Corporation, or FDIC, and others have taken steps to reduce risk to uninsured depositors, borrowers under credit agreements, letters of credit and certain other financial instruments with such banks or any other financial institution that is placed into receivership by the FDIC may be unable to access undrawn amounts thereunder. Even 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affecting the financial services industry or economy in general, such as these recent bank failures. These factors could also include, among others,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and the supervision thereof. 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which could have material adverse effect on our liquidity and on our business, financial condition or results of operations.</w:t>
      </w:r>
    </w:p>
    <w:p>
      <w:pPr>
        <w:spacing w:after="0" w:line="29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was negatively impacted by the COVID-19 pandemic and may in the future be impacted by any future pandemics. In addition, the effects of any future pandemics may adversely impact economies worldwide, which could result in adverse effects on our business and operations.</w:t>
      </w:r>
    </w:p>
    <w:p>
      <w:pPr>
        <w:spacing w:after="0" w:line="15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experienced enrollment delays in ReDUX4, the international Phase 2b clinical trial of losmapimod in FSHD, due to the COVID-19 pandemic as the clinical trial sites for our ReDUX4 clinical trial temporarily postponed trial-related activities. We also saw temporary disruptions in other business activities due to a temporary reduction in workforce presence at our Cambridge research facility, and COVID-19 had a significant impact on economies worldwide. Future pandemics may arise, and they, like COVID-19,</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3" w:name="page44"/>
    <w:bookmarkEnd w:id="43"/>
    <w:p>
      <w:pPr>
        <w:spacing w:after="0" w:line="256" w:lineRule="auto"/>
        <w:rPr>
          <w:sz w:val="20"/>
          <w:szCs w:val="20"/>
          <w:color w:val="auto"/>
        </w:rPr>
      </w:pPr>
      <w:r>
        <w:rPr>
          <w:rFonts w:ascii="Times New Roman" w:cs="Times New Roman" w:eastAsia="Times New Roman" w:hAnsi="Times New Roman"/>
          <w:sz w:val="18"/>
          <w:szCs w:val="18"/>
          <w:color w:val="auto"/>
        </w:rPr>
        <w:t>could impact our company, our CMOs and contract research organizations, or CROs, creating disruptions that affect our ability to initiate and complete preclinical studies or clinical trials, disrupt our supply chain for our research and development activities, and disrupt any then planned or ongoing clinical trials for any number of reasons. Any future pandemics could similarly impact patient recruitment or retention for clinical trials, or result in resources being redirected in a way that adversely impacts our ability to progress regulatory approvals and protect our intellectual property. In addition, as with COVID-19 pandemic, we may face impediments to regulatory meetings and approvals due to recommended safety measures intended to limit in-person interactions in any future pandemic.</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COVID-19 pandemic caused significant disruptions in the financial markets and any future pandemic could similarly cause such disruptions, which could impact our ability to raise additional funds through public offerings and may also impact the volatility of our stock price and trading in our stock. We cannot be certain what the overall impact of any future pandemic will be on our business. The extent of the impact of any future pandemic on our business, financial condition, results of operations and prospects will depend on future developments that are uncertain.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we currently have one product candidate in active clinical development. If we are unable to commercialize directly or out-license to a third party any of our product candidates or experience significant delays in doing so, our business will be materially harmed.</w:t>
      </w:r>
    </w:p>
    <w:p>
      <w:pPr>
        <w:spacing w:after="0" w:line="6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are early in our development efforts, and we have advanced only two product candidates into clinical trials. In September 2024, we announced that REACH, our Phase 3 clinical trial of losmapimod for the treatment of FSHD, did not meet its primary endpoint and we suspended development of losmapimod. As a result, we currently only have one product candidate in active clinical development, pociredir for the treatment of SCD. We have invested substantially all of our efforts and financial resources in identifying and validating and conducting clinical trials on cellular drug targets that can potentially modulate gene expression to address the root cause of genetically-defined rare diseases. Our ability to generate product revenues, which we do not expect will occur for several years, if ever, will depend heavily on the successful development, regulatory approval and eventual commercialization of any of our product candidates. The success of any of our product candidates will depend on several factors, including the following:</w:t>
      </w:r>
    </w:p>
    <w:p>
      <w:pPr>
        <w:spacing w:after="0" w:line="81" w:lineRule="exact"/>
        <w:rPr>
          <w:sz w:val="20"/>
          <w:szCs w:val="20"/>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preclinical studies and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by the FDA or other regulatory agencies of the INDs, clinical trial applications, or CTAs, or other regulatory filings;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maintaining a workforce of experienced scientists and others to continue to develop our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receiving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protection and regulatory exclusivity;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w:t>
      </w:r>
    </w:p>
    <w:p>
      <w:pPr>
        <w:spacing w:after="0" w:line="117" w:lineRule="exact"/>
        <w:rPr>
          <w:rFonts w:ascii="Times New Roman" w:cs="Times New Roman" w:eastAsia="Times New Roman" w:hAnsi="Times New Roman"/>
          <w:sz w:val="18"/>
          <w:szCs w:val="18"/>
          <w:color w:val="auto"/>
        </w:rPr>
      </w:pPr>
    </w:p>
    <w:p>
      <w:pPr>
        <w:ind w:left="900" w:right="160" w:hanging="368"/>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successfully launching commercial sales,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adequate pricing and adequate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enforcing, defending and 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misappropriating or otherwise violating others’ intellectual property or proprietary rights;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following receipt of any regulatory approvals.</w:t>
      </w:r>
    </w:p>
    <w:p>
      <w:pPr>
        <w:spacing w:after="0" w:line="22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develop and commercialize any product candidates, which would materially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product candidates.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current strategy is focused on developing small molecules to improve the lives of patients with genetically defined rare diseases.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4" w:name="page45"/>
    <w:bookmarkEnd w:id="44"/>
    <w:p>
      <w:pPr>
        <w:spacing w:after="0" w:line="254" w:lineRule="auto"/>
        <w:rPr>
          <w:sz w:val="20"/>
          <w:szCs w:val="20"/>
          <w:color w:val="auto"/>
        </w:rPr>
      </w:pPr>
      <w:r>
        <w:rPr>
          <w:rFonts w:ascii="Times New Roman" w:cs="Times New Roman" w:eastAsia="Times New Roman" w:hAnsi="Times New Roman"/>
          <w:sz w:val="18"/>
          <w:szCs w:val="18"/>
          <w:color w:val="auto"/>
        </w:rPr>
        <w:t>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discovery technologies or any of our research or development programs will not cause significant delays or unanticipated costs, or that such development problems can be solved. If we do not successfully identify, develop, obtain regulatory approval for and commercialize product candidates, we will not be able to generate product revenues.</w:t>
      </w:r>
    </w:p>
    <w:p>
      <w:pPr>
        <w:spacing w:after="0" w:line="2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currently only have one product candidate in active clinical development following our recent decision to suspend further development of losmapimod. The risk of failure for product candidates is high and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 in humans. We have not yet completed a pivotal clinical trial of any product candidate that demonstrated that our product candidate is safe and effective for its intended use. For example, in September 2024, we announced that REACH, our Phase 3 trial evaluating losmapimod in patients with FSHD, did not successfully achieve its primary endpoint as compared to placebo, and we suspended further development of losmapimod. Additionally, pociredir, our clinical-stage candidate to treat SCD, is an embryonic ectoderm development, or EED, inhibitor. EED is a member of the PRC2 complex, which also includes EZH2. There are approved products in the EZH2 class of medications and their approved labeling outlines safety risks, including an increased risk of malignancies. In the event that pociredir has similar safety risks as other PRC2 medications, this could impact its acceptance.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or continue. For example, in February 2023, the FDA imposed a clinical hold on our IND for pociredir in SCD. We worked diligently to resolve the hold as soon as possible, and in August 2023, the FDA lifted the clinical hold.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86"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uncertain as to outcome. We cannot guarantee that any clinical trials will be conducted as planned or completed on schedule, or at all. For example, we revised the inclusion and exclusion criteria of our clinical trial of pociredir in SCD to address the clinical hold imposed by the FDA, and are experiencing some difficulty enrolling patients who meet the updated more stringent criteria. While we are expanding our clinical trial sites, including outside the United States, to identify suitable patients that meet the new criteria, there can be no certainty as to whether we will be successful in completing the clinical trial with its revised design.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In September 2024 we suspended further development of losmapimod after topline data from the Phase 3 REACH trial indicated that it did not achieve its primary endpoint of change from baseline in relative surface area, a measure of reachable work space, compared to placebo.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45" w:name="page46"/>
    <w:bookmarkEnd w:id="45"/>
    <w:p>
      <w:pPr>
        <w:ind w:right="360"/>
        <w:spacing w:after="0" w:line="282" w:lineRule="auto"/>
        <w:rPr>
          <w:sz w:val="20"/>
          <w:szCs w:val="20"/>
          <w:color w:val="auto"/>
        </w:rPr>
      </w:pPr>
      <w:r>
        <w:rPr>
          <w:rFonts w:ascii="Times New Roman" w:cs="Times New Roman" w:eastAsia="Times New Roman" w:hAnsi="Times New Roman"/>
          <w:sz w:val="18"/>
          <w:szCs w:val="18"/>
          <w:color w:val="auto"/>
        </w:rPr>
        <w:t>any clinical trial could negatively impact the perception of our other product candidates and/or cause the FDA or other regulatory authorities to require additional testing before approving any of our product candidates.</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4" w:lineRule="exact"/>
        <w:rPr>
          <w:sz w:val="20"/>
          <w:szCs w:val="20"/>
          <w:color w:val="auto"/>
        </w:rPr>
      </w:pPr>
    </w:p>
    <w:p>
      <w:pPr>
        <w:ind w:left="900" w:right="22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900" w:right="80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decide the design of our clinical trials is flawed, for example if our trial protocol does not evaluate treatment effects in trial subjects for a sufficient length of time;</w:t>
      </w:r>
    </w:p>
    <w:p>
      <w:pPr>
        <w:spacing w:after="0" w:line="53"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such as with the recent Phase 3 REACH trial,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900" w:right="380" w:hanging="368"/>
        <w:spacing w:after="0" w:line="312"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31" w:lineRule="exact"/>
        <w:rPr>
          <w:rFonts w:ascii="Times New Roman" w:cs="Times New Roman" w:eastAsia="Times New Roman" w:hAnsi="Times New Roman"/>
          <w:sz w:val="17"/>
          <w:szCs w:val="17"/>
          <w:color w:val="auto"/>
        </w:rPr>
      </w:pPr>
    </w:p>
    <w:p>
      <w:pPr>
        <w:ind w:left="900" w:hanging="368"/>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67" w:lineRule="exact"/>
        <w:rPr>
          <w:rFonts w:ascii="Times New Roman" w:cs="Times New Roman" w:eastAsia="Times New Roman" w:hAnsi="Times New Roman"/>
          <w:sz w:val="18"/>
          <w:szCs w:val="18"/>
          <w:color w:val="auto"/>
        </w:rPr>
      </w:pPr>
    </w:p>
    <w:p>
      <w:pPr>
        <w:ind w:left="900" w:right="40" w:hanging="368"/>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(for example, we are experiencing difficulty enrolling patients who meet the updated inclusion and exclusion criteria for our trial of pociredir in SCD) or participants may drop out of these clinical trials at a higher rate than we anticipate;</w:t>
      </w:r>
    </w:p>
    <w:p>
      <w:pPr>
        <w:spacing w:after="0" w:line="67" w:lineRule="exact"/>
        <w:rPr>
          <w:rFonts w:ascii="Times New Roman" w:cs="Times New Roman" w:eastAsia="Times New Roman" w:hAnsi="Times New Roman"/>
          <w:sz w:val="18"/>
          <w:szCs w:val="18"/>
          <w:color w:val="auto"/>
        </w:rPr>
      </w:pPr>
    </w:p>
    <w:p>
      <w:pPr>
        <w:ind w:left="900" w:right="4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900" w:right="440" w:hanging="368"/>
        <w:spacing w:after="0" w:line="312"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31" w:lineRule="exact"/>
        <w:rPr>
          <w:rFonts w:ascii="Times New Roman" w:cs="Times New Roman" w:eastAsia="Times New Roman" w:hAnsi="Times New Roman"/>
          <w:sz w:val="17"/>
          <w:szCs w:val="17"/>
          <w:color w:val="auto"/>
        </w:rPr>
      </w:pPr>
    </w:p>
    <w:p>
      <w:pPr>
        <w:ind w:left="900" w:right="26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900" w:right="68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the trials;</w:t>
      </w:r>
    </w:p>
    <w:p>
      <w:pPr>
        <w:spacing w:after="0" w:line="53" w:lineRule="exact"/>
        <w:rPr>
          <w:rFonts w:ascii="Times New Roman" w:cs="Times New Roman" w:eastAsia="Times New Roman" w:hAnsi="Times New Roman"/>
          <w:sz w:val="18"/>
          <w:szCs w:val="18"/>
          <w:color w:val="auto"/>
        </w:rPr>
      </w:pPr>
    </w:p>
    <w:p>
      <w:pPr>
        <w:ind w:left="900" w:right="240" w:hanging="368"/>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global instability, including political instability, such as the Russian invasion of Ukraine or ongoing hostilities in Israel, Lebanon and the Gaza Strip, or instability from an outbreak of pandemic or contagious disease in or around the countries in which we conduct our clinical trials, could delay the commencement or rate of completion of our clinical trials; and</w:t>
      </w:r>
    </w:p>
    <w:p>
      <w:pPr>
        <w:spacing w:after="0" w:line="67" w:lineRule="exact"/>
        <w:rPr>
          <w:rFonts w:ascii="Times New Roman" w:cs="Times New Roman" w:eastAsia="Times New Roman" w:hAnsi="Times New Roman"/>
          <w:sz w:val="18"/>
          <w:szCs w:val="18"/>
          <w:color w:val="auto"/>
        </w:rPr>
      </w:pPr>
    </w:p>
    <w:p>
      <w:pPr>
        <w:ind w:left="900" w:right="46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withdraw their approval of a product or impose restrictions on its distribution, such as in the form of a risk evaluation and mitigation strategy, or REMS.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For example, in response to the COVID-19 pandemic, the clinical trial sites for our ReDUX4 trial temporarily postponed trial-related activities, impacting our clinical trial execution plans, and we cannot be certain that we will not face other postponements or similar difficulties in the future. Further, in February 2023, the FDA imposed a clinical hold on our IND for pociredir in SCD, which halted our clinical trial until the FDA lifted the clinical hold in August 2023.</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such as our recent topline data from the Phase 3 REACH trial, or are only modestly positive or if there are safety concerns, we may:</w:t>
      </w:r>
    </w:p>
    <w:p>
      <w:pPr>
        <w:spacing w:after="0" w:line="68" w:lineRule="exact"/>
        <w:rPr>
          <w:sz w:val="20"/>
          <w:szCs w:val="20"/>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further development (such as with losmapimod for FSHD);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or a REMS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and complete clinical trials for our product candidates is critical to our success. Successful and timely completion of clinical trials requires that we enroll a sufficient number of patients that meet both the enrollment criteria, and who remain in the trial until its conclusion. For example, in our Phase 1b trial of pociredir, although we enrolled six subjects in the initial cohort, only three subjects remained evaluable as of the initial data cutoff date. Subsequently, we modified the study protocol to monitor subject adherence. However, if such protocols do not improve adherence and improve compliance, we may not be able to generate meaningful data. Furthermore,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We revised the design of our clinical trial of pociredir in SCD to address the clinical hold imposed by the FDA, and there can be no certainty as to whether we will be successful in completing the clinical trial with its revised design, which include updated inclusion and exclusion criteria and thus a narrower set of eligible patients, which is making enrollment difficult despite opening a number of sites for such trial. Because of our primary focus on genetically-defined rare diseases, we may have difficulty enrolling a sufficient number of eligible patients.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a variety of other factors, including:</w:t>
      </w:r>
    </w:p>
    <w:p>
      <w:pPr>
        <w:spacing w:after="0" w:line="117" w:lineRule="exact"/>
        <w:rPr>
          <w:sz w:val="20"/>
          <w:szCs w:val="20"/>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under investigation;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 (such as with our trial of pociredir for SCD);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trial protocols, including invasive procedures;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existing treatments for the indications for which we are conducting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7" w:name="page48"/>
    <w:bookmarkEnd w:id="47"/>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clinical trials by competitors for product candidates that treat the same indications as our current or future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specific patient populations for biomarker-defined trial cohort(s);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or lack of adequate compensation for, prospective patients.</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26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unacceptable side effects are identified during the development of our product candidates, we may need to abandon or limit our development of our product candidate.</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example, in February 2023, the FDA placed our IND for pociredir on clinical hold based on hematological malignancies observed in nonclinical toxicology studies. We addressed the FDA’s concern as diligently as possible, including FDA’s request for information about an SCD patient population with an appropriate benefit-risk profile for further clinical development of pociredir, and FDA's request for information to define the potential risk in any further studies that may be conducted in healthy volunteers. Although the FDA lifted the clinical hold in August 2023, we cannot make assurances that patients treated with pociredir will not develop hematological malignancies or other adverse events in the future. We also cannot make assurances that additional observations in preclinical studies of hematological malignancies or other adverse events will not occur. If such additional adverse events were to emerge, further advancement of our clinical studies could be halted or delayed and we may not receive regulatory approval for pociredir. Even if we receive regulatory approval for pociredir, our labeling may be restricted and/or market acceptance for our product may be diminished, and the commercial potential of our pociredir program may be materially and negatively impacted.</w:t>
      </w:r>
    </w:p>
    <w:p>
      <w:pPr>
        <w:spacing w:after="0" w:line="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pharmaceutical development, many compounds that initially show promise in early-stage or clinical testing are later found to cause side effects that delay or prevent further development of the compound.</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51"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75" w:lineRule="exact"/>
        <w:rPr>
          <w:sz w:val="20"/>
          <w:szCs w:val="20"/>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limitation by regulatory authorities of approvals of such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the product by regulatory authorities;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the product or the manufacturing process for any component thereof;</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by regulatory authorities of additional warnings on the label, such as a “black box” warning or contraindication;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that we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expensive post-marketing studies as a prerequisite of approval by regulatory authorities of such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legal action against us to hold us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resulting harm to physician or patient acceptance of our products.</w:t>
      </w:r>
    </w:p>
    <w:p>
      <w:pPr>
        <w:spacing w:after="0" w:line="22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For example, we recently suspended further development of losmapimod after devoting significant time, effort and capital on the program but it did not meet its primary endpoint in the Phase 3 REACH trial.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9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conducting a clinical trial of pociredir in patients with SCD in Africa, and the FDA may not accept data from trials conducted in such locations.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currently conducting a Phase 1b clinical trial of pociredir in patients with SCD in Africa. We may also conduct additional clinical trials of other product candidates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including good clinical practices, and FDA’s ability to validate the data.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6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75" w:lineRule="exact"/>
        <w:rPr>
          <w:sz w:val="20"/>
          <w:szCs w:val="20"/>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product candidates compared to the advantages and relative risks of alternative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any similar generic treatments;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225"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our product candidate may be smaller than we expect, and as a result our product revenue may be limited and it may be more difficult for us to achieve or maintain profitability.</w:t>
      </w:r>
    </w:p>
    <w:p>
      <w:pPr>
        <w:spacing w:after="0" w:line="2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5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the future, we may build a focused, specialty sales and marketing infrastructure to market one or more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900" w:right="100" w:hanging="36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17" w:lineRule="exact"/>
        <w:rPr>
          <w:rFonts w:ascii="Times New Roman" w:cs="Times New Roman" w:eastAsia="Times New Roman" w:hAnsi="Times New Roman"/>
          <w:sz w:val="18"/>
          <w:szCs w:val="18"/>
          <w:color w:val="auto"/>
        </w:rPr>
      </w:pPr>
    </w:p>
    <w:p>
      <w:pPr>
        <w:ind w:left="900" w:right="280" w:hanging="36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0" w:name="page51"/>
    <w:bookmarkEnd w:id="50"/>
    <w:p>
      <w:pPr>
        <w:ind w:firstLine="509"/>
        <w:spacing w:after="0" w:line="258"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8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For example, we are aware of several product candidates in clinical development that could be competitive with product candidates that we may successfully develop and commercialize. See Item 1 “Business — Competition” in the 2023 Annual Report.</w:t>
      </w:r>
    </w:p>
    <w:p>
      <w:pPr>
        <w:spacing w:after="0" w:line="5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For example, in December 2023, the FDA approved CASGEVY (exagamglogene autotemcel) and LYFGENIA (lovotibeglogene autotemcel), the first ex vivo cell-based gene therapies for the treatment of SCD. CASGEVY has also been FDA-approved for the treatment of transfusion-dependent beta-thalassemia.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84"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many of the indications we are evaluating are very small, we may never achieve profitability despite obtaining such significant market share.</w:t>
      </w:r>
    </w:p>
    <w:p>
      <w:pPr>
        <w:spacing w:after="0" w:line="117"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Further, the pricing and reimbursement of our product candidates, if approved, is uncertain, but must be adequate to support commercial infrastructure. If we are unable to obtain adequate levels of reimbursement, our ability to successfully market and sell any approved products will be adversely affected.</w:t>
      </w:r>
    </w:p>
    <w:p>
      <w:pPr>
        <w:spacing w:after="0" w:line="280"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2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do not have any manufacturing facilities and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w:t>
      </w:r>
    </w:p>
    <w:p>
      <w:pPr>
        <w:spacing w:after="0" w:line="7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or we may be forced to manufacture the materials ourselves, for which we may not have the capabilities or resources, or enter into an agreement with a different manufacturer, which we may not be able to do on reasonable terms, if at all. In either scenario, our clinical trial supply could be delayed significantly as we establish alternative supply sources.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w:t>
      </w:r>
    </w:p>
    <w:p>
      <w:pPr>
        <w:spacing w:after="0" w:line="8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increases the risk that we will not have sufficient quantities of our product candidate or products or such quantities at an acceptable cost or quality, which could delay, prevent or impair our development or commercialization efforts.</w:t>
      </w:r>
    </w:p>
    <w:p>
      <w:pPr>
        <w:spacing w:after="0" w:line="51"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We do not have any manufacturing facilities. Although we believe we have obtained sufficient quantities of pociredir from a CMO for the completion of our Phase 1b clinical trial for SCD, we cannot be sure we have correctly estimated our drug product requirements, which could delay, prevent or impair our development efforts.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ind w:firstLine="509"/>
        <w:spacing w:after="0" w:line="258" w:lineRule="auto"/>
        <w:rPr>
          <w:sz w:val="20"/>
          <w:szCs w:val="20"/>
          <w:color w:val="auto"/>
        </w:rPr>
      </w:pPr>
      <w:r>
        <w:rPr>
          <w:rFonts w:ascii="Times New Roman" w:cs="Times New Roman" w:eastAsia="Times New Roman" w:hAnsi="Times New Roman"/>
          <w:sz w:val="18"/>
          <w:szCs w:val="18"/>
          <w:color w:val="auto"/>
        </w:rPr>
        <w:t>We expect to rely on third parties for the manufacture of pociredir for any future clinical trials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75" w:lineRule="exact"/>
        <w:rPr>
          <w:sz w:val="20"/>
          <w:szCs w:val="20"/>
          <w:color w:val="auto"/>
        </w:rPr>
      </w:pPr>
    </w:p>
    <w:p>
      <w:pPr>
        <w:ind w:right="20" w:firstLine="509"/>
        <w:spacing w:after="0" w:line="312" w:lineRule="auto"/>
        <w:rPr>
          <w:sz w:val="20"/>
          <w:szCs w:val="20"/>
          <w:color w:val="auto"/>
        </w:rPr>
      </w:pPr>
      <w:r>
        <w:rPr>
          <w:rFonts w:ascii="Times New Roman" w:cs="Times New Roman" w:eastAsia="Times New Roman" w:hAnsi="Times New Roman"/>
          <w:sz w:val="17"/>
          <w:szCs w:val="17"/>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7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6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Item 1 “Business — Government Regulation and Product Approval — Pharmaceutical Insurance Coverage and Health Care Reform” in the 2023 Annual Report.</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9"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spacing w:after="0" w:line="254" w:lineRule="auto"/>
        <w:rPr>
          <w:sz w:val="20"/>
          <w:szCs w:val="20"/>
          <w:color w:val="auto"/>
        </w:rPr>
      </w:pPr>
      <w:r>
        <w:rPr>
          <w:rFonts w:ascii="Times New Roman" w:cs="Times New Roman" w:eastAsia="Times New Roman" w:hAnsi="Times New Roman"/>
          <w:sz w:val="18"/>
          <w:szCs w:val="18"/>
          <w:color w:val="auto"/>
        </w:rPr>
        <w:t>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our product candidates in markets outside of the United States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If we commercialize our product candidates in foreign markets, we will be subject to additional risks and uncertainties, including:</w:t>
      </w:r>
    </w:p>
    <w:p>
      <w:pPr>
        <w:spacing w:after="0" w:line="99" w:lineRule="exact"/>
        <w:rPr>
          <w:sz w:val="20"/>
          <w:szCs w:val="20"/>
          <w:color w:val="auto"/>
        </w:rPr>
      </w:pPr>
    </w:p>
    <w:p>
      <w:pPr>
        <w:jc w:val="both"/>
        <w:ind w:left="900" w:right="280" w:hanging="368"/>
        <w:spacing w:after="0" w:line="26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economies and markets, which could include localized disputes that have a broader regional or global impact (such as the Russian invasion of Ukraine or recent hostilities in Israel, Lebanon, and the Gaza Strip);</w:t>
      </w:r>
    </w:p>
    <w:p>
      <w:pPr>
        <w:spacing w:after="0" w:line="67"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many of which vary between countries;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 as well as other governmental controls and trade restrictions;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trade protection measures, import or export licensing requirements or other restrictive actions by U.S. or foreign governments;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 and related prevalence of generic alternatives to therapeutics;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currency controls;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foreign reimbursement landscapes;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potentially inadequate reimbursement of our products;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risks related to any of these uncertainties materializes, it could have a material adverse effect on our business.</w:t>
      </w:r>
    </w:p>
    <w:p>
      <w:pPr>
        <w:spacing w:after="0" w:line="329"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4" w:name="page55"/>
    <w:bookmarkEnd w:id="54"/>
    <w:p>
      <w:pPr>
        <w:ind w:right="60"/>
        <w:spacing w:after="0" w:line="266" w:lineRule="auto"/>
        <w:rPr>
          <w:sz w:val="20"/>
          <w:szCs w:val="20"/>
          <w:color w:val="auto"/>
        </w:rPr>
      </w:pPr>
      <w:r>
        <w:rPr>
          <w:rFonts w:ascii="Times New Roman" w:cs="Times New Roman" w:eastAsia="Times New Roman" w:hAnsi="Times New Roman"/>
          <w:sz w:val="18"/>
          <w:szCs w:val="18"/>
          <w:color w:val="auto"/>
        </w:rPr>
        <w:t>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900" w:hanging="368"/>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We currently rely on third-party contract CROs to conduct our clinical trials. We plan to rely on third-party CROs or third-party research collaboratives to conduct any future clinical trials. We do not plan to independently conduct clinical trials of our other product candidates. We expect to continue to rely on third parties, such as CROs,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8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a collaboration and license agreement with MyoKardia (for certain genetically defined cardiomyopathies). We may in the future enter into additional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These third party arrangements generally do not provide us with the ability to control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5" w:name="page56"/>
    <w:bookmarkEnd w:id="55"/>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Collaborations that we enter into, including our collaboration with MyoKardia, may not be successful, and any success will depend heavily on the efforts and activities of such collaborators. Collaborations pose a number of risks, including the following:</w:t>
      </w:r>
    </w:p>
    <w:p>
      <w:pPr>
        <w:spacing w:after="0" w:line="54" w:lineRule="exact"/>
        <w:rPr>
          <w:sz w:val="20"/>
          <w:szCs w:val="20"/>
          <w:color w:val="auto"/>
        </w:rPr>
      </w:pPr>
    </w:p>
    <w:p>
      <w:pPr>
        <w:ind w:left="900" w:right="90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00" w:right="100" w:hanging="368"/>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any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58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900" w:right="140" w:hanging="368"/>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67" w:lineRule="exact"/>
        <w:rPr>
          <w:rFonts w:ascii="Times New Roman" w:cs="Times New Roman" w:eastAsia="Times New Roman" w:hAnsi="Times New Roman"/>
          <w:sz w:val="18"/>
          <w:szCs w:val="18"/>
          <w:color w:val="auto"/>
        </w:rPr>
      </w:pPr>
    </w:p>
    <w:p>
      <w:pPr>
        <w:ind w:left="900" w:right="560" w:hanging="368"/>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900" w:right="16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900" w:right="60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00" w:right="60" w:hanging="368"/>
        <w:spacing w:after="0" w:line="261"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900" w:right="54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900" w:right="160" w:hanging="368"/>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(e.g., our former collaboration with Acceleron Pharma, Inc.), and, if terminated, we could be required to raise additional capital to pursue further development or commercialization of the applicable product candidates.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For example, in November 2020, subsequent to our entering into the MyoKardia collaboration agreement, MyoKardia was acquired by Bristol-Myers Squibb Company. Bristol-Myers Squibb Company could determine to reprioritize MyoKardia’s development programs such that it ceases to diligently pursue the development of our programs and/or cause the agreement between MyoKardia and us to terminate. If our collaborator terminates its agreement with us, we may find it more difficult to attract new collaborators and our perception in the business and financial communities could be adversely affected.</w:t>
      </w:r>
    </w:p>
    <w:p>
      <w:pPr>
        <w:spacing w:after="0" w:line="2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For some of our product candidates, we may decide to collaborate with pharmaceutical or biotechnology companies for the development and potential commercialization of those product candidates. For example, we entered into a collaboration and license agreement with Sanofi, granting Sanofi an exclusive license under certain intellectual property rights to commercialize losmapimod outside of the United States. In addition, in July 2020, we entered into a collaboration and license agreement with MyoKardia to identify and validate potential biological targets for the potential treatment of certain genetically defined cardiomyopathies.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also be restricted under existing or future license agreements from entering into agreements on certain terms with potential collaborators.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 cardiomyopathies shown to be related to certain specified genes of interest that are modulated by the targets chosen by MyoKardia under our collaboration, in each case, while we are performing the research activities pursuant to the research plan and for a specified period thereafter. Further, our agreement with Sanofi restricts our ability to research, develop, manufacture, commercialize, use, or otherwise exploit any compound or product that binds or otherwise modulates p38a/b MAPK anywhere in the world, except losmapimod in the United States.</w:t>
      </w:r>
    </w:p>
    <w:p>
      <w:pPr>
        <w:spacing w:after="0" w:line="84" w:lineRule="exact"/>
        <w:rPr>
          <w:sz w:val="20"/>
          <w:szCs w:val="20"/>
          <w:color w:val="auto"/>
        </w:rPr>
      </w:pPr>
    </w:p>
    <w:p>
      <w:pPr>
        <w:ind w:right="300" w:firstLine="509"/>
        <w:spacing w:after="0" w:line="312" w:lineRule="auto"/>
        <w:rPr>
          <w:sz w:val="20"/>
          <w:szCs w:val="20"/>
          <w:color w:val="auto"/>
        </w:rPr>
      </w:pPr>
      <w:r>
        <w:rPr>
          <w:rFonts w:ascii="Times New Roman" w:cs="Times New Roman" w:eastAsia="Times New Roman" w:hAnsi="Times New Roman"/>
          <w:sz w:val="17"/>
          <w:szCs w:val="17"/>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3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7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“Business—Intellectual Property” in the 2023 Annual Report.</w:t>
      </w:r>
    </w:p>
    <w:p>
      <w:pPr>
        <w:spacing w:after="0" w:line="19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issued and pending U.S. non-provisional and provisional applications provide protection for the pharmaceutical compositions and methods of use for pociredir,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ind w:right="120"/>
        <w:spacing w:after="0" w:line="254" w:lineRule="auto"/>
        <w:rPr>
          <w:sz w:val="20"/>
          <w:szCs w:val="20"/>
          <w:color w:val="auto"/>
        </w:rPr>
      </w:pPr>
      <w:r>
        <w:rPr>
          <w:rFonts w:ascii="Times New Roman" w:cs="Times New Roman" w:eastAsia="Times New Roman" w:hAnsi="Times New Roman"/>
          <w:sz w:val="18"/>
          <w:szCs w:val="18"/>
          <w:color w:val="auto"/>
        </w:rPr>
        <w:t>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3"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9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Under our current license agreements, we may not have the final or sole decision on whether we are able to opt out certain of our in-licensed European patents and patent applications from the recently created Unified Patent Court, or the UPC, for the European Union. While our licensors have decided to opt out of the UPC, we cannot guarantee that our in-licensed European patents and patent applications will be challenged for non-compliance during the opt-out procedure and if successful, brought under the jurisdiction of the UPC, nor can we guarantee that our licensors will decide to opt back into the UPC at a later time.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9" w:name="page60"/>
    <w:bookmarkEnd w:id="59"/>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 product candidate receives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9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Item 1 “Business—Intellectual Property” in the 2023 Annual Report for additional information regarding patent laws and patent protection.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issued European patents could be subject to the jurisdiction of the UPC.</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UPC. We decided to remove, i.e., opt out, our European patents and patent applications from the jurisdiction of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2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0" w:name="page61"/>
    <w:bookmarkEnd w:id="60"/>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29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or our licensors are not currently involved in any litigation to protect or enforce our patent or other intellectual property rights, we may become involved in such lawsuits, which could be expensive, time-consuming and unsuccessful.</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The outcome following legal assertions of invalidity and unenforceability is unpredictable.</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8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8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2" w:name="page63"/>
    <w:bookmarkEnd w:id="62"/>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92"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9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are party to license and funding agreements, and we may enter into additional licensing and funding arrangements with third parties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that we use in our discovery efforts, all of which are non-exclusive. While we still face all of the risks described herein with respect to those agreements, we cannot prevent third parties from also accessing those technologies. In addition, our licenses may place restrictions on our future business opportunities.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17" w:lineRule="exact"/>
        <w:rPr>
          <w:sz w:val="20"/>
          <w:szCs w:val="20"/>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3" w:name="page64"/>
    <w:bookmarkEnd w:id="63"/>
    <w:p>
      <w:pPr>
        <w:ind w:left="900" w:right="24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8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3"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9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discovery technology.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w:t>
      </w:r>
    </w:p>
    <w:p>
      <w:pPr>
        <w:spacing w:after="0" w:line="117"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53"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in-licensed intellectual property rights;</w:t>
      </w:r>
    </w:p>
    <w:p>
      <w:pPr>
        <w:spacing w:after="0" w:line="53" w:lineRule="exact"/>
        <w:rPr>
          <w:rFonts w:ascii="Times New Roman" w:cs="Times New Roman" w:eastAsia="Times New Roman" w:hAnsi="Times New Roman"/>
          <w:sz w:val="18"/>
          <w:szCs w:val="18"/>
          <w:color w:val="auto"/>
        </w:rPr>
      </w:pPr>
    </w:p>
    <w:p>
      <w:pPr>
        <w:ind w:left="900" w:right="6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and in-licensed pending patent applications or those we may own or in-license in the future will not lead to issued patents;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900" w:right="82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w:t>
      </w:r>
    </w:p>
    <w:p>
      <w:pPr>
        <w:spacing w:after="0" w:line="53"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117" w:lineRule="exact"/>
        <w:rPr>
          <w:rFonts w:ascii="Times New Roman" w:cs="Times New Roman" w:eastAsia="Times New Roman" w:hAnsi="Times New Roman"/>
          <w:sz w:val="18"/>
          <w:szCs w:val="18"/>
          <w:color w:val="auto"/>
        </w:rPr>
      </w:pPr>
    </w:p>
    <w:p>
      <w:pPr>
        <w:ind w:left="900" w:right="42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53" w:lineRule="exact"/>
        <w:rPr>
          <w:rFonts w:ascii="Times New Roman" w:cs="Times New Roman" w:eastAsia="Times New Roman" w:hAnsi="Times New Roman"/>
          <w:sz w:val="18"/>
          <w:szCs w:val="18"/>
          <w:color w:val="auto"/>
        </w:rPr>
      </w:pPr>
    </w:p>
    <w:p>
      <w:pPr>
        <w:ind w:left="900" w:right="100" w:hanging="368"/>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our discovery technology are protected by trade secrets, but much is not protected by intellectual property, including patents, trade secrets and know-how, and we may not be able to develop, acquire or in-license any patentable technologies or other intellectual property related to the unprotected portions of our discovery portfolio;</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900" w:right="40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Marketing approval of drugs in the United States requires the submission of a new drug application, or NDA, to the FDA and we are not permitted to market any drug candidate in the United States until we obtain approval of the NDA.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7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6" w:name="page67"/>
    <w:bookmarkEnd w:id="66"/>
    <w:p>
      <w:pPr>
        <w:ind w:right="120"/>
        <w:spacing w:after="0" w:line="258" w:lineRule="auto"/>
        <w:rPr>
          <w:sz w:val="20"/>
          <w:szCs w:val="20"/>
          <w:color w:val="auto"/>
        </w:rPr>
      </w:pPr>
      <w:r>
        <w:rPr>
          <w:rFonts w:ascii="Times New Roman" w:cs="Times New Roman" w:eastAsia="Times New Roman" w:hAnsi="Times New Roman"/>
          <w:sz w:val="18"/>
          <w:szCs w:val="18"/>
          <w:color w:val="auto"/>
        </w:rPr>
        <w:t>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prolong the time necessary for regulatory submissions to be reviewed and/or new drugs to be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were to occur, it could significantly impact the ability of the FDA to timely review and process our regulatory submissions, which could have a material adverse effect on our business.</w:t>
      </w:r>
    </w:p>
    <w:p>
      <w:pPr>
        <w:spacing w:after="0" w:line="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5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European Union, may designate drugs for relatively small patient populations as orphan drugs. The FDA and EMA have granted orphan drug designation to losmapimod for the treatment of FSHD. We may seek orphan drug designation for our other current and future product candidates.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if it is determined that a product no longer meets the criteria for orphan designation, including if the product is sufficiently profitable so that market exclusivity is no longer justified. Proposed amendments to European Union regulations regarding orphan medicines are under consideration which, if approved, could reduce the ten-year marketing exclusivity period.</w:t>
      </w:r>
    </w:p>
    <w:p>
      <w:pPr>
        <w:spacing w:after="0" w:line="8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5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the FDA can subsequently approve the same drug for the same condition if the FDA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Designation by the FDA, such as fast track or breakthrough therapy,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FDA granted fast track designation to losmapimod for the treatment of FSHD and to pociredir for the treatment of SCD, and we may seek fast track designation for some of our other product candidates as well as breakthrough therapy designation. If a drug is intended for the treatment of a serious or life-threatening condition and the drug demonstrates the potential to address unmet medical needs for this condition, the drug sponsor may apply for FDA fast track designation. The FDA has broad discretion whether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7" w:name="page68"/>
    <w:bookmarkEnd w:id="67"/>
    <w:p>
      <w:pPr>
        <w:ind w:right="180"/>
        <w:spacing w:after="0" w:line="261" w:lineRule="auto"/>
        <w:rPr>
          <w:sz w:val="20"/>
          <w:szCs w:val="20"/>
          <w:color w:val="auto"/>
        </w:rPr>
      </w:pPr>
      <w:r>
        <w:rPr>
          <w:rFonts w:ascii="Times New Roman" w:cs="Times New Roman" w:eastAsia="Times New Roman" w:hAnsi="Times New Roman"/>
          <w:sz w:val="18"/>
          <w:szCs w:val="18"/>
          <w:color w:val="auto"/>
        </w:rPr>
        <w:t>or not to grant this designation, so even if we believe a particular product candidate is eligible for this designation, we cannot assure stockholders that the FDA would decide to grant it. Even with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spacing w:after="0" w:line="5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may seek approval, as applicable,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intermediate clinical endpoint).</w:t>
      </w:r>
    </w:p>
    <w:p>
      <w:pPr>
        <w:spacing w:after="0" w:line="7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otherwise evaluate our ability to seek and receive such accelerated approval.</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as a condition of accelerated approval, the FDA likely would require that we perform adequate and well-controlled post-marketing clinical trials to confirm the product’s clinical benefit. These confirmatory trials must be completed with due diligence. Under the Food and Drug Omnibus Reform Act of 2022, or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 impact the timing of the commercial launch of the product. Thus, even if we seek to utilize the accelerated approval pathway for a product candidate, we may not experience a faster development or regulatory review or approval process for that product. In addition, receiving accelerated approval does not assure that the product’s accelerated approval will ultimately be converted to a traditional approval.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any product candidates from being marketed abroad.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the necessary approvals to commercialize our products in any market.</w:t>
      </w:r>
    </w:p>
    <w:p>
      <w:pPr>
        <w:spacing w:after="0" w:line="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Additionally, now that the United Kingdom is no longer part of the European Union, separate applications and procedures will be required to obtain regulatory approval for our products in the United Kingdom and the European Union. Any delay in obtaining, or an inability to obtain, any marketing approvals could prevent us from commercializing any product candidates in the United Kingdom and/or the European Union and restrict our ability to generate revenue and achieve and sustain profitability.</w:t>
      </w:r>
    </w:p>
    <w:p>
      <w:pPr>
        <w:spacing w:after="0" w:line="28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67"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7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54" w:lineRule="exact"/>
        <w:rPr>
          <w:sz w:val="20"/>
          <w:szCs w:val="20"/>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or 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9" w:name="page70"/>
    <w:bookmarkEnd w:id="69"/>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sz w:val="20"/>
          <w:szCs w:val="20"/>
          <w:color w:val="auto"/>
        </w:rPr>
      </w:pPr>
    </w:p>
    <w:p>
      <w:pPr>
        <w:jc w:val="both"/>
        <w:ind w:right="520" w:firstLine="509"/>
        <w:spacing w:after="0" w:line="289" w:lineRule="auto"/>
        <w:rPr>
          <w:sz w:val="20"/>
          <w:szCs w:val="20"/>
          <w:color w:val="auto"/>
        </w:rPr>
      </w:pPr>
      <w:r>
        <w:rPr>
          <w:rFonts w:ascii="Times New Roman" w:cs="Times New Roman" w:eastAsia="Times New Roman" w:hAnsi="Times New Roman"/>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or United Kingdom’s requirements regarding the protection of personal information can also lead to significant penalties and sanctions.</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We will also be subject to other regulatory requirements, including submissions of safety and other post-marketing information and reports, registration and listing requirements, requirements regarding the distribution of samples to clinicians, and recordkeeping.</w:t>
      </w:r>
    </w:p>
    <w:p>
      <w:pPr>
        <w:spacing w:after="0" w:line="291"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Item 1 “Business—Government Regulation and Product Approvals—Health Care Law and Regulation” in the 2023 Annual Report.</w:t>
      </w:r>
    </w:p>
    <w:p>
      <w:pPr>
        <w:spacing w:after="0" w:line="8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92"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6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legislative and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Economic Area, or EEA, including personal health data, is subject to the European Union’s General Data Protection Regulation, or EU GDPR. Following the withdrawal of the United Kingdom from the European Union, or Brexit, the EU GDPR has been incorporated into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United Kingdom’s laws, or UK GDPR, alongside the UK Data Protection Act 2018, and together with the EU GDPR, is referred to as GDPR.</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us to implement a variety of different contractual clauses approved by European Union’s or United Kingdom’s regulators, and carry out transfer impact assessments to establish whether the third country can ensure essential equivalency. This complexity and the additional contractual burden increases our overall risk exposure, and may result in us needing to make strategic considerations around where EEA and UK personal data is stored and which service providers we can utilize for the processing of EEA and UK personal data.</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may be further divergence in the future, including with regard to administrative burdens. The UK Government has also now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This may lead to additional compliance costs and could increase our overall risk exposure as we may no longer be able to take a unified approach across the European Union and the United Kingdom, and we will need to amend our processes and procedures to align with the new framework.</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Similar data protection laws are either in place or under way in the United States. There are a broad variety of privacy and data security laws and regulations that may be applicable to our activities governing the collection, use, disclosure, and protection of health-related and other personal information (including, state data breach notification laws, health information and/or genetic privacy laws and federal and state consumer protection laws including Section 5 of the FTC Act, HIPAA, and the California Consumer Privacy Act, or CCPA). For example, the CCPA as amended by the California Privacy Rights Act, has created certain requirements for data use, sharing and transparency, and provides California residents certain rights concerning their personal information, such as access, correction, deletion and opt out of selling or sharing such data. Several other states have implemented privacy legislation similar to the CCPA or are preparing to implement their own regulatory frameworks. For example, Washington state’s My Health My Data Act, which took effect in March 2024, expands the definition of consumer health data, affords consumers with privacy rights and creates a private right of action, which could generate litigation. A wide range of enforcement agencies at both the state and federal levels, such as the Federal Trade Commission and state Attorneys General have been increasingly aggressive in reviewing and enforcing privacy and data security-related consumer protection laws. See Item 1 “Business –Government Regulation and Product Approvals” in the 2023 Annual Report.</w:t>
      </w:r>
    </w:p>
    <w:p>
      <w:pPr>
        <w:spacing w:after="0" w:line="8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Given the breadth and depth of changes in privacy, data protection and consumer protection obligations, preparing for and complying with these requirements is rigorous and time intensive and requires significant resources and ongoing review of our technologies, systems and practices, as well as those of any third-party collaborators, service providers, contractors or consultants that store, process or transfer personal data on our behalf. Compliance with the GDPR and other similar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Any failure or perceived failure by us to comply with such laws and regulations could lead to government enforcement actions, private litigation and significant fines and penalties against us and could have a material adverse effect on our business, financial condition or results of operations. There is also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9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 and affect the prices we may obtain for any products that are approved in the United States or foreign jurisdictions.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“Business—Government Regulation and Product Approval—Pharmaceutical Insurance Coverage and Health Care Reform” in the 2023 Annual Report.</w:t>
      </w:r>
    </w:p>
    <w:p>
      <w:pPr>
        <w:spacing w:after="0" w:line="8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Inflation Reduction Act of 2022, among other things, allows for Centers for Medicare &amp; Medicaid Services to negotiate prices for certain single-source drugs and biologics reimbursed under Medicare Part B and Part D, beginning with select high-cost drugs in 2026. The legislation subjects drug manufacturers to civil monetary penalties and a potential excise tax for offering a price that is not equal to or less than the price negotiated under the law or for taking price increases that exceed inflation. The legislation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1" w:name="page72"/>
    <w:bookmarkEnd w:id="71"/>
    <w:p>
      <w:pPr>
        <w:spacing w:after="0" w:line="261" w:lineRule="auto"/>
        <w:rPr>
          <w:sz w:val="20"/>
          <w:szCs w:val="20"/>
          <w:color w:val="auto"/>
        </w:rPr>
      </w:pPr>
      <w:r>
        <w:rPr>
          <w:rFonts w:ascii="Times New Roman" w:cs="Times New Roman" w:eastAsia="Times New Roman" w:hAnsi="Times New Roman"/>
          <w:sz w:val="18"/>
          <w:szCs w:val="18"/>
          <w:color w:val="auto"/>
        </w:rPr>
        <w:t>also requires manufacturers to pay rebates for drugs in Medicare Part B and Part D whose price increases exceed inflation. Further, the legislation caps Medicare beneficiaries’ annual out-of-pocket drug expenses at $2,000. The implementation of the IRA is currently subject to ongoing litigation challenging the constitutionality of the IRA’s Medicare drug price negotiation program. The effect of Inflation Reduction Act of 2022 on our business and the healthcare industry in general is not yet known.</w:t>
      </w:r>
    </w:p>
    <w:p>
      <w:pPr>
        <w:spacing w:after="0" w:line="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6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80"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2" w:name="page73"/>
    <w:bookmarkEnd w:id="72"/>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 GDPR.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3" w:name="page74"/>
    <w:bookmarkEnd w:id="73"/>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and information technology systems and infrastructure, or those of our collaborators or other contractors or consultants, may fail or suffer security compromises or breaches, which could result in a material disruption of our product development programs.</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internal computer and information technology systems and infrastructure and those of our CROs, collaborators, and other contractors or consultants upon which our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our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We have experienced cyber incidents in the past, and we cannot guarantee that the measure we take to prevent, detect and respond to cyber-attacks will be effective to prevent or remediate future incidents. If our cybersecurity measures or those of our service providers fail to protect against unauthorized access, attacks, compromise or the mishandling of data by our employees or contractors, then our reputation, customer trust, business, results of operations and financial condition could be adversely affected. Because the techniques used by threat actors who may attempt to penetrate and sabotage our computer systems or those of our collaborators or other contractors or consultants change frequently and may not be recognized until launched against a target, we may be unable to anticipate these techniques.</w:t>
      </w:r>
    </w:p>
    <w:p>
      <w:pPr>
        <w:spacing w:after="0" w:line="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compromise or breach were to result in a loss of, damage to, unauthorized access, or misuse of our data, systems, infrastructure or applications, or inappropriate disclosure of confidential or proprietary information, we could incur liability (including in connection with or resulting from litigation or governmental investigations and enforcement actions), our competitive position could be harmed and the further development and commercialization of our product candidates could be delayed and our business could be otherwise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4" w:name="page75"/>
    <w:bookmarkEnd w:id="74"/>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have had recent executive transitions, including of our chief executive officer, chief financial officer, president of research and development, chief scientific officer, and chief medical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Even if we are successful in our efforts to replace our executive leadership, we cannot guarantee that we will not face similar turnover in the future. In addition, we rely on consultants and advisors, including scientific and clinical advisors, to assist us in formulating our research and development and commercialization strategy. In August 2022 and September 2024, we announced a workforce reduction in our research and development function, which may make us a less attractive employer to future candidates.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30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of November 6, 2024, our executive officers and directors and our stockholders who owned more than 5% of our outstanding common stock in the aggregate beneficially owned shares representing approximately 67.5%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control may:</w:t>
      </w:r>
    </w:p>
    <w:p>
      <w:pPr>
        <w:spacing w:after="0" w:line="117" w:lineRule="exact"/>
        <w:rPr>
          <w:sz w:val="20"/>
          <w:szCs w:val="20"/>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board of directors;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that other stockholders may desire.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both"/>
        <w:ind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2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17" w:lineRule="exact"/>
        <w:rPr>
          <w:rFonts w:ascii="Times New Roman" w:cs="Times New Roman" w:eastAsia="Times New Roman" w:hAnsi="Times New Roman"/>
          <w:sz w:val="18"/>
          <w:szCs w:val="18"/>
          <w:color w:val="auto"/>
        </w:rPr>
      </w:pPr>
    </w:p>
    <w:p>
      <w:pPr>
        <w:ind w:left="900" w:right="140" w:hanging="368"/>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900" w:right="480" w:hanging="368"/>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900" w:right="40" w:hanging="368"/>
        <w:spacing w:after="0" w:line="266"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900" w:right="180" w:hanging="368"/>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6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5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our stockholders.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2" w:lineRule="exact"/>
        <w:rPr>
          <w:sz w:val="20"/>
          <w:szCs w:val="20"/>
          <w:color w:val="auto"/>
        </w:rPr>
      </w:pPr>
    </w:p>
    <w:p>
      <w:pPr>
        <w:ind w:left="900" w:right="860" w:hanging="368"/>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product candidates or those of our competitors or potential collaborators;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our products, if and when approved;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6" w:name="page77"/>
    <w:bookmarkEnd w:id="76"/>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900" w:right="240" w:hanging="368"/>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filed or intend to file universal shelf registration statements (which allows us to offer and sell securities from time to time pursuant to one or more offerings at prices and terms to be determined at the time of sale) subject to an aggregate offering amount stated therein, as well as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28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$1.235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79" w:lineRule="exact"/>
        <w:rPr>
          <w:sz w:val="20"/>
          <w:szCs w:val="20"/>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900" w:right="520" w:hanging="368"/>
        <w:spacing w:after="0" w:line="266"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7" w:name="page78"/>
    <w:bookmarkEnd w:id="77"/>
    <w:p>
      <w:pPr>
        <w:ind w:left="900" w:hanging="36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900" w:right="160" w:hanging="368"/>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5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management on our internal control over financial reporting. However, while we remain an EGC or a smaller reporting company with less than $100 million in revenue, we will not be required to include an attestation report on internal control over financial reporting issued by our independent registered public accounting firm. To achieve compliance with Section 404 within the prescribed period, we conduct a process each year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96"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2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780" w:hanging="263"/>
        <w:spacing w:after="0"/>
        <w:tabs>
          <w:tab w:leader="none" w:pos="7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5"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5" w:lineRule="exact"/>
        <w:rPr>
          <w:rFonts w:ascii="Times New Roman" w:cs="Times New Roman" w:eastAsia="Times New Roman" w:hAnsi="Times New Roman"/>
          <w:sz w:val="18"/>
          <w:szCs w:val="18"/>
          <w:b w:val="1"/>
          <w:bCs w:val="1"/>
          <w:color w:val="auto"/>
        </w:rPr>
      </w:pPr>
    </w:p>
    <w:p>
      <w:pPr>
        <w:ind w:left="760" w:hanging="243"/>
        <w:spacing w:after="0"/>
        <w:tabs>
          <w:tab w:leader="none" w:pos="7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Director and Officer Trading Plans and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gridSpan w:val="13"/>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980" w:type="dxa"/>
            <w:vAlign w:val="bottom"/>
            <w:tcBorders>
              <w:bottom w:val="single" w:sz="8" w:color="auto"/>
            </w:tcBorders>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8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060" w:type="dxa"/>
            <w:vAlign w:val="bottom"/>
            <w:tcBorders>
              <w:bottom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Restated Certificate of Incorporation of the Registrant (incorporated by reference to Exhibit 3.1 to the Registrant’s Current Report on Form</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8-K filed with the Securities and Exchange Commission on July 22, 2019).</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97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Certificate of Amendment of the Restated Certificate of Incorporation of the Registrant (incorporated by reference to Exhibit 3.1 to the</w:t>
              </w:r>
            </w:hyperlink>
          </w:p>
        </w:tc>
        <w:tc>
          <w:tcPr>
            <w:tcW w:w="38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Registrant’s Current Report on Form 8-K filed with the Securities and Exchange Commission on June 9, 2023).</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100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Amended and Restated Bylaws of the Registrant (incorporated by reference to Exhibit 3.2 to the Registrant’s Current Report on Form 8-K</w:t>
              </w:r>
            </w:hyperlink>
          </w:p>
        </w:tc>
        <w:tc>
          <w:tcPr>
            <w:tcW w:w="1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filed with the Securities and Exchange Commission on July 22, 2019).</w:t>
              </w:r>
            </w:hyperlink>
          </w:p>
        </w:tc>
        <w:tc>
          <w:tcPr>
            <w:tcW w:w="50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21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266">
              <w:r>
                <w:rPr>
                  <w:rFonts w:ascii="Times New Roman" w:cs="Times New Roman" w:eastAsia="Times New Roman" w:hAnsi="Times New Roman"/>
                  <w:sz w:val="18"/>
                  <w:szCs w:val="18"/>
                  <w:color w:val="0000FF"/>
                  <w:w w:val="98"/>
                </w:rPr>
                <w:t>Form of Pre-Funded Warrant.</w:t>
              </w:r>
            </w:hyperlink>
          </w:p>
        </w:tc>
        <w:tc>
          <w:tcPr>
            <w:tcW w:w="20" w:type="dxa"/>
            <w:vAlign w:val="bottom"/>
            <w:tcBorders>
              <w:bottom w:val="single" w:sz="8" w:color="0000EE"/>
            </w:tcBorders>
          </w:tcPr>
          <w:p>
            <w:pPr>
              <w:spacing w:after="0"/>
              <w:rPr>
                <w:sz w:val="18"/>
                <w:szCs w:val="18"/>
                <w:color w:val="auto"/>
              </w:rPr>
            </w:pPr>
          </w:p>
        </w:tc>
        <w:tc>
          <w:tcPr>
            <w:tcW w:w="798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9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96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10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1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100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2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1"/>
                <w:szCs w:val="21"/>
                <w:color w:val="auto"/>
              </w:rPr>
            </w:pPr>
          </w:p>
        </w:tc>
        <w:tc>
          <w:tcPr>
            <w:tcW w:w="10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3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0"/>
                <w:szCs w:val="20"/>
                <w:color w:val="auto"/>
              </w:rPr>
            </w:pPr>
          </w:p>
        </w:tc>
        <w:tc>
          <w:tcPr>
            <w:tcW w:w="10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260" w:firstLine="21"/>
        <w:spacing w:after="0" w:line="430" w:lineRule="auto"/>
        <w:tabs>
          <w:tab w:leader="none" w:pos="1094"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 Filed herewith.</w:t>
      </w:r>
    </w:p>
    <w:p>
      <w:pPr>
        <w:ind w:left="140" w:hanging="132"/>
        <w:spacing w:after="0"/>
        <w:tabs>
          <w:tab w:leader="none" w:pos="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9512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right="80" w:firstLine="8"/>
        <w:spacing w:after="0" w:line="250" w:lineRule="auto"/>
        <w:tabs>
          <w:tab w:leader="none" w:pos="1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because the registrant has determined that they are both not material and is the type of information that the registrant treats as private or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FULCRUM THERAPEUTICS, INC.</w:t>
            </w:r>
          </w:p>
        </w:tc>
      </w:tr>
      <w:tr>
        <w:trPr>
          <w:trHeight w:val="47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13, 2024</w:t>
            </w:r>
          </w:p>
        </w:tc>
        <w:tc>
          <w:tcPr>
            <w:tcW w:w="22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 Alex C. Sapir</w:t>
            </w:r>
          </w:p>
        </w:tc>
      </w:tr>
      <w:tr>
        <w:trPr>
          <w:trHeight w:val="205"/>
        </w:trPr>
        <w:tc>
          <w:tcPr>
            <w:tcW w:w="36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380" w:type="dxa"/>
            <w:vAlign w:val="bottom"/>
            <w:tcBorders>
              <w:top w:val="single" w:sz="8" w:color="auto"/>
            </w:tcBorders>
          </w:tcPr>
          <w:p>
            <w:pPr>
              <w:jc w:val="center"/>
              <w:ind w:right="150"/>
              <w:spacing w:after="0" w:line="205" w:lineRule="exact"/>
              <w:rPr>
                <w:sz w:val="20"/>
                <w:szCs w:val="20"/>
                <w:color w:val="auto"/>
              </w:rPr>
            </w:pPr>
            <w:r>
              <w:rPr>
                <w:rFonts w:ascii="Times New Roman" w:cs="Times New Roman" w:eastAsia="Times New Roman" w:hAnsi="Times New Roman"/>
                <w:sz w:val="18"/>
                <w:szCs w:val="18"/>
                <w:color w:val="auto"/>
                <w:w w:val="99"/>
              </w:rPr>
              <w:t>Alex C. Sapir</w:t>
            </w:r>
          </w:p>
        </w:tc>
      </w:tr>
      <w:tr>
        <w:trPr>
          <w:trHeight w:val="234"/>
        </w:trPr>
        <w:tc>
          <w:tcPr>
            <w:tcW w:w="3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President and Chief Executive Officer (Principal Executive Officer)</w:t>
            </w:r>
          </w:p>
        </w:tc>
      </w:tr>
      <w:tr>
        <w:trPr>
          <w:trHeight w:val="472"/>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13, 2024</w:t>
            </w:r>
          </w:p>
        </w:tc>
        <w:tc>
          <w:tcPr>
            <w:tcW w:w="22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 Alan Musso</w:t>
            </w:r>
          </w:p>
        </w:tc>
      </w:tr>
      <w:tr>
        <w:trPr>
          <w:trHeight w:val="205"/>
        </w:trPr>
        <w:tc>
          <w:tcPr>
            <w:tcW w:w="36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380" w:type="dxa"/>
            <w:vAlign w:val="bottom"/>
            <w:tcBorders>
              <w:top w:val="single" w:sz="8" w:color="auto"/>
            </w:tcBorders>
          </w:tcPr>
          <w:p>
            <w:pPr>
              <w:jc w:val="center"/>
              <w:ind w:right="150"/>
              <w:spacing w:after="0" w:line="205" w:lineRule="exact"/>
              <w:rPr>
                <w:sz w:val="20"/>
                <w:szCs w:val="20"/>
                <w:color w:val="auto"/>
              </w:rPr>
            </w:pPr>
            <w:r>
              <w:rPr>
                <w:rFonts w:ascii="Times New Roman" w:cs="Times New Roman" w:eastAsia="Times New Roman" w:hAnsi="Times New Roman"/>
                <w:sz w:val="18"/>
                <w:szCs w:val="18"/>
                <w:color w:val="auto"/>
                <w:w w:val="98"/>
              </w:rPr>
              <w:t>Alan Musso</w:t>
            </w:r>
          </w:p>
        </w:tc>
      </w:tr>
      <w:tr>
        <w:trPr>
          <w:trHeight w:val="234"/>
        </w:trPr>
        <w:tc>
          <w:tcPr>
            <w:tcW w:w="3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891"/>
        </w:trPr>
        <w:tc>
          <w:tcPr>
            <w:tcW w:w="3600" w:type="dxa"/>
            <w:vAlign w:val="bottom"/>
          </w:tcPr>
          <w:p>
            <w:pPr>
              <w:spacing w:after="0"/>
              <w:rPr>
                <w:sz w:val="24"/>
                <w:szCs w:val="24"/>
                <w:color w:val="auto"/>
              </w:rPr>
            </w:pPr>
          </w:p>
        </w:tc>
        <w:tc>
          <w:tcPr>
            <w:tcW w:w="2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5380" w:type="dxa"/>
            <w:vAlign w:val="bottom"/>
          </w:tcPr>
          <w:p>
            <w:pPr>
              <w:spacing w:after="0"/>
              <w:rPr>
                <w:sz w:val="24"/>
                <w:szCs w:val="24"/>
                <w:color w:val="auto"/>
              </w:rPr>
            </w:pPr>
          </w:p>
        </w:tc>
      </w:tr>
      <w:tr>
        <w:trPr>
          <w:trHeight w:val="763"/>
        </w:trPr>
        <w:tc>
          <w:tcPr>
            <w:tcW w:w="36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60" w:right="17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C. Sapir, certify that:</w:t>
      </w:r>
    </w:p>
    <w:p>
      <w:pPr>
        <w:spacing w:after="0" w:line="117" w:lineRule="exact"/>
        <w:rPr>
          <w:sz w:val="20"/>
          <w:szCs w:val="20"/>
          <w:color w:val="auto"/>
        </w:rPr>
      </w:pPr>
    </w:p>
    <w:p>
      <w:pPr>
        <w:ind w:left="700" w:hanging="183"/>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17"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firstLine="517"/>
        <w:spacing w:after="0" w:line="282" w:lineRule="auto"/>
        <w:tabs>
          <w:tab w:leader="none" w:pos="68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40" w:firstLine="517"/>
        <w:spacing w:after="0" w:line="266" w:lineRule="auto"/>
        <w:tabs>
          <w:tab w:leader="none" w:pos="68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80" w:firstLine="506"/>
        <w:spacing w:after="0" w:line="266" w:lineRule="auto"/>
        <w:tabs>
          <w:tab w:leader="none" w:pos="12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00" w:firstLine="506"/>
        <w:spacing w:after="0" w:line="266" w:lineRule="auto"/>
        <w:tabs>
          <w:tab w:leader="none" w:pos="128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00" w:firstLine="506"/>
        <w:spacing w:after="0" w:line="266" w:lineRule="auto"/>
        <w:tabs>
          <w:tab w:leader="none" w:pos="128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40" w:firstLine="506"/>
        <w:spacing w:after="0" w:line="282" w:lineRule="auto"/>
        <w:tabs>
          <w:tab w:leader="none" w:pos="12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firstLine="506"/>
        <w:spacing w:after="0" w:line="282" w:lineRule="auto"/>
        <w:tabs>
          <w:tab w:leader="none" w:pos="128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6300" w:val="left"/>
          <w:tab w:leader="none" w:pos="676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Alex C. Sapir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82" w:name="page83"/>
    <w:bookmarkEnd w:id="82"/>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60" w:right="17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Musso, certify that:</w:t>
      </w:r>
    </w:p>
    <w:p>
      <w:pPr>
        <w:spacing w:after="0" w:line="117" w:lineRule="exact"/>
        <w:rPr>
          <w:sz w:val="20"/>
          <w:szCs w:val="20"/>
          <w:color w:val="auto"/>
        </w:rPr>
      </w:pPr>
    </w:p>
    <w:p>
      <w:pPr>
        <w:ind w:left="700" w:hanging="183"/>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17"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firstLine="517"/>
        <w:spacing w:after="0" w:line="282" w:lineRule="auto"/>
        <w:tabs>
          <w:tab w:leader="none" w:pos="6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40" w:firstLine="517"/>
        <w:spacing w:after="0" w:line="266" w:lineRule="auto"/>
        <w:tabs>
          <w:tab w:leader="none" w:pos="6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80" w:firstLine="506"/>
        <w:spacing w:after="0" w:line="266" w:lineRule="auto"/>
        <w:tabs>
          <w:tab w:leader="none" w:pos="12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00" w:firstLine="506"/>
        <w:spacing w:after="0" w:line="266" w:lineRule="auto"/>
        <w:tabs>
          <w:tab w:leader="none" w:pos="128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00" w:firstLine="506"/>
        <w:spacing w:after="0" w:line="266" w:lineRule="auto"/>
        <w:tabs>
          <w:tab w:leader="none" w:pos="128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517"/>
        <w:spacing w:after="0" w:line="282" w:lineRule="auto"/>
        <w:tabs>
          <w:tab w:leader="none" w:pos="6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40" w:firstLine="506"/>
        <w:spacing w:after="0" w:line="282" w:lineRule="auto"/>
        <w:tabs>
          <w:tab w:leader="none" w:pos="12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firstLine="506"/>
        <w:spacing w:after="0" w:line="282" w:lineRule="auto"/>
        <w:tabs>
          <w:tab w:leader="none" w:pos="128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6300" w:val="left"/>
          <w:tab w:leader="none" w:pos="676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Alan Musso</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September 30, 2024, as filed with the Securities and Exchange Commission on the date hereof (the “Report”), the undersigned, Alex C. Sapir, President and Chief Executive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780" w:hanging="263"/>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5560" w:val="left"/>
          <w:tab w:leader="none" w:pos="598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Alex C. Sapir</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September 30, 2024, as filed with the Securities and Exchange Commission on the date hereof (the “Report”), the undersigned, Alan Musso, Chief Financial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780" w:hanging="263"/>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34290</wp:posOffset>
            </wp:positionV>
            <wp:extent cx="32746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Alan Musso</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lowerRoman"/>
      <w:start w:val="1"/>
    </w:lvl>
  </w:abstractNum>
  <w:abstractNum w:abstractNumId="6">
    <w:nsid w:val="737B8DDC"/>
    <w:multiLevelType w:val="hybridMultilevel"/>
    <w:lvl w:ilvl="0">
      <w:lvlJc w:val="left"/>
      <w:lvlText w:val="(%1)"/>
      <w:numFmt w:val="lowerRoman"/>
      <w:start w:val="3"/>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63" Type="http://schemas.openxmlformats.org/officeDocument/2006/relationships/hyperlink" Target="https://www.sec.gov/Archives/edgar/data/0001680581/000104746919004324/a2239321zex-3_1.htm" TargetMode="External"/><Relationship Id="rId264" Type="http://schemas.openxmlformats.org/officeDocument/2006/relationships/hyperlink" Target="https://www.sec.gov/Archives/edgar/data/1680581/000119312523164435/d463131dex31.htm" TargetMode="External"/><Relationship Id="rId265" Type="http://schemas.openxmlformats.org/officeDocument/2006/relationships/hyperlink" Target="https://www.sec.gov/Archives/edgar/data/0001680581/000104746919004324/a2239321zex-3_2.htm" TargetMode="External"/><Relationship Id="rId266" Type="http://schemas.openxmlformats.org/officeDocument/2006/relationships/hyperlink" Target="https://www.sec.gov/Archives/edgar/data/1680581/000119312524205347/d9865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2024-11-13T06:14:41Z</dcterms:created>
  <dcterms:modified xsi:type="dcterms:W3CDTF">2024-11-13T06:14:41Z</dcterms:modified>
</cp:coreProperties>
</file>