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980" w:right="1740" w:hanging="3972"/>
        <w:spacing w:after="0" w:line="407"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7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5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3747770</wp:posOffset>
            </wp:positionH>
            <wp:positionV relativeFrom="paragraph">
              <wp:posOffset>-7620</wp:posOffset>
            </wp:positionV>
            <wp:extent cx="1238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622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40" w:type="dxa"/>
            <w:vAlign w:val="bottom"/>
          </w:tcPr>
          <w:p>
            <w:pPr>
              <w:spacing w:after="0"/>
              <w:rPr>
                <w:sz w:val="20"/>
                <w:szCs w:val="20"/>
                <w:color w:val="auto"/>
              </w:rPr>
            </w:pPr>
          </w:p>
        </w:tc>
      </w:tr>
      <w:tr>
        <w:trPr>
          <w:trHeight w:val="95"/>
        </w:trPr>
        <w:tc>
          <w:tcPr>
            <w:tcW w:w="29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308"/>
        </w:trPr>
        <w:tc>
          <w:tcPr>
            <w:tcW w:w="622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9"/>
        </w:trPr>
        <w:tc>
          <w:tcPr>
            <w:tcW w:w="6220" w:type="dxa"/>
            <w:vAlign w:val="bottom"/>
            <w:gridSpan w:val="3"/>
          </w:tcPr>
          <w:p>
            <w:pPr>
              <w:jc w:val="center"/>
              <w:ind w:right="38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220" w:type="dxa"/>
            <w:vAlign w:val="bottom"/>
            <w:gridSpan w:val="3"/>
          </w:tcPr>
          <w:p>
            <w:pPr>
              <w:jc w:val="center"/>
              <w:ind w:right="38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22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88"/>
              </w:rPr>
              <w:t>26 Landsdowne Street</w:t>
            </w:r>
          </w:p>
        </w:tc>
        <w:tc>
          <w:tcPr>
            <w:tcW w:w="1240" w:type="dxa"/>
            <w:vAlign w:val="bottom"/>
          </w:tcPr>
          <w:p>
            <w:pPr>
              <w:spacing w:after="0"/>
              <w:rPr>
                <w:sz w:val="18"/>
                <w:szCs w:val="18"/>
                <w:color w:val="auto"/>
              </w:rPr>
            </w:pPr>
          </w:p>
        </w:tc>
      </w:tr>
      <w:tr>
        <w:trPr>
          <w:trHeight w:val="212"/>
        </w:trPr>
        <w:tc>
          <w:tcPr>
            <w:tcW w:w="622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9"/>
              </w:rPr>
              <w:t>Cambridge, Massachusetts</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22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Trading Symbol(s)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par value $0.001 per share</w:t>
            </w:r>
          </w:p>
        </w:tc>
        <w:tc>
          <w:tcPr>
            <w:tcW w:w="1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20" w:firstLine="518"/>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560" w:firstLine="518"/>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80" w:firstLine="518"/>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5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6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35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6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5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88" w:lineRule="exact"/>
        <w:rPr>
          <w:sz w:val="24"/>
          <w:szCs w:val="24"/>
          <w:color w:val="auto"/>
        </w:rPr>
      </w:pPr>
    </w:p>
    <w:p>
      <w:pPr>
        <w:ind w:right="200" w:firstLine="518"/>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7" w:lineRule="exact"/>
        <w:rPr>
          <w:sz w:val="24"/>
          <w:szCs w:val="24"/>
          <w:color w:val="auto"/>
        </w:rPr>
      </w:pPr>
    </w:p>
    <w:p>
      <w:pPr>
        <w:ind w:left="520" w:right="172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23, 2019, the registrant had 23,340,419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209"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1, Phase 2b, and Phase 2 open label clinical trials of losmapimod;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investigational new drug application, or IND, enabling studies and planned Phase 1 clinical trial of FTX-6058 (formerly FTX-HbF);</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fund our operating expenses and capital expenditure requirements with our cash and cash equivalents;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3"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6"/>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760" w:type="dxa"/>
            <w:vAlign w:val="bottom"/>
            <w:gridSpan w:val="9"/>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6"/>
            <w:vMerge w:val="continue"/>
          </w:tcPr>
          <w:p>
            <w:pPr>
              <w:spacing w:after="0"/>
              <w:rPr>
                <w:sz w:val="15"/>
                <w:szCs w:val="15"/>
                <w:color w:val="auto"/>
              </w:rPr>
            </w:pPr>
          </w:p>
        </w:tc>
        <w:tc>
          <w:tcPr>
            <w:tcW w:w="7760" w:type="dxa"/>
            <w:vAlign w:val="bottom"/>
            <w:gridSpan w:val="9"/>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6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as of June 30, 2019 and December 31, 2018</w:t>
              </w:r>
            </w:hyperlink>
          </w:p>
        </w:tc>
        <w:tc>
          <w:tcPr>
            <w:tcW w:w="472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and Comprehensive Loss for the three and six months ended June 30, 2019 and 2018</w:t>
              </w:r>
            </w:hyperlink>
          </w:p>
        </w:tc>
        <w:tc>
          <w:tcPr>
            <w:tcW w:w="104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gridSpan w:val="1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Convertible Preferred Stock and Stockholders’ Deficit for the three and six months ended June 30, 2019 and</w:t>
              </w:r>
            </w:hyperlink>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six months ended June 30, 2019 and 2018</w:t>
              </w:r>
            </w:hyperlink>
          </w:p>
        </w:tc>
        <w:tc>
          <w:tcPr>
            <w:tcW w:w="356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66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1002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14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5680" w:type="dxa"/>
            <w:vAlign w:val="bottom"/>
            <w:gridSpan w:val="6"/>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49,628</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72,797</w:t>
            </w: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1,298</w:t>
            </w:r>
          </w:p>
        </w:tc>
      </w:tr>
      <w:tr>
        <w:trPr>
          <w:trHeight w:val="223"/>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51,366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74,095</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10,005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10,546</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1,092</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3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w:t>
            </w:r>
          </w:p>
        </w:tc>
      </w:tr>
      <w:tr>
        <w:trPr>
          <w:trHeight w:val="263"/>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65,151</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85,771</w:t>
            </w: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3,081</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1,263</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2,793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2,497</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r>
      <w:tr>
        <w:trPr>
          <w:trHeight w:val="223"/>
        </w:trPr>
        <w:tc>
          <w:tcPr>
            <w:tcW w:w="78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6,343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4,229</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Deferred rent, excluding current portion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1,402</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lease incentive, excluding current portion</w:t>
            </w:r>
          </w:p>
        </w:tc>
        <w:tc>
          <w:tcPr>
            <w:tcW w:w="3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3,990</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excluding current portion</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150</w:t>
            </w:r>
          </w:p>
        </w:tc>
      </w:tr>
      <w:tr>
        <w:trPr>
          <w:trHeight w:val="223"/>
        </w:trPr>
        <w:tc>
          <w:tcPr>
            <w:tcW w:w="788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9,771</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Series A convertible preferred stock, $0.001 par value; 60,000,000 shares authorized,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80" w:type="dxa"/>
            <w:vAlign w:val="bottom"/>
          </w:tcPr>
          <w:p>
            <w:pPr>
              <w:ind w:left="140"/>
              <w:spacing w:after="0"/>
              <w:rPr>
                <w:sz w:val="20"/>
                <w:szCs w:val="20"/>
                <w:color w:val="auto"/>
              </w:rPr>
            </w:pPr>
            <w:r>
              <w:rPr>
                <w:rFonts w:ascii="Arial" w:cs="Arial" w:eastAsia="Arial" w:hAnsi="Arial"/>
                <w:sz w:val="18"/>
                <w:szCs w:val="18"/>
                <w:color w:val="auto"/>
              </w:rPr>
              <w:t>issued and outstanding as of June 30, 2019 and December 31, 2018 (liquidation</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preference of $69,567 as of June 30, 2019)</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59,909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59,909</w:t>
            </w: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Series B convertible preferred stock, $0.001 par value; 52,500,000 and 40,000,000</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authorized, issued and outstanding as of June 30, 2019 and December 31, 2018,</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 (liquidation preference of $111,214 as of June 30, 2019)</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105,227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79,761</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Stockholders’ deficit:</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147,500,000 and 135,000,000 shares authorized</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June 30, 2019 and December 31, 2018, respectively; 2,768,596 and</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2,791,764 shares issued as of June 30, 2019 and December 31, 2018, respectively;</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1,870,286 and 1,587,953 shares outstanding as of June 30, 2019 and December 31,</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2018, respectively</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Treasury stock, at cost; 1,432 and 67,024 shares as of June 30, 2019 and December 31,</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2018, respectively</w:t>
            </w:r>
          </w:p>
        </w:tc>
        <w:tc>
          <w:tcPr>
            <w:tcW w:w="30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4,452</w:t>
            </w: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(118,136)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(68,124)</w:t>
            </w: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65,151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85,771</w:t>
            </w: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10,860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5,788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45,489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13,494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7,849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50,721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15,159</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(15,159)</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(50,012)</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Borders>
              <w:bottom w:val="single" w:sz="8" w:color="CFF0FC"/>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(56,344)</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196"/>
        </w:trPr>
        <w:tc>
          <w:tcPr>
            <w:tcW w:w="59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number of common shares used in net loss per</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 attributable to common stockholders, 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6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3"/>
              </w:rPr>
              <w:t>Series A Convertible</w:t>
            </w:r>
          </w:p>
        </w:tc>
        <w:tc>
          <w:tcPr>
            <w:tcW w:w="1680" w:type="dxa"/>
            <w:vAlign w:val="bottom"/>
            <w:tcBorders>
              <w:right w:val="single" w:sz="8" w:color="auto"/>
            </w:tcBorders>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Series B Convertible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80" w:type="dxa"/>
            <w:vAlign w:val="bottom"/>
            <w:tcBorders>
              <w:right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2"/>
              </w:rPr>
              <w:t>Treasury Stock</w:t>
            </w:r>
          </w:p>
        </w:tc>
        <w:tc>
          <w:tcPr>
            <w:tcW w:w="2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6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8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9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78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28"/>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2017</w:t>
            </w:r>
          </w:p>
        </w:tc>
        <w:tc>
          <w:tcPr>
            <w:tcW w:w="84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34,666,666</w:t>
            </w:r>
          </w:p>
        </w:tc>
        <w:tc>
          <w:tcPr>
            <w:tcW w:w="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1"/>
              </w:rPr>
              <w:t>$ 34,587</w:t>
            </w:r>
          </w:p>
        </w:tc>
        <w:tc>
          <w:tcPr>
            <w:tcW w:w="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972,266</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8,036</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2,270</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(35,536)</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143"/>
        </w:trPr>
        <w:tc>
          <w:tcPr>
            <w:tcW w:w="2120" w:type="dxa"/>
            <w:vAlign w:val="bottom"/>
          </w:tcPr>
          <w:p>
            <w:pPr>
              <w:ind w:left="260"/>
              <w:spacing w:after="0" w:line="143" w:lineRule="exact"/>
              <w:rPr>
                <w:sz w:val="20"/>
                <w:szCs w:val="20"/>
                <w:color w:val="auto"/>
              </w:rPr>
            </w:pPr>
            <w:r>
              <w:rPr>
                <w:rFonts w:ascii="Arial" w:cs="Arial" w:eastAsia="Arial" w:hAnsi="Arial"/>
                <w:sz w:val="14"/>
                <w:szCs w:val="14"/>
                <w:color w:val="auto"/>
              </w:rPr>
              <w:t>Issuance of Series A</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line="149" w:lineRule="exact"/>
              <w:rPr>
                <w:sz w:val="20"/>
                <w:szCs w:val="20"/>
                <w:color w:val="auto"/>
              </w:rPr>
            </w:pPr>
            <w:r>
              <w:rPr>
                <w:rFonts w:ascii="Arial" w:cs="Arial" w:eastAsia="Arial" w:hAnsi="Arial"/>
                <w:sz w:val="14"/>
                <w:szCs w:val="14"/>
                <w:color w:val="auto"/>
              </w:rPr>
              <w:t>convertible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at $1.00 per</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line="149" w:lineRule="exact"/>
              <w:rPr>
                <w:sz w:val="20"/>
                <w:szCs w:val="20"/>
                <w:color w:val="auto"/>
              </w:rPr>
            </w:pPr>
            <w:r>
              <w:rPr>
                <w:rFonts w:ascii="Arial" w:cs="Arial" w:eastAsia="Arial" w:hAnsi="Arial"/>
                <w:sz w:val="14"/>
                <w:szCs w:val="14"/>
                <w:color w:val="auto"/>
              </w:rPr>
              <w:t>share,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360"/>
              <w:spacing w:after="0"/>
              <w:rPr>
                <w:sz w:val="20"/>
                <w:szCs w:val="20"/>
                <w:color w:val="auto"/>
              </w:rPr>
            </w:pPr>
            <w:r>
              <w:rPr>
                <w:rFonts w:ascii="Arial" w:cs="Arial" w:eastAsia="Arial" w:hAnsi="Arial"/>
                <w:sz w:val="14"/>
                <w:szCs w:val="14"/>
                <w:color w:val="auto"/>
              </w:rPr>
              <w:t>net of issuance costs of $7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12,666,667</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12,659</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125,123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3"/>
        </w:trPr>
        <w:tc>
          <w:tcPr>
            <w:tcW w:w="2120" w:type="dxa"/>
            <w:vAlign w:val="bottom"/>
          </w:tcPr>
          <w:p>
            <w:pPr>
              <w:ind w:left="260"/>
              <w:spacing w:after="0" w:line="143" w:lineRule="exact"/>
              <w:rPr>
                <w:sz w:val="20"/>
                <w:szCs w:val="20"/>
                <w:color w:val="auto"/>
              </w:rPr>
            </w:pPr>
            <w:r>
              <w:rPr>
                <w:rFonts w:ascii="Arial" w:cs="Arial" w:eastAsia="Arial" w:hAnsi="Arial"/>
                <w:sz w:val="14"/>
                <w:szCs w:val="14"/>
                <w:color w:val="auto"/>
              </w:rPr>
              <w:t>Repurchase of unvested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360"/>
              <w:spacing w:after="0"/>
              <w:rPr>
                <w:sz w:val="20"/>
                <w:szCs w:val="20"/>
                <w:color w:val="auto"/>
              </w:rPr>
            </w:pPr>
            <w:r>
              <w:rPr>
                <w:rFonts w:ascii="Arial" w:cs="Arial" w:eastAsia="Arial" w:hAnsi="Arial"/>
                <w:sz w:val="14"/>
                <w:szCs w:val="14"/>
                <w:color w:val="auto"/>
              </w:rPr>
              <w:t>stock awards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12,599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9"/>
              </w:rPr>
              <w:t>Retirement of treasury shares</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2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260"/>
              <w:spacing w:after="0"/>
              <w:rPr>
                <w:sz w:val="20"/>
                <w:szCs w:val="20"/>
                <w:color w:val="auto"/>
              </w:rPr>
            </w:pPr>
            <w:r>
              <w:rPr>
                <w:rFonts w:ascii="Arial" w:cs="Arial" w:eastAsia="Arial" w:hAnsi="Arial"/>
                <w:sz w:val="14"/>
                <w:szCs w:val="14"/>
                <w:color w:val="auto"/>
              </w:rPr>
              <w:t>expense</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March 31, 2018</w:t>
            </w: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47,333,333</w:t>
            </w:r>
          </w:p>
        </w:tc>
        <w:tc>
          <w:tcPr>
            <w:tcW w:w="8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1"/>
              </w:rPr>
              <w:t>$ 47,246</w:t>
            </w:r>
          </w:p>
        </w:tc>
        <w:tc>
          <w:tcPr>
            <w:tcW w:w="80" w:type="dxa"/>
            <w:vAlign w:val="bottom"/>
            <w:tcBorders>
              <w:bottom w:val="single" w:sz="8" w:color="CFF0FC"/>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right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1,097,389</w:t>
            </w:r>
          </w:p>
        </w:tc>
        <w:tc>
          <w:tcPr>
            <w:tcW w:w="1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2,703</w:t>
            </w: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(42,476)</w:t>
            </w: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(39,772)</w:t>
            </w:r>
          </w:p>
        </w:tc>
        <w:tc>
          <w:tcPr>
            <w:tcW w:w="0" w:type="dxa"/>
            <w:vAlign w:val="bottom"/>
          </w:tcPr>
          <w:p>
            <w:pPr>
              <w:spacing w:after="0"/>
              <w:rPr>
                <w:sz w:val="1"/>
                <w:szCs w:val="1"/>
                <w:color w:val="auto"/>
              </w:rPr>
            </w:pPr>
          </w:p>
        </w:tc>
      </w:tr>
      <w:tr>
        <w:trPr>
          <w:trHeight w:val="124"/>
        </w:trPr>
        <w:tc>
          <w:tcPr>
            <w:tcW w:w="2120" w:type="dxa"/>
            <w:vAlign w:val="bottom"/>
            <w:shd w:val="clear" w:color="auto" w:fill="CFF0FC"/>
          </w:tcPr>
          <w:p>
            <w:pPr>
              <w:ind w:left="260"/>
              <w:spacing w:after="0" w:line="124" w:lineRule="exact"/>
              <w:rPr>
                <w:sz w:val="20"/>
                <w:szCs w:val="20"/>
                <w:color w:val="auto"/>
              </w:rPr>
            </w:pPr>
            <w:r>
              <w:rPr>
                <w:rFonts w:ascii="Arial" w:cs="Arial" w:eastAsia="Arial" w:hAnsi="Arial"/>
                <w:sz w:val="14"/>
                <w:szCs w:val="14"/>
                <w:color w:val="auto"/>
              </w:rPr>
              <w:t>Issuance of Series A</w:t>
            </w: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convertible</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preferred stock at $1.00 per</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share,</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net of issuance costs of $5</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12,666,667</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12,663</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187,421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(7,846)</w:t>
            </w:r>
          </w:p>
        </w:tc>
        <w:tc>
          <w:tcPr>
            <w:tcW w:w="0" w:type="dxa"/>
            <w:vAlign w:val="bottom"/>
          </w:tcPr>
          <w:p>
            <w:pPr>
              <w:spacing w:after="0"/>
              <w:rPr>
                <w:sz w:val="1"/>
                <w:szCs w:val="1"/>
                <w:color w:val="auto"/>
              </w:rPr>
            </w:pPr>
          </w:p>
        </w:tc>
      </w:tr>
      <w:tr>
        <w:trPr>
          <w:trHeight w:val="156"/>
        </w:trPr>
        <w:tc>
          <w:tcPr>
            <w:tcW w:w="21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2018</w:t>
            </w:r>
          </w:p>
        </w:tc>
        <w:tc>
          <w:tcPr>
            <w:tcW w:w="84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60,000,000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1"/>
              </w:rPr>
              <w:t>$ 59,909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1,284,810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3,173</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(50,322)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(47,148)</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color w:val="auto"/>
              </w:rPr>
              <w:t>Balance at December 31, 2018</w:t>
            </w:r>
          </w:p>
        </w:tc>
        <w:tc>
          <w:tcPr>
            <w:tcW w:w="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2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60,000,000</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91"/>
              </w:rPr>
              <w:t>$ 59,909</w:t>
            </w: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99"/>
              </w:rPr>
              <w:t>40,000,000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79,761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1,587,953</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67,024</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4,452</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(68,124)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Series B</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convertible</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preferred stock in</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connection</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w w:val="99"/>
              </w:rPr>
              <w:t>with asset acquisition, net of</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issuance costs of $34</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9"/>
              </w:rPr>
              <w:t>12,500,000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25,466</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134,013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Repurchase of unvested</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 awards</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43,922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w w:val="99"/>
              </w:rPr>
              <w:t>Retirement of treasury shares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(110,946)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(36,843)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(36,843)</w:t>
            </w:r>
          </w:p>
        </w:tc>
        <w:tc>
          <w:tcPr>
            <w:tcW w:w="0" w:type="dxa"/>
            <w:vAlign w:val="bottom"/>
          </w:tcPr>
          <w:p>
            <w:pPr>
              <w:spacing w:after="0"/>
              <w:rPr>
                <w:sz w:val="1"/>
                <w:szCs w:val="1"/>
                <w:color w:val="auto"/>
              </w:rPr>
            </w:pPr>
          </w:p>
        </w:tc>
      </w:tr>
      <w:tr>
        <w:trPr>
          <w:trHeight w:val="156"/>
        </w:trPr>
        <w:tc>
          <w:tcPr>
            <w:tcW w:w="21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84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60,000,000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1"/>
              </w:rPr>
              <w:t>$ 59,909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9"/>
              </w:rPr>
              <w:t>52,500,000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0"/>
              </w:rPr>
              <w:t>105,227</w:t>
            </w:r>
          </w:p>
        </w:tc>
        <w:tc>
          <w:tcPr>
            <w:tcW w:w="10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1,721,966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5,278</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(104,967)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(99,687)</w:t>
            </w:r>
          </w:p>
        </w:tc>
        <w:tc>
          <w:tcPr>
            <w:tcW w:w="0" w:type="dxa"/>
            <w:vAlign w:val="bottom"/>
          </w:tcPr>
          <w:p>
            <w:pPr>
              <w:spacing w:after="0"/>
              <w:rPr>
                <w:sz w:val="1"/>
                <w:szCs w:val="1"/>
                <w:color w:val="auto"/>
              </w:rPr>
            </w:pPr>
          </w:p>
        </w:tc>
      </w:tr>
      <w:tr>
        <w:trPr>
          <w:trHeight w:val="20"/>
        </w:trPr>
        <w:tc>
          <w:tcPr>
            <w:tcW w:w="2120" w:type="dxa"/>
            <w:vAlign w:val="bottom"/>
            <w:vMerge w:val="restart"/>
          </w:tcPr>
          <w:p>
            <w:pPr>
              <w:ind w:left="26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2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148,320</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225</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Repurchase of unvested</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 awards</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7,451</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w w:val="99"/>
              </w:rPr>
              <w:t>Retirement of treasury shares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62"/>
        </w:trPr>
        <w:tc>
          <w:tcPr>
            <w:tcW w:w="21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(13,169)</w:t>
            </w:r>
          </w:p>
        </w:tc>
        <w:tc>
          <w:tcPr>
            <w:tcW w:w="0" w:type="dxa"/>
            <w:vAlign w:val="bottom"/>
          </w:tcPr>
          <w:p>
            <w:pPr>
              <w:spacing w:after="0"/>
              <w:rPr>
                <w:sz w:val="1"/>
                <w:szCs w:val="1"/>
                <w:color w:val="auto"/>
              </w:rPr>
            </w:pPr>
          </w:p>
        </w:tc>
      </w:tr>
      <w:tr>
        <w:trPr>
          <w:trHeight w:val="156"/>
        </w:trPr>
        <w:tc>
          <w:tcPr>
            <w:tcW w:w="21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2019</w:t>
            </w:r>
          </w:p>
        </w:tc>
        <w:tc>
          <w:tcPr>
            <w:tcW w:w="84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60,000,000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1"/>
              </w:rPr>
              <w:t>$ 59,909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9"/>
              </w:rPr>
              <w:t>52,500,000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90"/>
              </w:rPr>
              <w:t>105,227</w:t>
            </w:r>
          </w:p>
        </w:tc>
        <w:tc>
          <w:tcPr>
            <w:tcW w:w="10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1,870,286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1,432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6,453</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(118,136)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(111,681)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jc w:val="center"/>
        <w:ind w:left="77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(50,012)</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In-process research and development expenses</w:t>
            </w: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25,591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rent and deferred lease incentive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(21,971)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Transaction costs associated with asset acquisition</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Series A convertible preferred stock, net of issuance costs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25,322</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Issuance costs associated with issuance of Series B convertible preferred stock</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Payment of initial public offering costs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25,290</w:t>
            </w: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(23,169)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73,889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50,720</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in process research and development through issuance of stock</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25,500</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 unpaid at end of period</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1,325</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the cash, cash equivalents, and restricted cash balances as of each of the periods shown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577"/>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660" w:type="dxa"/>
            <w:vAlign w:val="bottom"/>
          </w:tcPr>
          <w:p>
            <w:pPr>
              <w:spacing w:after="0"/>
              <w:rPr>
                <w:sz w:val="14"/>
                <w:szCs w:val="14"/>
                <w:color w:val="auto"/>
              </w:rPr>
            </w:pPr>
          </w:p>
        </w:tc>
        <w:tc>
          <w:tcPr>
            <w:tcW w:w="32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97"/>
              <w:spacing w:after="0"/>
              <w:rPr>
                <w:sz w:val="20"/>
                <w:szCs w:val="20"/>
                <w:color w:val="auto"/>
              </w:rPr>
            </w:pPr>
            <w:r>
              <w:rPr>
                <w:rFonts w:ascii="Arial" w:cs="Arial" w:eastAsia="Arial" w:hAnsi="Arial"/>
                <w:sz w:val="14"/>
                <w:szCs w:val="14"/>
                <w:b w:val="1"/>
                <w:bCs w:val="1"/>
                <w:color w:val="auto"/>
              </w:rPr>
              <w:t>2018</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49,628</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7,977</w:t>
            </w: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1,092</w:t>
            </w: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50,720</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9,069</w:t>
            </w:r>
          </w:p>
        </w:tc>
      </w:tr>
      <w:tr>
        <w:trPr>
          <w:trHeight w:val="20"/>
        </w:trPr>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70"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accompanying consolidated financial statements and footnotes to the financial statements have been prepared on the same basis as the most recently audited annual financial statements and, in the opinion of management, reflect all normal recurring adjustments necessary for the fair presentation of the Company’s financial position as of June 30, 2019 and the results of its operations and its cash flows for the three and six months ended June 30, 2019 and 2018. The results for the three and six months ended June 30, 2019 are not necessarily indicative of results to be expected for the year ending December 31, 2019, any other interim periods, or any future year or period. These consolidated financial statements should be read in conjunction with the Company’s audited consolidated financial statements and the notes thereto for the year ended December 31, 2018 included in the Company’s final prospectus for its initial public offering (“IPO”) filed pursuant to Rule 424(b)(4) under the Securities Act of 1933, as amended (the “Securities Act”), with the Securities and Exchange Commission (the “SEC”) on July 18,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issuance of convertible notes and convertible preferred stock, and most recently, with proceeds from the IPO completed in July 2019 (Note 14). As of June 30, 2019, the Company had an accumulated deficit of $118.1 million. The Company expects its operating losses and negative operating cash flows to continue into the foreseeable future as it continues to expand its research and development efforts.</w:t>
      </w:r>
    </w:p>
    <w:p>
      <w:pPr>
        <w:spacing w:after="0" w:line="17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believes that its cash and cash equivalents as of June 30, 2019, together with the net proceeds from the IPO of the Company’s common stock completed in July 2019, will be sufficient to fund its operating expenses and capital expenditure requirements for at least twelve months from the date of filing this Quarterly Report on Form 10-Q. The Company will need additional funding to support its planned operating activities. If the Company is unable to obtain additional funding, it would be forced to delay, reduce or eliminate some or all of its research and development programs, product portfolio expansion, or commercialization efforts, which could adversely affect its business prospects.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2018 included in the Company’s final prospectus for its IPO filed pursuant to Rule 424(b)(4) under the Securities Act with the SEC on July 18, 2019. There have been no material changes in the Company’s significant accounting policies during the three months ended June 30,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(for periods prior to the completion of the IPO of the Company’s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Research and development expenses also include in-process research and development (“IPR&amp;D”) expenses, which relate to IPR&amp;D acquired as part of an asset acquisition for which there is no alternative future use. Research and development with no alternative future use is expensed as incurred.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The new standard will be effective for the Company on January 1, 2020.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9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(“ASU 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The Company is currently evaluating the impact that the adoption of ASU 2017-11 may have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ind w:left="100"/>
              <w:spacing w:after="0"/>
              <w:rPr>
                <w:sz w:val="20"/>
                <w:szCs w:val="20"/>
                <w:color w:val="auto"/>
              </w:rPr>
            </w:pPr>
            <w:r>
              <w:rPr>
                <w:rFonts w:ascii="Arial" w:cs="Arial" w:eastAsia="Arial" w:hAnsi="Arial"/>
                <w:sz w:val="14"/>
                <w:szCs w:val="14"/>
                <w:b w:val="1"/>
                <w:bCs w:val="1"/>
                <w:color w:val="auto"/>
              </w:rPr>
              <w:t>Fair Value Measurements at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49,628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49,628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49,628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49,628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3"/>
        </w:trPr>
        <w:tc>
          <w:tcPr>
            <w:tcW w:w="3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100"/>
              <w:spacing w:after="0"/>
              <w:rPr>
                <w:sz w:val="20"/>
                <w:szCs w:val="20"/>
                <w:color w:val="auto"/>
              </w:rPr>
            </w:pPr>
            <w:r>
              <w:rPr>
                <w:rFonts w:ascii="Arial" w:cs="Arial" w:eastAsia="Arial" w:hAnsi="Arial"/>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72,797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72,797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72,797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72,797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transfers between fair value levels during the three or six months ended June 30, 2019 or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12,504</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10,546</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Depreciation expense for the three months ended June 30, 2019 and 2018 was $0.5 million and $0.2 million, respectively. Depreciation expense for the six months ended June 30, 2019 and 2018 was $1.0 million and $0.4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94"/>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 allowance receivable</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w w:val="98"/>
              </w:rPr>
              <w:t>Accrued expenses and other current liabilities consisted of the following (in thousands):</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94"/>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Payroll and benefits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3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As of June 30, 2019, 112,500,000 shares of convertible preferred stock were authorized, issued, and outstanding, of which 60,000,000 shares were designated as $0.001 par value Series A convertible preferred stock (the “Series A Preferred Stock”), and 52,500,000 shares were designated as $0.001 par value Series B convertible preferred stock (the “Series B Preferred Stock”, and together with the Series A Preferred Stock, the “Preferred Stock”). As of December 31, 2018, 100,000,000 shares of Preferred Stock were authorized, issued, and outstanding, of which 60,000,000 shares were designated as Series A Preferred Stock, and 40,000,000 shares were designated as Series B Preferred Stock.</w:t>
      </w:r>
    </w:p>
    <w:p>
      <w:pPr>
        <w:spacing w:after="0" w:line="173"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During the six months ended June 30, 2019, the Company issued 12,500,000 shares of Series B Preferred Stock in connection with the GSK Agreement (Note 9).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6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June 30, 2019 were $9.6 million and $6.2 million, respectively. Aggregate cumulative dividends associated with the Series A Preferred Stock and the Series B Preferred Stock as of December 31, 2018 were $7.2 million and $2.3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Common stockholders are entitled to receive dividends, as may be declared by the Company’s board of directors, if any, subject to the preferential dividend rights of the Preferred Stock. No dividends have been declared or paid during the three and six months ended June 30, 2019 or 2018.</w:t>
      </w:r>
    </w:p>
    <w:p>
      <w:pPr>
        <w:spacing w:after="0" w:line="124"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During the six months ended June 30, 2019, the Company’s Certificate of Incorporation was amended to increase the number of authorized shares of common stock from 135,000,000 to 147,500,000 shares. In July 2019, the Company’s Certificate of Incorporation was amended and restated to increase the number of authorized shares of common stock from 147,500,000 to 200,000,000 shares (Note 14).</w:t>
      </w:r>
    </w:p>
    <w:p>
      <w:pPr>
        <w:spacing w:after="0" w:line="181"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conversion of outstanding Series A</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rPr>
              <w:t>Shares reserved for conversion of outstanding Series B</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7,499,991</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5,714,277</w:t>
            </w: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issuance under the 2016 Stock</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Incentive Plan</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280,071</w:t>
            </w:r>
          </w:p>
        </w:tc>
        <w:tc>
          <w:tcPr>
            <w:tcW w:w="120" w:type="dxa"/>
            <w:vAlign w:val="bottom"/>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919,030</w:t>
            </w:r>
          </w:p>
        </w:tc>
      </w:tr>
      <w:tr>
        <w:trPr>
          <w:trHeight w:val="223"/>
        </w:trPr>
        <w:tc>
          <w:tcPr>
            <w:tcW w:w="55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16,351,489</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15,204,734</w:t>
            </w: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 The total number of shares of common stock that were authorized for issuance under the 2016 Plan as of June 30, 2019 and December 31, 2018 was 3,566,428 and 3,209,285, respectively.</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2" w:name="page13"/>
    <w:bookmarkEnd w:id="12"/>
    <w:p>
      <w:pPr>
        <w:ind w:right="200" w:firstLine="518"/>
        <w:spacing w:after="0" w:line="308" w:lineRule="auto"/>
        <w:rPr>
          <w:sz w:val="20"/>
          <w:szCs w:val="20"/>
          <w:color w:val="auto"/>
        </w:rPr>
      </w:pPr>
      <w:r>
        <w:rPr>
          <w:rFonts w:ascii="Arial" w:cs="Arial" w:eastAsia="Arial" w:hAnsi="Arial"/>
          <w:sz w:val="17"/>
          <w:szCs w:val="17"/>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activity under the 2016 Plan since December 31, 2018:</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757,022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(198,056)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Repurchased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2019</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507,593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under the 2016 Plan since December 31, 2018:</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1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507,891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7.12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9.84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367,427</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1,114,491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14"/>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2019</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1,592,753</w:t>
            </w:r>
          </w:p>
        </w:tc>
        <w:tc>
          <w:tcPr>
            <w:tcW w:w="280" w:type="dxa"/>
            <w:vAlign w:val="bottom"/>
            <w:tcBorders>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9.52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w w:val="97"/>
              </w:rPr>
              <w:t>12,278,821</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at June 30, 2019</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line="20" w:lineRule="exact"/>
              <w:rPr>
                <w:sz w:val="1"/>
                <w:szCs w:val="1"/>
                <w:color w:val="auto"/>
              </w:rPr>
            </w:pPr>
          </w:p>
        </w:tc>
        <w:tc>
          <w:tcPr>
            <w:tcW w:w="1140" w:type="dxa"/>
            <w:vAlign w:val="bottom"/>
            <w:vMerge w:val="restart"/>
          </w:tcPr>
          <w:p>
            <w:pPr>
              <w:jc w:val="right"/>
              <w:ind w:right="42"/>
              <w:spacing w:after="0"/>
              <w:rPr>
                <w:sz w:val="20"/>
                <w:szCs w:val="20"/>
                <w:color w:val="auto"/>
              </w:rPr>
            </w:pPr>
            <w:r>
              <w:rPr>
                <w:rFonts w:ascii="Arial" w:cs="Arial" w:eastAsia="Arial" w:hAnsi="Arial"/>
                <w:sz w:val="18"/>
                <w:szCs w:val="18"/>
                <w:color w:val="auto"/>
              </w:rPr>
              <w:t>9.39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9"/>
              <w:spacing w:after="0"/>
              <w:rPr>
                <w:sz w:val="20"/>
                <w:szCs w:val="20"/>
                <w:color w:val="auto"/>
              </w:rPr>
            </w:pPr>
            <w:r>
              <w:rPr>
                <w:rFonts w:ascii="Arial" w:cs="Arial" w:eastAsia="Arial" w:hAnsi="Arial"/>
                <w:sz w:val="18"/>
                <w:szCs w:val="18"/>
                <w:color w:val="auto"/>
              </w:rPr>
              <w:t>942,933</w:t>
            </w: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109,951</w:t>
            </w:r>
          </w:p>
        </w:tc>
        <w:tc>
          <w:tcPr>
            <w:tcW w:w="2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40" w:firstLine="518"/>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color w:val="auto"/>
        </w:rPr>
        <w:t>The weighted average grant date fair value of stock options granted during the three and six months ended June 30, 2019 was $7.75 per share and $5.74 per share, respectively. The weighted average grant date fair value of stock options granted during each of the three and six months ended June 30, 2018 was $3.46 per share. The aggregate intrinsic value of stock options exercised during each of the three and six months ended June 30, 2019 was $0.2 million. No stock options were exercised during the three and six months ended June 30, 2018. The fair value of stock options granted during the three and six months ended June 30, 2019 and 2018 under the 2016 Plan has been calculated on the date of grant using the following weighted average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w:t>
            </w: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Six Months</w:t>
            </w:r>
          </w:p>
        </w:tc>
        <w:tc>
          <w:tcPr>
            <w:tcW w:w="174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Ended</w:t>
            </w:r>
          </w:p>
        </w:tc>
        <w:tc>
          <w:tcPr>
            <w:tcW w:w="1740" w:type="dxa"/>
            <w:vAlign w:val="bottom"/>
          </w:tcPr>
          <w:p>
            <w:pPr>
              <w:spacing w:after="0"/>
              <w:rPr>
                <w:sz w:val="12"/>
                <w:szCs w:val="12"/>
                <w:color w:val="auto"/>
              </w:rPr>
            </w:pPr>
          </w:p>
        </w:tc>
      </w:tr>
      <w:tr>
        <w:trPr>
          <w:trHeight w:val="17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 2019</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2018</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June 30, 2018</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740" w:type="dxa"/>
            <w:vAlign w:val="bottom"/>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5.9</w:t>
            </w:r>
          </w:p>
        </w:tc>
        <w:tc>
          <w:tcPr>
            <w:tcW w:w="1740" w:type="dxa"/>
            <w:vAlign w:val="bottom"/>
          </w:tcPr>
          <w:p>
            <w:pPr>
              <w:spacing w:after="0"/>
              <w:rPr>
                <w:sz w:val="21"/>
                <w:szCs w:val="21"/>
                <w:color w:val="auto"/>
              </w:rPr>
            </w:pPr>
          </w:p>
        </w:tc>
      </w:tr>
      <w:tr>
        <w:trPr>
          <w:trHeight w:val="230"/>
        </w:trPr>
        <w:tc>
          <w:tcPr>
            <w:tcW w:w="17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83.7%</w:t>
            </w:r>
          </w:p>
        </w:tc>
        <w:tc>
          <w:tcPr>
            <w:tcW w:w="1740" w:type="dxa"/>
            <w:vAlign w:val="bottom"/>
          </w:tcPr>
          <w:p>
            <w:pPr>
              <w:spacing w:after="0"/>
              <w:rPr>
                <w:sz w:val="20"/>
                <w:szCs w:val="20"/>
                <w:color w:val="auto"/>
              </w:rPr>
            </w:pPr>
          </w:p>
        </w:tc>
      </w:tr>
      <w:tr>
        <w:trPr>
          <w:trHeight w:val="674"/>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activity outside of the 2016 Plan since December 31, 2018:</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2019</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aggregate intrinsic value of all restricted stock awards that vested during the three and six months ended June 30, 2019 was $1.0 million and $2.4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6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r>
      <w:tr>
        <w:trPr>
          <w:trHeight w:val="156"/>
        </w:trPr>
        <w:tc>
          <w:tcPr>
            <w:tcW w:w="4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9"/>
              </w:rPr>
              <w:t>459</w:t>
            </w: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270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865</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526</w:t>
            </w: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491</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192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365</w:t>
            </w: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9"/>
              </w:rPr>
              <w:t>950</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462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891</w:t>
            </w: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June 30, 2019, the Company had an aggregate of $10.2 million of unrecognized stock-based compensation expense, which is expected to be recognized over a weighted average period of 3.11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GSK Agreement, the Company issued 12,500,000 million shares of Series B Preferred Stock to GSK with an estimated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$25.5 million, or $2.04 per share, which was determined with the assistance of a third-party specialist contemporaneously with the issuance of the Series 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to GSK. In addition, the Company may owe GSK up to $37.5 million in certain specified clinical and regulatory milestones, of which</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 In August 2019, the $2.5 million milestone due upon the initiation of a Phase 2 clinical trial was achieved and became payable.</w:t>
      </w:r>
    </w:p>
    <w:p>
      <w:pPr>
        <w:spacing w:after="0" w:line="17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right="120" w:firstLine="518"/>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six months ended June 30,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May 2016, the Company entered into a sublease agreement for approximately 8,143 square feet of office and laboratory space at its prior corporate headquarters in Cambridge, Massachusetts. The sublease for this space terminated on June 30, 2018. Rent expense associated with this sublease for the six months ended June 30, 2018 was $0.1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laboratory space in Cambridge, Massachusetts. The lease has a total commitment of $25.1 million over the ten year term, and includes escalating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lease agreement requires the Company to either pay a security deposit or maintain a letter of credit of $1.1 million. The Company maintains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letter of credit for this lease and has recorded the cash held to secure the letter of credit as restricted cash on the consolidated balance sheet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June 30, 2019. Rent expense associated with this lease for each of the three months ended June 30, 2019 and 2018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$0.5 million. Rent expense associated with this lease for each of the six months ended June 30, 2019 and 2018 was approximately $1.0 million.</w:t>
      </w:r>
    </w:p>
    <w:p>
      <w:pPr>
        <w:spacing w:after="0" w:line="22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June 30, 2019, are as follows (in thousands):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r>
              <w:rPr>
                <w:rFonts w:ascii="Arial" w:cs="Arial" w:eastAsia="Arial" w:hAnsi="Arial"/>
                <w:sz w:val="15"/>
                <w:szCs w:val="15"/>
                <w:color w:val="auto"/>
              </w:rPr>
              <w:t>(1)</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w:t>
            </w: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22,872</w:t>
            </w: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75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are for the six months ending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June 30, 2019, the Company has not exercised its rights to license such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2019 or December 31,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or six months ended June 30, 2019 and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10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75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4"/>
                <w:szCs w:val="14"/>
                <w:color w:val="auto"/>
              </w:rPr>
            </w:pPr>
          </w:p>
        </w:tc>
      </w:tr>
      <w:tr>
        <w:trPr>
          <w:trHeight w:val="156"/>
        </w:trPr>
        <w:tc>
          <w:tcPr>
            <w:tcW w:w="31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7,499,991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7,499,991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82,700</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82,700</w:t>
            </w:r>
          </w:p>
        </w:tc>
      </w:tr>
      <w:tr>
        <w:trPr>
          <w:trHeight w:val="230"/>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898,310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1,506,954</w:t>
            </w: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898,310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1,506,954</w:t>
            </w: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18,562,481</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10,161,081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18,562,481</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10,161,081</w:t>
            </w:r>
          </w:p>
        </w:tc>
      </w:tr>
      <w:tr>
        <w:trPr>
          <w:trHeight w:val="20"/>
        </w:trPr>
        <w:tc>
          <w:tcPr>
            <w:tcW w:w="3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During the three and six months ended June 30, 2019 and 2018, the Company paid fees to Third Rock Ventures, LLC (“TRV”), an affiliate of one of the Company’s principal stockholders, in exchange for consulting services. The Company recorded expenses related to such fees of less than $0.1 million during each of the six months ended June 30, 2019 and 2018, and less than $0.1 million during the three months ended June 30, 2018. The Company did not record expenses related to such fees during the three months ended June 30, 2019. As of December 31, 2018, there was less than $0.1 million of amounts due to TRV for such services that were included in accounts payable and accrued expenses. As of June 30, 2019, there were no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16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each of the three and six months ended June 30, 2018, the Company recorded other income of $0.4 million related to the sale of drug material to an entity affiliated with TRV.</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 and Other</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July 5, 2019,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have been retroactively adjusted for all periods presented to give effect to this reverse stock split, including reclassifying an amount equal to the reduction in par value of common stock to additional paid-in capital. Shares of common stock underlying outstanding stock options were proportionately reduced and the respective exercise prices, if applicable, were proportionately increased in accordance with the terms of the appropriate securities agreements. Stockholders entitled to fractional shares as a result of the reverse stock split will receive a cash payment in lieu of receiving fractional shares.</w:t>
      </w:r>
    </w:p>
    <w:p>
      <w:pPr>
        <w:spacing w:after="0" w:line="18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On July 5, 2019, the Company eliminated the gross proceeds threshold of $45 million for a firm-commitment underwritten public offering that would result in the automatic conversion of all outstanding shares of Preferred Stock into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anticipation of the Company’s IPO, on July 2, 2019, the Company’s stockholders approved the 2019 Stock Incentive Plan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is 2,017,142 shares, plus the shares of common stock remaining available for issuance under the 2016 Plan as of July 17, 2019. The number of shares reserved shall be annually increased on January 1, 2020 and each January 1 thereafter through January 1, 2029 by the least of (i) 2,000,000 shares, (ii) 4% of the number of shares of the Company’s common stock outstanding on the first day of the such year or (iii) an amount determined by the Company’s board of directors.</w:t>
      </w:r>
    </w:p>
    <w:p>
      <w:pPr>
        <w:spacing w:after="0" w:line="17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On July 2, 2019, the Company’s stockholders approved the 2019 Employee Stock Purchase Plan (the “ESPP”), which became effective on July 17, 2019. A total of 252,142 shares of common stock were reserved for issuance under the ESPP. In addition, the number of shares of common stock reserved under the ESPP shall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On July 22, 2019, the Company completed an IPO of its common stock and issued and sold 4,500,000 shares of common stock at a public offering price of $16.00 per share, resulting in net proceeds of $63.9 million after deducting underwriting discounts and commissions and estimated offering expenses. Upon the closing of the IPO, all 112,500,000 shares of outstanding Preferred Stock automatically converted into 16,071,418 shares of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Authorized Common Stock and Preferred Stock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On July 22, 2019, the Company amended and restated its certificate of incorporation to authorize 200,000,000 shares of common stock and 10,000,000 shares of Preferred Stock, which shares of Preferred Stock are currently undesignated.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July 18, 2019.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and a Phase 2 open label clinical trial of losmapimod, our product candidate for FSHD, to evaluate the efficacy and safety of losmapimod in addressing the underlying cause of FSHD. We commenced a Phase 1 clinical trial in February 2019 to obtain safety and tolerability data for losmapimod in patients with FSHD. We plan to submit an investigational new drug application, or IND, for FTX-6058, our product candidate for certain hemoglobinopathies, in mid-2020.</w:t>
      </w:r>
    </w:p>
    <w:p>
      <w:pPr>
        <w:spacing w:after="0" w:line="18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early clinical trials. To date, we have funded our operations primarily through the issuance of convertible notes, convertible preferred stock and, most recently, common stock in our initial public offering, or IPO. On July 22, 2019, we completed an IPO of our common stock and issued and sold 4,500,000 shares of common stock at a public offering price of $16.00 per share, resulting in net proceeds of $63.9 million after deducting underwriting discounts and commissions and estimated offering expenses. Upon completion of the IPO, all 112,500,000 shares of outstanding convertible preferred stock automatically converted into 16,071,418 shares of common stock.</w:t>
      </w:r>
    </w:p>
    <w:p>
      <w:pPr>
        <w:spacing w:after="0" w:line="19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$13.2 million and $50.0 million for the three and six months ended June 30, 2019, respectively, and $7.8 million and $14.8 million for the three and six months ended June 30, 2018, respectively. As of June 30, 2019, we had an accumulated deficit of $118.1 million. We expect our expenses and operating losses will increase substantially over the next several years in connection with our ongoing activities, as we:</w:t>
      </w:r>
    </w:p>
    <w:p>
      <w:pPr>
        <w:spacing w:after="0" w:line="85"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Phase 2b, and Phase 2 open label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IND-enabling studies and prepare for a planned Phase 1 clinical trial of FTX-6058;</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420" w:hanging="379"/>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8" w:name="page19"/>
    <w:bookmarkEnd w:id="18"/>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5"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of June 30, 2019, we had $49.6 million in cash and cash equivalents. We believe that the net proceeds from our IPO of $63.9 million, together with our existing cash and cash equivalents, will enable us to fund our operating expenses and capital expenditure requirements into the third quarter of 2021. We have based this estimate on assumptions that may prove to be wrong, and we could exhaust our available capital resources sooner than we expect. See “—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900" w:right="18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9" w:name="page20"/>
    <w:bookmarkEnd w:id="19"/>
    <w:p>
      <w:pPr>
        <w:ind w:right="100" w:firstLine="518"/>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and six months ended June 30, 2019 and 2018. Pre-development candidate expenses, unallocated expenses and internal research and development expenses are classified separately. FSHD external expenses include IPR&amp;D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FSHD external expenses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3,073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30,875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Pre-development candidate expenses and unallocated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expenses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5,914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7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10,860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45,489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operate a manufacturing facility, or secure manufacturing supply through relationships with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FTX-6058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Other income, net consists primarily of interest income related to our investments in cash equivalents and proceeds from the sale of drug material to a third party during February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11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June 30, 2019 and 2018, along with the changes in those items in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10,860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5,788</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5,072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2,061</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573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7,849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5,645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(13,169)</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CFF0FC"/>
            </w:tcBorders>
            <w:vMerge w:val="restart"/>
          </w:tcPr>
          <w:p>
            <w:pPr>
              <w:jc w:val="right"/>
              <w:ind w:right="65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Research and development expense increased by $5.1 million from $5.8 million for the three months ended June 30, 2018 to $10.9 million for the three months ended June 30, 2019. The increase in research and development expense was primarily attributable to the following:</w:t>
      </w:r>
    </w:p>
    <w:p>
      <w:pPr>
        <w:spacing w:after="0" w:line="38" w:lineRule="exact"/>
        <w:rPr>
          <w:sz w:val="20"/>
          <w:szCs w:val="20"/>
          <w:color w:val="auto"/>
        </w:rPr>
      </w:pPr>
    </w:p>
    <w:p>
      <w:pPr>
        <w:ind w:left="900" w:right="16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 million in increased costs for external clinical activities as we advanced losmapimod into a Phase 1 clinical trial and conducted preparatory studies in anticipation of initiating Phase 2 clinical trials in August 2019;</w:t>
      </w:r>
    </w:p>
    <w:p>
      <w:pPr>
        <w:spacing w:after="0" w:line="62"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million in increased personnel-related costs due to increased headcount, including $0.2 million of increased stock-based 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$0.6 million in increased laboratory supplies to support our expanding research efforts;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$0.5 million in increased costs for IND-enabling studies for FTX-6058.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General and administrative expenses increased by $0.5 million from $2.1 million for the three months ended June 30, 2018 to $2.6 million for the three months ended June 30, 2019. The increase in general and administrative expenses was primarily attributable to the following:</w:t>
      </w:r>
    </w:p>
    <w:p>
      <w:pPr>
        <w:spacing w:after="0" w:line="38" w:lineRule="exact"/>
        <w:rPr>
          <w:sz w:val="20"/>
          <w:szCs w:val="20"/>
          <w:color w:val="auto"/>
        </w:rPr>
      </w:pPr>
    </w:p>
    <w:p>
      <w:pPr>
        <w:ind w:left="900" w:right="260" w:hanging="379"/>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$0.4 million in increased personnel-related costs, primarily due to increased general and administrative headcount to support the growth of our research and development organization, including $0.3 million of increased stock-based compensation expense; and</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$0.2 million in increased consulting and professional fees, including for legal services, market research, recruiting, accounting, and tax.</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Other income, net increased by $0.3 million from less than $0.1 million for the three months ended June 30, 2018 to $0.3 million for the three months ended June 30, 2019. The increase in other income, net was primarily attributable to investment income of $0.3 million from cash equivalents during the three months ended June 30, 2019. The Company had no investment income during the three months ended June 30,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our results of operations for the six months ended June 30, 2019 and 2018, along with the changes in those items in dollars: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45,489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11,361</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34,128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3,798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1,434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50,721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15,159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35,562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(15,159)</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(50,012)</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CFF0FC"/>
            </w:tcBorders>
            <w:vMerge w:val="restart"/>
          </w:tcPr>
          <w:p>
            <w:pPr>
              <w:jc w:val="right"/>
              <w:ind w:right="65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Research and development expense increased by $34.1 million from $11.4 million for the six months ended June 30, 2018 to $45.5 million for the six months ended June 30, 2019. The increase in research and development expense was primarily attributable to the following:</w:t>
      </w:r>
    </w:p>
    <w:p>
      <w:pPr>
        <w:spacing w:after="0" w:line="38" w:lineRule="exact"/>
        <w:rPr>
          <w:sz w:val="20"/>
          <w:szCs w:val="20"/>
          <w:color w:val="auto"/>
        </w:rPr>
      </w:pPr>
    </w:p>
    <w:p>
      <w:pPr>
        <w:ind w:left="900" w:right="34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$25.6 million in increased IPR&amp;D expenses associated with the recognition of the fair value attributable to the right of reference and license agreement with GSK during the six months ended June 30, 2019;</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$4.3 million in increased costs for external clinical activities as we advanced losmapimod into a Phase 1 clinical trial and conducted preparatory studies in anticipation of initiating Phase 2 clinical trials in August 2019;</w:t>
      </w:r>
    </w:p>
    <w:p>
      <w:pPr>
        <w:spacing w:after="0" w:line="62"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 million in increased personnel-related costs due to increased headcount, including $0.3 million of increased stock-based 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$0.8 million in increased laboratory supplies to support our expanding research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in increased costs for IND-enabling studies for FTX-6058;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in increased facility-related costs, including depreciation and other utility and maintenance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General and administrative expenses increased by $1.4 million from $3.8 million for the six months ended June 30, 2018 to $5.2 million for the six months ended June 30, 2019. The increase in general and administrative expenses was primarily attributable to the following:</w:t>
      </w:r>
    </w:p>
    <w:p>
      <w:pPr>
        <w:spacing w:after="0" w:line="38" w:lineRule="exact"/>
        <w:rPr>
          <w:sz w:val="20"/>
          <w:szCs w:val="20"/>
          <w:color w:val="auto"/>
        </w:rPr>
      </w:pPr>
    </w:p>
    <w:p>
      <w:pPr>
        <w:ind w:left="900" w:right="160" w:hanging="379"/>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$1.0 million in increased personnel-related costs, primarily due to increased general and administrative headcount to support the growth of our research and development organization, including $0.5 million of increased stock-based compensation expense; and</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$0.5 million in increased consulting and professional fees, including for legal services, market research, recruiting, accounting, and tax.</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Other income, net increased by $0.3 million from $0.4 million for the six months ended June 30, 2018 to $0.7 million for the six months ended June 30, 2019. Other income, net during the six months ended June 30, 2019 was primarily attributable to investment income of $0.7 million from cash equivalents. During the six months ended June 30, 2018, other income, net related primarily to the sale of drug material to a third party for $0.4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Through June 30, 2019, we have primarily funded our operations with aggregate gross proceeds of $140.0 million from the issuance of convertible notes and convertible preferred stock. As of June 30, 2019, we had cash and cash equivalents of $49.6 million. On July 22, 2019, we completed an IPO of our common stock and issued and sold 4,500,000 shares of common stock at a public offering price of $16.00 per share, resulting in net proceeds of $63.9 million after deducting underwriting discounts and commissions and estimated offering expenses.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2019 and 2018:</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Net (decrease) increase in cash, cash equivalents,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and restricted cash</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Net cash used in operating activities was $22.0 million during the six months ended June 30, 2019 compared to net cash used in operating activities of $12.0 million during the six months ended June 30, 2018. The increase in net cash used in operating activities of $10.0 million was due to an increase in net loss of $35.2 million for the six months ended June 30, 2019 as compared to the six months ended June 30, 2018 and a net decrease in cash provided by changes in our operating assets and liabilities of $1.9 million, partially offset by a net increase in non-cash expenses of $27.1 million primarily due to an increase in IPR&amp;D expenses of $25.6 million, an increase in stock-based compensation expense of $0.9 million, and an increase in depreciation expense of $0.6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Net cash used in investing activities was $0.6 million during the six months ended June 30, 2019 compared to net cash used in investing activities of $4.6 million during the six months ended June 30, 2018. Net cash used in investing activities for the six months ended June 30, 2019 and 2018 primarily consisted of purchases of property and equipment. The decrease in net cash used in investing activities of $4.0 million was primarily due to a decrease in purchases of property and equipment associated with our new facility lease that commenced in December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Net cash used in financing activities was $0.6 million during the six months ended June 30, 2019 compared to net cash provided by financing activities of $25.3 million during the six months ended June 30, 2018. The cash provided by financing activities during the six months ended June 30, 2018 was primarily the result of $25.3 million of net proceeds received from private placements of our Series A preferred stock. The net cash used in financing activities for the six months ended June 30, 2019 was primarily the result of the payment of costs associated with our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as a result of our IPO,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Based on our current operating plan, we believe that the net proceeds from our IPO of $63.9 million, together with our existing cash and cash equivalents as of June 30, 2019, will enable us to fund our operating expenses and capital expenditure requirements into the third quarter of 2021. However, we have based this estimate on assumptions that may prove to be wrong and we could exhaust our capital resources sooner than we expect.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Phase 2b, and Phase 2 open label clinical trials of losmapimod;</w:t>
      </w:r>
    </w:p>
    <w:p>
      <w:pPr>
        <w:spacing w:after="0" w:line="117" w:lineRule="exact"/>
        <w:rPr>
          <w:rFonts w:ascii="Arial" w:cs="Arial" w:eastAsia="Arial" w:hAnsi="Arial"/>
          <w:sz w:val="18"/>
          <w:szCs w:val="18"/>
          <w:color w:val="auto"/>
        </w:rPr>
      </w:pPr>
    </w:p>
    <w:p>
      <w:pPr>
        <w:ind w:left="900" w:right="7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14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During the three and six months ended June 30, 2019, there have been no material changes to our contractual obligations and commitments outside the ordinary course of business from those described under the heading “Management’s Discussion and Analysis of Financial Condition and Results of Operations – Contractual Obligations and Commitments” in our final prospectus for our IPO filed pursuant to Rule 424(b)(4) under the Securities Act with the SEC on July 18,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June 30, 2019, there were no material changes to our critical accounting policies from those described in our final prospectus for our IPO filed pursuant to Rule 424(b)(4) under the Securities Act with the SEC on July 18,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June 30, 2019, we had cash and cash equivalents of $49.6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54"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June 30, 2019, we had minimal or no liabilities denominated in foreign currencies.</w:t>
      </w:r>
    </w:p>
    <w:p>
      <w:pPr>
        <w:spacing w:after="0" w:line="18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or six months ended June 30, 2019 and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Operating Officer (our principal executive officer and principal financial officer, respectively), evaluated the effectiveness of our disclosure controls and procedures as of June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2019, our Chief Executive Officer and Chief Operating Officer concluded that, as of such date, our disclosure controls and procedures were effective at the reasonable assurance level.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Since inception, we have incurred significant operating losses. Our net loss was $32.6 million for the year ended December 31, 2018 and $50.0 million for the six months ended June 30, 2019. As of June 30, 2019, we had an accumulated deficit of $118.1 million. To date, we have funded our operations primarily through the issuance of convertible notes, convertible preferred stock, and common stock in our initial public offering, or IPO, which closed on July 22, 2019.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0"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Phase 2b, and Phase 2 open label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investigational new drug application, or IND, enabling studies and prepare for a planned Phase 1 clinical trial of FTX-6058;</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440" w:hanging="379"/>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ind w:right="320" w:firstLine="518"/>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9" w:lineRule="exact"/>
        <w:rPr>
          <w:sz w:val="20"/>
          <w:szCs w:val="20"/>
          <w:color w:val="auto"/>
        </w:rPr>
      </w:pPr>
    </w:p>
    <w:p>
      <w:pPr>
        <w:ind w:left="900" w:right="5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Phase 1, Phase 2b, and Phase 2 open label clinical trials of losmapimod and prepare for a planned Phase 1 clinical trial of FTX-6058;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Phase 2b, and Phase 2 open label clinical trials of losmapimod;</w:t>
      </w:r>
    </w:p>
    <w:p>
      <w:pPr>
        <w:spacing w:after="0" w:line="117" w:lineRule="exact"/>
        <w:rPr>
          <w:rFonts w:ascii="Arial" w:cs="Arial" w:eastAsia="Arial" w:hAnsi="Arial"/>
          <w:sz w:val="18"/>
          <w:szCs w:val="18"/>
          <w:color w:val="auto"/>
        </w:rPr>
      </w:pPr>
    </w:p>
    <w:p>
      <w:pPr>
        <w:ind w:left="900" w:right="66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117" w:lineRule="exact"/>
        <w:rPr>
          <w:rFonts w:ascii="Arial" w:cs="Arial" w:eastAsia="Arial" w:hAnsi="Arial"/>
          <w:sz w:val="18"/>
          <w:szCs w:val="18"/>
          <w:color w:val="auto"/>
        </w:rPr>
      </w:pPr>
    </w:p>
    <w:p>
      <w:pPr>
        <w:ind w:left="900" w:right="30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1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ind w:right="40" w:firstLine="518"/>
        <w:spacing w:after="0" w:line="273" w:lineRule="auto"/>
        <w:rPr>
          <w:sz w:val="20"/>
          <w:szCs w:val="20"/>
          <w:color w:val="auto"/>
        </w:rPr>
      </w:pPr>
      <w:r>
        <w:rPr>
          <w:rFonts w:ascii="Arial" w:cs="Arial" w:eastAsia="Arial" w:hAnsi="Arial"/>
          <w:sz w:val="17"/>
          <w:szCs w:val="17"/>
          <w:color w:val="auto"/>
        </w:rPr>
        <w:t>As of June 30, 2019, we had cash and cash equivalents of approximately $49.6 million. On July 22, 2019, we completed our IPO, pursuant to which we issued 4,500,000 shares of our common stock at a public offering price of $16.00 per share. We received net proceeds of $63.9 million, after deducting underwriting discounts and commissions and estimated offering expenses. We believe that the net proceeds from our IPO, together with our existing cash and cash equivalents as of June 30, 2019, will enable us to fund our operating expenses and capital expenditure requirements into the third quarter of 2021.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stockholders to evaluate the success of our business to date and to assess our future viability.</w:t>
      </w:r>
    </w:p>
    <w:p>
      <w:pPr>
        <w:spacing w:after="0" w:line="14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as our business grows, we may encounter unforeseen expenses, difficulties, complications, delays and other known and unknown factors.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need to transition at some point from a company with a research and development focus to a company capable of supporting commercial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such a transition.</w:t>
      </w:r>
    </w:p>
    <w:p>
      <w:pPr>
        <w:spacing w:after="0" w:line="21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right="40"/>
        <w:spacing w:after="0" w:line="342" w:lineRule="auto"/>
        <w:rPr>
          <w:sz w:val="20"/>
          <w:szCs w:val="20"/>
          <w:color w:val="auto"/>
        </w:rPr>
      </w:pPr>
      <w:r>
        <w:rPr>
          <w:rFonts w:ascii="Arial" w:cs="Arial" w:eastAsia="Arial" w:hAnsi="Arial"/>
          <w:sz w:val="16"/>
          <w:szCs w:val="16"/>
          <w:b w:val="1"/>
          <w:bCs w:val="1"/>
          <w:i w:val="1"/>
          <w:iCs w:val="1"/>
          <w:color w:val="auto"/>
        </w:rPr>
        <w:t>In the past, 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6"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Previously, we have identified conditions and events that raise substantial doubt about our ability to continue as a going concern, and our independent registered public accounting firm’s report on our consolidated financial statements as of and for the year ended December 31, 2018 that was issued prior to our IPO included a going concern uncertainty paragraph. With the completion of our IPO, we believe that the net proceeds from our IPO, together with our existing cash and cash equivalents as of June 30, 2019, will enable us to fund our operating expenses and capital expenditure requirements into the third quarter of 2021. However, we have based this estimate on assumptions that may prove to be wrong, and we could exhaust our available capital resources sooner than we expect. In the future, if we are unable to obtain sufficient funding to support our operations, we could be forced to delay, reduce or eliminate all of our research and development programs, product portfolio expansion or commercialization efforts, and our financial condition and results of operations will be materially and adversely affected and we may be unable to continue as a going concern. In the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passed in 2017 could adversely affect our business and financial condition.</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investors in our common stock to consult with their legal and tax advisors with respect to TCJA and the potential tax consequences of investing in or holding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NOLs and research and development tax credit carryforwards to offset future taxable income may be subject to certain limitations.</w:t>
      </w:r>
    </w:p>
    <w:p>
      <w:pPr>
        <w:spacing w:after="0" w:line="152"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As of December 31, 2018, we had federal and state net operating loss carryforwards of $60.7 million and $60.5 million, respectively, which begin to expire in 2035. Approximately $29.7 million of the federal net operating losses can be carried forward indefinitely. As of December 31, 2018, we also had federal and state research and development tax credit carryforwards of $1.5 million and $1.3 million, respectively, which begin to expire in 2035. These net operating loss and tax credit carryforwards could expire unused and be unavailable to offset future income tax liabilities.</w:t>
      </w:r>
    </w:p>
    <w:p>
      <w:pPr>
        <w:spacing w:after="0" w:line="17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4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178"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early in our development efforts, and we have advanced only one candidate into clinical trials, losmapimod for the treatment of facioscapulohumeral muscular dystrophy, or FSHD. FTX-6058,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5"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the FDA or other regulatory agencies of the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applying for and receiving marketing approvals from applicable regulatory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coverage, adequate pricing and adequate reimbursement from third-party payors, including government payors;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1" w:name="page32"/>
    <w:bookmarkEnd w:id="31"/>
    <w:p>
      <w:pPr>
        <w:ind w:right="2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2"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7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right="36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900" w:right="6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00" w:right="560" w:hanging="379"/>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900" w:right="300" w:hanging="379"/>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3" w:lineRule="exact"/>
        <w:rPr>
          <w:rFonts w:ascii="Arial" w:cs="Arial" w:eastAsia="Arial" w:hAnsi="Arial"/>
          <w:sz w:val="18"/>
          <w:szCs w:val="18"/>
          <w:color w:val="auto"/>
        </w:rPr>
      </w:pPr>
    </w:p>
    <w:p>
      <w:pPr>
        <w:ind w:left="900" w:right="320" w:hanging="379"/>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00" w:right="22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900" w:right="620" w:hanging="379"/>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00" w:right="2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 and</w:t>
      </w:r>
    </w:p>
    <w:p>
      <w:pPr>
        <w:spacing w:after="0" w:line="62" w:lineRule="exact"/>
        <w:rPr>
          <w:rFonts w:ascii="Arial" w:cs="Arial" w:eastAsia="Arial" w:hAnsi="Arial"/>
          <w:sz w:val="18"/>
          <w:szCs w:val="18"/>
          <w:color w:val="auto"/>
        </w:rPr>
      </w:pPr>
    </w:p>
    <w:p>
      <w:pPr>
        <w:ind w:left="900" w:right="64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80" w:firstLine="518"/>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30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48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are conducting Phase 1 and Phase 2 open label clinical trials of losmapimod in patients with FSHD in Europe and currently plan to conduct additional clinical trials for our product candidates at sites outside the United States, and the FDA may not accept data from trials conducted in such locations.</w:t>
      </w:r>
    </w:p>
    <w:p>
      <w:pPr>
        <w:spacing w:after="0" w:line="7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are currently conducting Phase 1 and Phase 2 open label clinical trials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6" w:name="page37"/>
    <w:bookmarkEnd w:id="36"/>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right="30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80" w:firstLine="518"/>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15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Acceleron Pharma, Inc., or Acceleron, has a product candidate currently in Phase 2a clinical development for FSHD.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ß-thalassemia.</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1"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right="20"/>
        <w:spacing w:after="0" w:line="286" w:lineRule="auto"/>
        <w:rPr>
          <w:sz w:val="20"/>
          <w:szCs w:val="20"/>
          <w:color w:val="auto"/>
        </w:rPr>
      </w:pPr>
      <w:r>
        <w:rPr>
          <w:rFonts w:ascii="Arial" w:cs="Arial" w:eastAsia="Arial" w:hAnsi="Arial"/>
          <w:sz w:val="17"/>
          <w:szCs w:val="17"/>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5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83"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80"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5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future profitability will depend, in part, on our ability to commercialize our product candidates in markets outside of the United States and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trade protection measures, import or export licensing requirements or other restrictive actions by U.S. or foreign governments;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currently rely on third-party clinical research organizations to conduct our ongoing Phase 1, Phase 2b, and Phase 2 open label clinical trials of losmapimod and plan to rely on third-party clinical research organizations or third-party research collaboratives to conduct our planned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8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do not have any manufacturing facilities. Although we believe we have obtained sufficient losmapimod tablets from GSK to complete our ongoing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expect to rely on third parties for the manufacture of FTX-6058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9" w:lineRule="exact"/>
        <w:rPr>
          <w:sz w:val="20"/>
          <w:szCs w:val="20"/>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right="100" w:firstLine="518"/>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71"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5"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Collaborations that we enter into may not be successful, and any success will depend heavily on the efforts and activities of such collaborators.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pose a number of risks, including the following:</w:t>
      </w:r>
    </w:p>
    <w:p>
      <w:pPr>
        <w:spacing w:after="0" w:line="103" w:lineRule="exact"/>
        <w:rPr>
          <w:sz w:val="20"/>
          <w:szCs w:val="20"/>
          <w:color w:val="auto"/>
        </w:rPr>
      </w:pPr>
    </w:p>
    <w:p>
      <w:pPr>
        <w:ind w:left="900" w:right="1060" w:hanging="379"/>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00" w:right="420" w:hanging="379"/>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3" w:lineRule="exact"/>
        <w:rPr>
          <w:rFonts w:ascii="Arial" w:cs="Arial" w:eastAsia="Arial" w:hAnsi="Arial"/>
          <w:sz w:val="18"/>
          <w:szCs w:val="18"/>
          <w:color w:val="auto"/>
        </w:rPr>
      </w:pPr>
    </w:p>
    <w:p>
      <w:pPr>
        <w:ind w:left="900" w:hanging="379"/>
        <w:spacing w:after="0" w:line="28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900" w:right="720" w:hanging="379"/>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00" w:right="300" w:hanging="379"/>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3" w:lineRule="exact"/>
        <w:rPr>
          <w:rFonts w:ascii="Arial" w:cs="Arial" w:eastAsia="Arial" w:hAnsi="Arial"/>
          <w:sz w:val="18"/>
          <w:szCs w:val="18"/>
          <w:color w:val="auto"/>
        </w:rPr>
      </w:pPr>
    </w:p>
    <w:p>
      <w:pPr>
        <w:ind w:left="900" w:right="40" w:hanging="379"/>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3" w:name="page44"/>
    <w:bookmarkEnd w:id="43"/>
    <w:p>
      <w:pPr>
        <w:ind w:left="900" w:right="160" w:hanging="379"/>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90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60" w:hanging="379"/>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00" w:right="280" w:hanging="379"/>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220" w:firstLine="51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3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8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Currently, our patent portfolio related to FTX-6058 is in its earliest stages, including only provisional patent applications which do not themselves issue as patents. We have no issued patents related to FTX-6058 or our SCD or ß-thalassemia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We cannot be certain that any patents will be granted in respect of these patent applications. Even if such patent applications issue as patents, they will not prevent third parties from commercializing losmapimod for other indications.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5" w:name="page46"/>
    <w:bookmarkEnd w:id="45"/>
    <w:p>
      <w:pPr>
        <w:ind w:right="80" w:firstLine="518"/>
        <w:spacing w:after="0" w:line="272" w:lineRule="auto"/>
        <w:rPr>
          <w:sz w:val="20"/>
          <w:szCs w:val="20"/>
          <w:color w:val="auto"/>
        </w:rPr>
      </w:pPr>
      <w:r>
        <w:rPr>
          <w:rFonts w:ascii="Arial" w:cs="Arial" w:eastAsia="Arial" w:hAnsi="Arial"/>
          <w:sz w:val="17"/>
          <w:szCs w:val="17"/>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240"/>
        <w:spacing w:after="0" w:line="37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9"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Assuming that other requirements for patentability are met, prior to March 2013, in the United States,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firstLine="518"/>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interference proceedings, derivation proceedings, and equivalent proceedings in foreign jurisdictions (e.g., opposition proceedings). The</w:t>
      </w:r>
      <w:r>
        <w:rPr>
          <w:rFonts w:ascii="Arial" w:cs="Arial" w:eastAsia="Arial" w:hAnsi="Arial"/>
          <w:sz w:val="16"/>
          <w:szCs w:val="16"/>
          <w:i w:val="1"/>
          <w:iCs w:val="1"/>
          <w:color w:val="auto"/>
        </w:rPr>
        <w:t xml:space="preserve"> </w:t>
      </w:r>
      <w:r>
        <w:rPr>
          <w:rFonts w:ascii="Arial" w:cs="Arial" w:eastAsia="Arial" w:hAnsi="Arial"/>
          <w:sz w:val="16"/>
          <w:szCs w:val="16"/>
          <w:color w:val="auto"/>
        </w:rPr>
        <w:t>outcome following legal assertions of invalidity and unenforceability is unpredictable.</w:t>
      </w:r>
    </w:p>
    <w:p>
      <w:pPr>
        <w:spacing w:after="0" w:line="1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60" w:firstLine="518"/>
        <w:spacing w:after="0" w:line="270" w:lineRule="auto"/>
        <w:rPr>
          <w:sz w:val="20"/>
          <w:szCs w:val="20"/>
          <w:color w:val="auto"/>
        </w:rPr>
      </w:pPr>
      <w:r>
        <w:rPr>
          <w:rFonts w:ascii="Arial" w:cs="Arial" w:eastAsia="Arial" w:hAnsi="Arial"/>
          <w:sz w:val="17"/>
          <w:szCs w:val="17"/>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3"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20"/>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88" w:lineRule="exact"/>
        <w:rPr>
          <w:sz w:val="20"/>
          <w:szCs w:val="20"/>
          <w:color w:val="auto"/>
        </w:rPr>
      </w:pPr>
    </w:p>
    <w:p>
      <w:pPr>
        <w:ind w:right="5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40" w:firstLine="518"/>
        <w:spacing w:after="0" w:line="302"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5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340"/>
        <w:spacing w:after="0" w:line="312"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3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5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right="160" w:hanging="379"/>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900" w:right="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left="900" w:right="2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00" w:right="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3" w:name="page54"/>
    <w:bookmarkEnd w:id="53"/>
    <w:p>
      <w:pPr>
        <w:ind w:right="60" w:firstLine="51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7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4" w:name="page55"/>
    <w:bookmarkEnd w:id="54"/>
    <w:p>
      <w:pPr>
        <w:ind w:right="4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62"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3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5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5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6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3"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Even if we do receive accelerated approval, we may not experience a faster development or regulatory review or approval process, and receiving accelerated approval does not provide assurance of ultimate FDA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78"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3"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right="10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2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p>
      <w:pPr>
        <w:ind w:right="120"/>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23"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57" w:lineRule="exact"/>
        <w:rPr>
          <w:sz w:val="20"/>
          <w:szCs w:val="20"/>
          <w:color w:val="auto"/>
        </w:rPr>
      </w:pPr>
    </w:p>
    <w:p>
      <w:pPr>
        <w:ind w:left="900" w:hanging="379"/>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900" w:right="40" w:hanging="379"/>
        <w:spacing w:after="0" w:line="25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80"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900" w:right="8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900" w:right="12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1"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5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5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right="20" w:firstLine="518"/>
        <w:spacing w:after="0" w:line="286"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57" w:lineRule="exact"/>
        <w:rPr>
          <w:sz w:val="20"/>
          <w:szCs w:val="20"/>
          <w:color w:val="auto"/>
        </w:rPr>
      </w:pPr>
    </w:p>
    <w:p>
      <w:pPr>
        <w:ind w:left="900" w:right="22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Medicare Part D coverage gap discount program, in which manufacturers must agree to offer 70% point-of-sale discounts off negotiated prices;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20" w:firstLine="518"/>
        <w:spacing w:after="0" w:line="272"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7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9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right="20" w:firstLine="518"/>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jc w:val="both"/>
        <w:ind w:right="40" w:firstLine="518"/>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9"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3" w:name="page64"/>
    <w:bookmarkEnd w:id="63"/>
    <w:p>
      <w:pPr>
        <w:ind w:right="2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6"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4" w:name="page65"/>
    <w:bookmarkEnd w:id="64"/>
    <w:p>
      <w:pPr>
        <w:ind w:right="20" w:firstLine="518"/>
        <w:spacing w:after="0" w:line="269"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6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of August 23, 2019, our executive officers and directors and our stockholders who owned more than 5% of our outstanding common stock in the aggregate owned shares representing approximately 50.5%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333" w:lineRule="exact"/>
        <w:rPr>
          <w:sz w:val="20"/>
          <w:szCs w:val="20"/>
          <w:color w:val="auto"/>
        </w:rPr>
      </w:pPr>
    </w:p>
    <w:p>
      <w:pPr>
        <w:jc w:val="both"/>
        <w:ind w:right="50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left="900" w:right="32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jc w:val="both"/>
        <w:ind w:left="900" w:right="60" w:hanging="379"/>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3"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5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3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3" w:lineRule="exact"/>
        <w:rPr>
          <w:sz w:val="20"/>
          <w:szCs w:val="20"/>
          <w:color w:val="auto"/>
        </w:rPr>
      </w:pPr>
    </w:p>
    <w:p>
      <w:pPr>
        <w:ind w:left="900" w:hanging="379"/>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00" w:right="60" w:hanging="379"/>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As of August 23, 2019, we had 23,340,419 shares of common stock outstanding. This includes the 4,500,000 shares that we sold in our IPO, which may be resold in the public market immediately without restriction, unless purchased by our affiliates or existing stockholders. The remaining shares are currently restricted as a result of securities laws or lock-up agreements but will be able to be sold in the near future. Moreover, beginning 180 days after the completion of our IPO, holders of an aggregate of 16,357,132 shares of our common stock will have rights, subject to specified conditions, to require us to file registration statements covering their shares or to include their shares in registration statements that we may file for ourselves or other stockholders. In August 2019, we filed a registration statement registering all shares of common stock that we may issue under our equity compensation plans. These shares can be freely sold in the public market upon issuance, subject to volume limitations applicable to affiliates and the lock-up agreements entered into in connection with our IPO.</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5" w:lineRule="exact"/>
        <w:rPr>
          <w:sz w:val="20"/>
          <w:szCs w:val="20"/>
          <w:color w:val="auto"/>
        </w:rPr>
      </w:pPr>
    </w:p>
    <w:p>
      <w:pPr>
        <w:ind w:left="900" w:hanging="379"/>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900" w:right="720" w:hanging="379"/>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ind w:right="120" w:firstLine="518"/>
        <w:spacing w:after="0" w:line="257"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7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right="160" w:firstLine="518"/>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Set forth below is information regarding shares of equity securities sold or issued, and options granted, by us during the three months ended June 30, 2019 that were not registered under the Securities Act of 1933, as amended, or the Securities Act. Also included is the consideration, if any, received by us for such equity securities and information relating to the section of the Securities Act, or rule of the Securities and Exchange Commission, or the SEC, under which exemption from registration was claimed.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Issuances of Common Stock upon Conversion of Preferred Stock</w:t>
      </w:r>
    </w:p>
    <w:p>
      <w:pPr>
        <w:spacing w:after="0" w:line="11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On July 22, 2019, in connection with the closing of our initial public offering of our common stock, or IPO, all of our outstanding shares of preferred stock were converted into an aggregate of 16,071,418 shares of common stock. The conversion of preferred stock into common stock occurred in accordance with the terms of our certificate of incorporation and did not constitute a sale for purposes of the Securities Act.</w:t>
      </w:r>
    </w:p>
    <w:p>
      <w:pPr>
        <w:spacing w:after="0" w:line="330"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Stock Option Grants and Exercises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During the three months ended June 30, 2019, we granted options to purchase an aggregate of 93,995 shares of common stock, with exercise prices of $11.06 per share, to our employees, directors, advisors and/or consultants pursuant to our 2016 Stock Incentive Plan, as amended. The options become exercisable upon the schedule specified in the applicable option agreement. During the three months ended June 30, 2019, we issued 33,561 shares of our common stock upon the exercise of stock options outstanding under our 2016 Stock Incentive Plan, as amended, for aggregate consideration of $0.3 million. The stock options and the shares of common stock issued upon the exercise of stock options described in this section (b)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On July 22, 2019, we completed our IPO, pursuant to which we issued and sold 4,500,000 shares of our common stock at a public offering price of $16.00 per share.</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offer and sale of all of the shares of our common stock in our IPO were registered under the Securities Act pursuant to a registration statement on Form S-1 (File No. 333-232260), which was declared effective by the SEC on July 17, 2019. 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212"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estimated offering expenses of $2.9 million. None of the underwriting discounts and commissions or offering expenses were incurred or paid to directors or officers of ours or their associates or to persons owning 10% or more of our common stock or to any of our affiliates.</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had not used any of the net proceeds from the IPO as of June 30, 2019 because our IPO closed on July 22, 2019. There has been no material change in our planned use of the net proceeds from our IPO as described in our final prospectus filed pursuant to Rule 424(b)(4) under the Securities Act with the SEC on July 18,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540" w:type="dxa"/>
            <w:vAlign w:val="bottom"/>
            <w:gridSpan w:val="7"/>
          </w:tcPr>
          <w:p>
            <w:pPr>
              <w:ind w:left="112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(a) 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(b) Average Price</w:t>
            </w:r>
          </w:p>
        </w:tc>
        <w:tc>
          <w:tcPr>
            <w:tcW w:w="2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 Total Number of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(d) Approximate Dollar Value of</w:t>
            </w: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3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Purchased(1)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Announced Plans or Programs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April 1, 2019 through April 30, 2019</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FF0FC"/>
          </w:tcPr>
          <w:p>
            <w:pPr>
              <w:ind w:left="20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FF0FC"/>
          </w:tcPr>
          <w:p>
            <w:pPr>
              <w:ind w:left="2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May 1, 2019 through May 31, 2019</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7,451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24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ind w:left="2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June 1, 2019 through June 30, 2019</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60" w:type="dxa"/>
            <w:vAlign w:val="bottom"/>
            <w:gridSpan w:val="2"/>
            <w:shd w:val="clear" w:color="auto" w:fill="CFF0FC"/>
          </w:tcPr>
          <w:p>
            <w:pPr>
              <w:ind w:left="2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0" w:type="dxa"/>
            <w:vAlign w:val="bottom"/>
            <w:shd w:val="clear" w:color="auto" w:fill="CFF0FC"/>
          </w:tcPr>
          <w:p>
            <w:pPr>
              <w:ind w:left="2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7,451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2320" w:type="dxa"/>
            <w:vAlign w:val="bottom"/>
            <w:tcBorders>
              <w:top w:val="single" w:sz="8" w:color="auto"/>
              <w:bottom w:val="single" w:sz="8" w:color="auto"/>
            </w:tcBorders>
          </w:tcPr>
          <w:p>
            <w:pPr>
              <w:ind w:left="2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bottom w:val="single" w:sz="8" w:color="auto"/>
            </w:tcBorders>
          </w:tcPr>
          <w:p>
            <w:pPr>
              <w:ind w:left="2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40" w:firstLine="526"/>
        <w:spacing w:after="0" w:line="264" w:lineRule="auto"/>
        <w:tabs>
          <w:tab w:leader="none" w:pos="7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exercise price.</w:t>
      </w:r>
    </w:p>
    <w:p>
      <w:pPr>
        <w:spacing w:after="0" w:line="18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share figures set forth in this Item 2 have been retroactively adjusted, as appropriate, to reflect a one-for-seven reverse stock split of the Company’s common stock on July 5,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60" w:type="dxa"/>
            <w:vAlign w:val="bottom"/>
            <w:gridSpan w:val="19"/>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6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10360" w:type="dxa"/>
            <w:vAlign w:val="bottom"/>
            <w:tcBorders>
              <w:top w:val="single" w:sz="8" w:color="auto"/>
              <w:bottom w:val="single" w:sz="8" w:color="0000EE"/>
            </w:tcBorders>
            <w:gridSpan w:val="22"/>
          </w:tcPr>
          <w:p>
            <w:pPr>
              <w:spacing w:after="0" w:line="182"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Restated Certificate of Incorporation of the Registrant (incorporated by reference to Exhibit 3.1 to the Registrant’s Current Report on Form 8-K</w:t>
              </w:r>
            </w:hyperlink>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(File No. 001-38978)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380" w:type="dxa"/>
            <w:vAlign w:val="bottom"/>
            <w:gridSpan w:val="23"/>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Amended and Restated Bylaws of the Registrant (incorporated by reference to Exhibit 3.2 to the Registrant’s Current Report on Form 8-K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No. 001-38978) filed with the Securities and Exchange Commission on July 22, 2019).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0280" w:type="dxa"/>
            <w:vAlign w:val="bottom"/>
            <w:tcBorders>
              <w:bottom w:val="single" w:sz="8" w:color="0000EE"/>
            </w:tcBorders>
            <w:gridSpan w:val="18"/>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2019 Stock Incentive Plan (incorporated by reference to Exhibit 10.6 to Amendment No. 1 to Registrant’s Registration Statement on Form S-1</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380" w:type="dxa"/>
            <w:vAlign w:val="bottom"/>
            <w:gridSpan w:val="23"/>
          </w:tcPr>
          <w:p>
            <w:pPr>
              <w:spacing w:after="0"/>
              <w:rPr>
                <w:rFonts w:ascii="Arial" w:cs="Arial" w:eastAsia="Arial" w:hAnsi="Arial"/>
                <w:sz w:val="18"/>
                <w:szCs w:val="18"/>
                <w:color w:val="0000EE"/>
                <w:w w:val="95"/>
              </w:rPr>
            </w:pPr>
            <w:hyperlink r:id="rId96">
              <w:r>
                <w:rPr>
                  <w:rFonts w:ascii="Arial" w:cs="Arial" w:eastAsia="Arial" w:hAnsi="Arial"/>
                  <w:sz w:val="18"/>
                  <w:szCs w:val="18"/>
                  <w:color w:val="0000EE"/>
                  <w:w w:val="95"/>
                </w:rPr>
                <w:t>Form of Stock Option Agreement under the 2019 Stock Incentive Plan (incorporated by reference to Exhibit 10.7 to Amendment No. 1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Registrant’s Registration Statement on Form S-1 (File No. 333-232260) filed with the Securities and Exchange Commission on July 8, 2019).</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10320" w:type="dxa"/>
            <w:vAlign w:val="bottom"/>
            <w:tcBorders>
              <w:bottom w:val="single" w:sz="8" w:color="0000EE"/>
            </w:tcBorders>
            <w:gridSpan w:val="20"/>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2019 Employee Stock Purchase Plan (incorporated by reference to Exhibit 10.8 to Amendment No. 1 to Registrant’s Registration Statement on</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Form S-1 (File No. 333-232260) filed with the Securities and Exchange Commission on July 8, 2019).</w:t>
              </w:r>
            </w:hyperlink>
          </w:p>
        </w:tc>
        <w:tc>
          <w:tcPr>
            <w:tcW w:w="29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180" w:type="dxa"/>
            <w:vAlign w:val="bottom"/>
            <w:tcBorders>
              <w:bottom w:val="single" w:sz="8" w:color="0000EE"/>
            </w:tcBorders>
            <w:gridSpan w:val="15"/>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Summary of Non-Employee Director Compensation Program (incorporated by reference to Exhibit 10.9 to Amendment No. 1 to Registrant’s</w:t>
              </w:r>
            </w:hyperlink>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Registration Statement on Form S-1 (File No. 333-232260) filed with the Securities and Exchange Commission on July 8, 2019).</w:t>
              </w:r>
            </w:hyperlink>
          </w:p>
        </w:tc>
        <w:tc>
          <w:tcPr>
            <w:tcW w:w="1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0380" w:type="dxa"/>
            <w:vAlign w:val="bottom"/>
            <w:gridSpan w:val="23"/>
          </w:tcPr>
          <w:p>
            <w:pPr>
              <w:spacing w:after="0"/>
              <w:rPr>
                <w:rFonts w:ascii="Arial" w:cs="Arial" w:eastAsia="Arial" w:hAnsi="Arial"/>
                <w:sz w:val="18"/>
                <w:szCs w:val="18"/>
                <w:color w:val="0000EE"/>
                <w:w w:val="96"/>
              </w:rPr>
            </w:pPr>
            <w:hyperlink r:id="rId99">
              <w:r>
                <w:rPr>
                  <w:rFonts w:ascii="Arial" w:cs="Arial" w:eastAsia="Arial" w:hAnsi="Arial"/>
                  <w:sz w:val="18"/>
                  <w:szCs w:val="18"/>
                  <w:color w:val="0000EE"/>
                  <w:w w:val="96"/>
                </w:rPr>
                <w:t>Form of Employment Agreement for Executive Officers (incorporated by reference to Exhibit 10.12 to Amendment No. 1 to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Registration Statement on Form S-1 (File No. 333-232260) filed with the Securities and Exchange Commission on July 8, 2019).</w:t>
              </w:r>
            </w:hyperlink>
          </w:p>
        </w:tc>
        <w:tc>
          <w:tcPr>
            <w:tcW w:w="600" w:type="dxa"/>
            <w:vAlign w:val="bottom"/>
            <w:tcBorders>
              <w:top w:val="single" w:sz="8" w:color="0000EE"/>
            </w:tcBorders>
            <w:gridSpan w:val="3"/>
          </w:tcPr>
          <w:p>
            <w:pPr>
              <w:spacing w:after="0"/>
              <w:rPr>
                <w:sz w:val="17"/>
                <w:szCs w:val="17"/>
                <w:color w:val="auto"/>
              </w:rPr>
            </w:pPr>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0380" w:type="dxa"/>
            <w:vAlign w:val="bottom"/>
            <w:gridSpan w:val="23"/>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Employment Agreement, dated June 30, 2019, by and between the Registrant and Robert J. Gould (incorporated by reference to Exhibit 10.13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to Amendment No. 2 to Registrant’s Registration Statement on Form S-1 (File No. 333-232260) filed with the Securities and Exchange</w:t>
              </w:r>
            </w:hyperlink>
          </w:p>
        </w:tc>
        <w:tc>
          <w:tcPr>
            <w:tcW w:w="480" w:type="dxa"/>
            <w:vAlign w:val="bottom"/>
            <w:tcBorders>
              <w:top w:val="single" w:sz="8" w:color="0000EE"/>
            </w:tcBorders>
            <w:gridSpan w:val="7"/>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Commission on July 12,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080" w:type="dxa"/>
            <w:vAlign w:val="bottom"/>
            <w:tcBorders>
              <w:bottom w:val="single" w:sz="8" w:color="0000EE"/>
            </w:tcBorders>
            <w:gridSpan w:val="13"/>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Employment Agreement, dated July 3, 2019, by and between the Registrant and Bryan Stuart (incorporated by reference to Exhibit 10.14 to</w:t>
              </w:r>
            </w:hyperlink>
          </w:p>
        </w:tc>
        <w:tc>
          <w:tcPr>
            <w:tcW w:w="3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w w:val="98"/>
              </w:rPr>
            </w:pPr>
            <w:hyperlink r:id="rId101">
              <w:r>
                <w:rPr>
                  <w:rFonts w:ascii="Arial" w:cs="Arial" w:eastAsia="Arial" w:hAnsi="Arial"/>
                  <w:sz w:val="18"/>
                  <w:szCs w:val="18"/>
                  <w:color w:val="0000EE"/>
                  <w:w w:val="98"/>
                </w:rPr>
                <w:t>Amendment No. 2 to Registrant’s Registration Statement on Form S-1 (File No. 333-232260)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Commission on July 12, 2019).</w:t>
              </w:r>
            </w:hyperlink>
          </w:p>
        </w:tc>
        <w:tc>
          <w:tcPr>
            <w:tcW w:w="8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0380" w:type="dxa"/>
            <w:vAlign w:val="bottom"/>
            <w:tcBorders>
              <w:bottom w:val="single" w:sz="8" w:color="0000EE"/>
            </w:tcBorders>
            <w:gridSpan w:val="23"/>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Employment Agreement, dated June 30, 2019, by and between the Registrant and Diego Cadavid (incorporated by reference to Exhibit 10.15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w w:val="98"/>
              </w:rPr>
            </w:pPr>
            <w:hyperlink r:id="rId102">
              <w:r>
                <w:rPr>
                  <w:rFonts w:ascii="Arial" w:cs="Arial" w:eastAsia="Arial" w:hAnsi="Arial"/>
                  <w:sz w:val="18"/>
                  <w:szCs w:val="18"/>
                  <w:color w:val="0000EE"/>
                  <w:w w:val="98"/>
                </w:rPr>
                <w:t>Amendment No. 2 to Registrant’s Registration Statement on Form S-1 (File No. 333-232260)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Commission on July 12, 2019).</w:t>
              </w:r>
            </w:hyperlink>
          </w:p>
        </w:tc>
        <w:tc>
          <w:tcPr>
            <w:tcW w:w="8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9980" w:type="dxa"/>
            <w:vAlign w:val="bottom"/>
            <w:tcBorders>
              <w:bottom w:val="single" w:sz="8" w:color="0000EE"/>
            </w:tcBorders>
            <w:gridSpan w:val="12"/>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Indemnification Agreement between the Registrant and each of its Executive Officers and Directors (incorporated by reference to</w:t>
              </w:r>
            </w:hyperlink>
          </w:p>
        </w:tc>
        <w:tc>
          <w:tcPr>
            <w:tcW w:w="4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Exhibit 10.15 to Registrant’s Registration Statement on Form S-1 (File No. 333-232260) filed with the Securities and Exchange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on June 21, 2019).</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30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10380" w:type="dxa"/>
            <w:vAlign w:val="bottom"/>
            <w:gridSpan w:val="23"/>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Pursuant to Section 302 of the Sarbanes-Oxley Act of 2002.</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600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380" w:type="dxa"/>
            <w:vAlign w:val="bottom"/>
            <w:gridSpan w:val="23"/>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3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2"/>
          </w:tcPr>
          <w:p>
            <w:pPr>
              <w:ind w:left="1860"/>
              <w:spacing w:after="0"/>
              <w:rPr>
                <w:sz w:val="20"/>
                <w:szCs w:val="20"/>
                <w:color w:val="auto"/>
              </w:rPr>
            </w:pPr>
            <w:r>
              <w:rPr>
                <w:rFonts w:ascii="Arial" w:cs="Arial" w:eastAsia="Arial" w:hAnsi="Arial"/>
                <w:sz w:val="18"/>
                <w:szCs w:val="18"/>
                <w:color w:val="auto"/>
              </w:rPr>
              <w:t>FULCRUM THERAPEUTICS, INC.</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August 26, 2019</w:t>
            </w:r>
          </w:p>
        </w:tc>
        <w:tc>
          <w:tcPr>
            <w:tcW w:w="2200" w:type="dxa"/>
            <w:vAlign w:val="bottom"/>
          </w:tcPr>
          <w:p>
            <w:pPr>
              <w:ind w:left="186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r>
      <w:tr>
        <w:trPr>
          <w:trHeight w:val="222"/>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Robert J. Gould, Ph.D.</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August 26, 2019</w:t>
            </w:r>
          </w:p>
        </w:tc>
        <w:tc>
          <w:tcPr>
            <w:tcW w:w="2200" w:type="dxa"/>
            <w:vAlign w:val="bottom"/>
          </w:tcPr>
          <w:p>
            <w:pPr>
              <w:ind w:left="186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Bryan Stuart</w:t>
            </w:r>
          </w:p>
        </w:tc>
      </w:tr>
      <w:tr>
        <w:trPr>
          <w:trHeight w:val="224"/>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bl>
    <w:p>
      <w:pPr>
        <w:ind w:left="6660"/>
        <w:spacing w:after="0"/>
        <w:rPr>
          <w:sz w:val="20"/>
          <w:szCs w:val="20"/>
          <w:color w:val="auto"/>
        </w:rPr>
      </w:pPr>
      <w:r>
        <w:rPr>
          <w:rFonts w:ascii="Arial" w:cs="Arial" w:eastAsia="Arial" w:hAnsi="Arial"/>
          <w:sz w:val="18"/>
          <w:szCs w:val="18"/>
          <w:color w:val="auto"/>
        </w:rPr>
        <w:t>Chief Operating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800" w:hanging="17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140" w:firstLine="628"/>
        <w:spacing w:after="0" w:line="342"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628"/>
        <w:spacing w:after="0" w:line="277"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628"/>
        <w:spacing w:after="0" w:line="277"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480" w:firstLine="594"/>
        <w:spacing w:after="0" w:line="264" w:lineRule="auto"/>
        <w:tabs>
          <w:tab w:leader="none" w:pos="14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460" w:hanging="246"/>
        <w:spacing w:after="0"/>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260" w:firstLine="594"/>
        <w:spacing w:after="0" w:line="342" w:lineRule="auto"/>
        <w:tabs>
          <w:tab w:leader="none" w:pos="14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220" w:firstLine="594"/>
        <w:spacing w:after="0" w:line="264" w:lineRule="auto"/>
        <w:tabs>
          <w:tab w:leader="none" w:pos="14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00" w:firstLine="628"/>
        <w:spacing w:after="0" w:line="308"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480" w:firstLine="594"/>
        <w:spacing w:after="0" w:line="308" w:lineRule="auto"/>
        <w:tabs>
          <w:tab w:leader="none" w:pos="14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160" w:firstLine="594"/>
        <w:spacing w:after="0" w:line="277" w:lineRule="auto"/>
        <w:tabs>
          <w:tab w:leader="none" w:pos="14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 August 26, 2019</w:t>
            </w: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By: /s/ Robert J. Gould</w:t>
            </w:r>
          </w:p>
        </w:tc>
      </w:tr>
      <w:tr>
        <w:trPr>
          <w:trHeight w:val="195"/>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J. Gould, Ph.D.</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7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140" w:firstLine="628"/>
        <w:spacing w:after="0" w:line="342"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628"/>
        <w:spacing w:after="0" w:line="277"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628"/>
        <w:spacing w:after="0" w:line="277"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480" w:firstLine="594"/>
        <w:spacing w:after="0" w:line="264" w:lineRule="auto"/>
        <w:tabs>
          <w:tab w:leader="none" w:pos="14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460" w:hanging="246"/>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260" w:firstLine="594"/>
        <w:spacing w:after="0" w:line="342" w:lineRule="auto"/>
        <w:tabs>
          <w:tab w:leader="none" w:pos="1451"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220" w:firstLine="594"/>
        <w:spacing w:after="0" w:line="264" w:lineRule="auto"/>
        <w:tabs>
          <w:tab w:leader="none" w:pos="14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00" w:firstLine="628"/>
        <w:spacing w:after="0" w:line="308"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480" w:firstLine="594"/>
        <w:spacing w:after="0" w:line="308" w:lineRule="auto"/>
        <w:tabs>
          <w:tab w:leader="none" w:pos="14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160" w:firstLine="594"/>
        <w:spacing w:after="0" w:line="277" w:lineRule="auto"/>
        <w:tabs>
          <w:tab w:leader="none" w:pos="14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 August 26, 2019</w:t>
            </w: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By: /s/ Bryan Stuart</w:t>
            </w:r>
          </w:p>
        </w:tc>
      </w:tr>
      <w:tr>
        <w:trPr>
          <w:trHeight w:val="195"/>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June 30, 2019,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5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August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404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In connection with the Quarterly Report on Form 10-Q of Fulcrum Therapeutics, Inc. (the “Company”) for the period ended June 30, 2019,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47" w:lineRule="exact"/>
        <w:rPr>
          <w:sz w:val="20"/>
          <w:szCs w:val="20"/>
          <w:color w:val="auto"/>
        </w:rPr>
      </w:pPr>
    </w:p>
    <w:p>
      <w:pPr>
        <w:ind w:left="780" w:hanging="254"/>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August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93" Type="http://schemas.openxmlformats.org/officeDocument/2006/relationships/hyperlink" Target="http://www.sec.gov/Archives/edgar/data/0001680581/000104746919004324/a2239321zex-3_1.htm" TargetMode="External"/><Relationship Id="rId94" Type="http://schemas.openxmlformats.org/officeDocument/2006/relationships/hyperlink" Target="http://www.sec.gov/Archives/edgar/data/0001680581/000104746919004324/a2239321zex-3_2.htm" TargetMode="External"/><Relationship Id="rId95" Type="http://schemas.openxmlformats.org/officeDocument/2006/relationships/hyperlink" Target="http://www.sec.gov/Archives/edgar/data/0001680581/000104746919004014/a2239182zex-10_6.htm" TargetMode="External"/><Relationship Id="rId96" Type="http://schemas.openxmlformats.org/officeDocument/2006/relationships/hyperlink" Target="http://www.sec.gov/Archives/edgar/data/0001680581/000104746919004014/a2239182zex-10_7.htm" TargetMode="External"/><Relationship Id="rId97" Type="http://schemas.openxmlformats.org/officeDocument/2006/relationships/hyperlink" Target="http://www.sec.gov/Archives/edgar/data/0001680581/000104746919004014/a2239182zex-10_8.htm" TargetMode="External"/><Relationship Id="rId98" Type="http://schemas.openxmlformats.org/officeDocument/2006/relationships/hyperlink" Target="http://www.sec.gov/Archives/edgar/data/0001680581/000104746919004014/a2239182zex-10_9.htm" TargetMode="External"/><Relationship Id="rId99" Type="http://schemas.openxmlformats.org/officeDocument/2006/relationships/hyperlink" Target="http://www.sec.gov/Archives/edgar/data/0001680581/000104746919004014/a2239182zex-10_12.htm" TargetMode="External"/><Relationship Id="rId100" Type="http://schemas.openxmlformats.org/officeDocument/2006/relationships/hyperlink" Target="http://www.sec.gov/Archives/edgar/data/0001680581/000104746919004158/a2239256zex-10_13.htm" TargetMode="External"/><Relationship Id="rId101" Type="http://schemas.openxmlformats.org/officeDocument/2006/relationships/hyperlink" Target="http://www.sec.gov/Archives/edgar/data/0001680581/000104746919004158/a2239256zex-10_14.htm" TargetMode="External"/><Relationship Id="rId102" Type="http://schemas.openxmlformats.org/officeDocument/2006/relationships/hyperlink" Target="http://www.sec.gov/Archives/edgar/data/0001680581/000104746919004158/a2239256zex-10_15.htm" TargetMode="External"/><Relationship Id="rId103" Type="http://schemas.openxmlformats.org/officeDocument/2006/relationships/hyperlink" Target="http://www.sec.gov/Archives/edgar/data/0001680581/000104746919003793/a2239080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2019-12-28T06:33:09Z</dcterms:created>
  <dcterms:modified xsi:type="dcterms:W3CDTF">2019-12-28T06:33:09Z</dcterms:modified>
</cp:coreProperties>
</file>