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SCHEDULE 13G</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 Exit Filing)*</w:t>
      </w: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Fulcrum Therapeutics,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$0.001 par value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359616109</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16, 2021</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880" w:hanging="440"/>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53" w:lineRule="exact"/>
        <w:rPr>
          <w:rFonts w:ascii="MS PGothic" w:cs="MS PGothic" w:eastAsia="MS PGothic" w:hAnsi="MS PGothic"/>
          <w:sz w:val="18"/>
          <w:szCs w:val="18"/>
          <w:color w:val="auto"/>
        </w:rPr>
      </w:pPr>
    </w:p>
    <w:p>
      <w:pPr>
        <w:jc w:val="both"/>
        <w:ind w:left="440" w:right="9320"/>
        <w:spacing w:after="0" w:line="260" w:lineRule="exact"/>
        <w:tabs>
          <w:tab w:leader="none" w:pos="87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3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15" w:right="379" w:bottom="1440" w:gutter="0" w:footer="0" w:header="0"/>
        </w:sectPr>
      </w:pPr>
    </w:p>
    <w:bookmarkStart w:id="1" w:name="page2"/>
    <w:bookmarkEnd w:id="1"/>
    <w:p>
      <w:pPr>
        <w:jc w:val="center"/>
        <w:ind w:right="96"/>
        <w:spacing w:after="0"/>
        <w:rPr>
          <w:sz w:val="20"/>
          <w:szCs w:val="20"/>
          <w:color w:val="auto"/>
        </w:rPr>
      </w:pPr>
      <w:r>
        <w:rPr>
          <w:rFonts w:ascii="Arial" w:cs="Arial" w:eastAsia="Arial" w:hAnsi="Arial"/>
          <w:sz w:val="18"/>
          <w:szCs w:val="18"/>
          <w:color w:val="auto"/>
        </w:rPr>
        <w:t>13G/A1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CUSIP No.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66040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297815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color w:val="auto"/>
        </w:rPr>
        <w:t>1. Names of Reporting Persons.</w:t>
      </w:r>
    </w:p>
    <w:p>
      <w:pPr>
        <w:spacing w:after="0" w:line="225" w:lineRule="exact"/>
        <w:rPr>
          <w:sz w:val="20"/>
          <w:szCs w:val="20"/>
          <w:color w:val="auto"/>
        </w:rPr>
      </w:pPr>
    </w:p>
    <w:p>
      <w:pPr>
        <w:ind w:left="244"/>
        <w:spacing w:after="0"/>
        <w:rPr>
          <w:sz w:val="20"/>
          <w:szCs w:val="20"/>
          <w:color w:val="auto"/>
        </w:rPr>
      </w:pPr>
      <w:r>
        <w:rPr>
          <w:rFonts w:ascii="Arial" w:cs="Arial" w:eastAsia="Arial" w:hAnsi="Arial"/>
          <w:sz w:val="18"/>
          <w:szCs w:val="18"/>
          <w:color w:val="auto"/>
        </w:rPr>
        <w:t>GlaxoSmithKline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57785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41" w:lineRule="exact"/>
        <w:rPr>
          <w:rFonts w:ascii="Arial" w:cs="Arial" w:eastAsia="Arial" w:hAnsi="Arial"/>
          <w:sz w:val="18"/>
          <w:szCs w:val="18"/>
          <w:color w:val="auto"/>
        </w:rPr>
      </w:pPr>
    </w:p>
    <w:p>
      <w:pPr>
        <w:ind w:left="224" w:hanging="224"/>
        <w:spacing w:after="0"/>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7" w:lineRule="exact"/>
        <w:rPr>
          <w:rFonts w:ascii="Arial" w:cs="Arial" w:eastAsia="Arial" w:hAnsi="Arial"/>
          <w:sz w:val="18"/>
          <w:szCs w:val="18"/>
          <w:color w:val="auto"/>
        </w:rPr>
      </w:pPr>
    </w:p>
    <w:p>
      <w:pPr>
        <w:ind w:left="184" w:hanging="184"/>
        <w:spacing w:after="0"/>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-404495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-173355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244"/>
        <w:spacing w:after="0"/>
        <w:rPr>
          <w:sz w:val="20"/>
          <w:szCs w:val="20"/>
          <w:color w:val="auto"/>
        </w:rPr>
      </w:pPr>
      <w:r>
        <w:rPr>
          <w:rFonts w:ascii="Arial" w:cs="Arial" w:eastAsia="Arial" w:hAnsi="Arial"/>
          <w:sz w:val="18"/>
          <w:szCs w:val="18"/>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tbl>
      <w:tblPr>
        <w:tblLayout w:type="fixed"/>
        <w:tblInd w:w="144"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7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1,785,714</w:t>
            </w:r>
          </w:p>
        </w:tc>
        <w:tc>
          <w:tcPr>
            <w:tcW w:w="0" w:type="dxa"/>
            <w:vAlign w:val="bottom"/>
          </w:tcPr>
          <w:p>
            <w:pPr>
              <w:spacing w:after="0"/>
              <w:rPr>
                <w:sz w:val="1"/>
                <w:szCs w:val="1"/>
                <w:color w:val="auto"/>
              </w:rPr>
            </w:pPr>
          </w:p>
        </w:tc>
      </w:tr>
      <w:tr>
        <w:trPr>
          <w:trHeight w:val="68"/>
        </w:trPr>
        <w:tc>
          <w:tcPr>
            <w:tcW w:w="200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260" w:type="dxa"/>
            <w:vAlign w:val="bottom"/>
            <w:tcBorders>
              <w:bottom w:val="single" w:sz="8" w:color="auto"/>
            </w:tcBorders>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00" w:type="dxa"/>
            <w:vAlign w:val="bottom"/>
            <w:vMerge w:val="continue"/>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7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00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260" w:type="dxa"/>
            <w:vAlign w:val="bottom"/>
            <w:tcBorders>
              <w:bottom w:val="single" w:sz="8" w:color="auto"/>
            </w:tcBorders>
          </w:tcPr>
          <w:p>
            <w:pPr>
              <w:spacing w:after="0"/>
              <w:rPr>
                <w:sz w:val="10"/>
                <w:szCs w:val="10"/>
                <w:color w:val="auto"/>
              </w:rPr>
            </w:pPr>
          </w:p>
        </w:tc>
        <w:tc>
          <w:tcPr>
            <w:tcW w:w="8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0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spacing w:after="0" w:line="189" w:lineRule="exact"/>
              <w:rPr>
                <w:sz w:val="20"/>
                <w:szCs w:val="20"/>
                <w:color w:val="auto"/>
              </w:rPr>
            </w:pPr>
            <w:r>
              <w:rPr>
                <w:rFonts w:ascii="Arial" w:cs="Arial" w:eastAsia="Arial" w:hAnsi="Arial"/>
                <w:sz w:val="18"/>
                <w:szCs w:val="18"/>
                <w:color w:val="auto"/>
              </w:rPr>
              <w:t>Each Reporting</w:t>
            </w:r>
          </w:p>
        </w:tc>
        <w:tc>
          <w:tcPr>
            <w:tcW w:w="260" w:type="dxa"/>
            <w:vAlign w:val="bottom"/>
            <w:vMerge w:val="continue"/>
          </w:tcPr>
          <w:p>
            <w:pPr>
              <w:spacing w:after="0"/>
              <w:rPr>
                <w:sz w:val="16"/>
                <w:szCs w:val="16"/>
                <w:color w:val="auto"/>
              </w:rPr>
            </w:pPr>
          </w:p>
        </w:tc>
        <w:tc>
          <w:tcPr>
            <w:tcW w:w="8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00" w:type="dxa"/>
            <w:vAlign w:val="bottom"/>
          </w:tcPr>
          <w:p>
            <w:pPr>
              <w:spacing w:after="0"/>
              <w:rPr>
                <w:sz w:val="20"/>
                <w:szCs w:val="20"/>
                <w:color w:val="auto"/>
              </w:rPr>
            </w:pPr>
            <w:r>
              <w:rPr>
                <w:rFonts w:ascii="Arial" w:cs="Arial" w:eastAsia="Arial" w:hAnsi="Arial"/>
                <w:sz w:val="18"/>
                <w:szCs w:val="18"/>
                <w:color w:val="auto"/>
              </w:rPr>
              <w:t>Person With:</w:t>
            </w:r>
          </w:p>
        </w:tc>
        <w:tc>
          <w:tcPr>
            <w:tcW w:w="260" w:type="dxa"/>
            <w:vAlign w:val="bottom"/>
          </w:tcPr>
          <w:p>
            <w:pPr>
              <w:spacing w:after="0"/>
              <w:rPr>
                <w:sz w:val="22"/>
                <w:szCs w:val="22"/>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auto"/>
              </w:rPr>
              <w:t>1,785,714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25400</wp:posOffset>
            </wp:positionV>
            <wp:extent cx="57003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87" w:lineRule="exact"/>
        <w:rPr>
          <w:sz w:val="20"/>
          <w:szCs w:val="20"/>
          <w:color w:val="auto"/>
        </w:rPr>
      </w:pPr>
    </w:p>
    <w:p>
      <w:pPr>
        <w:ind w:left="2584" w:right="6820" w:hanging="330"/>
        <w:spacing w:after="0" w:line="277" w:lineRule="auto"/>
        <w:tabs>
          <w:tab w:leader="none" w:pos="2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02" w:lineRule="exact"/>
        <w:rPr>
          <w:rFonts w:ascii="Arial" w:cs="Arial" w:eastAsia="Arial" w:hAnsi="Arial"/>
          <w:sz w:val="18"/>
          <w:szCs w:val="18"/>
          <w:color w:val="auto"/>
        </w:rPr>
      </w:pPr>
    </w:p>
    <w:p>
      <w:pPr>
        <w:ind w:left="324" w:right="6140" w:hanging="324"/>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1,785,714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-344805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22860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4"/>
        <w:spacing w:after="0" w:line="207" w:lineRule="exact"/>
        <w:tabs>
          <w:tab w:leader="none" w:pos="5544"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78740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ind w:left="324" w:right="7080" w:hanging="324"/>
        <w:spacing w:after="0" w:line="275"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4.5% </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-173355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48895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544" w:hanging="328"/>
        <w:spacing w:after="0"/>
        <w:tabs>
          <w:tab w:leader="none" w:pos="5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Shares are held of record by Glaxo Group Limited, an indirect, wholly-owned subsidiary of the Reporting Person</w:t>
      </w:r>
    </w:p>
    <w:p>
      <w:pPr>
        <w:spacing w:after="0" w:line="225" w:lineRule="exact"/>
        <w:rPr>
          <w:rFonts w:ascii="Arial" w:cs="Arial" w:eastAsia="Arial" w:hAnsi="Arial"/>
          <w:sz w:val="18"/>
          <w:szCs w:val="18"/>
          <w:color w:val="auto"/>
        </w:rPr>
      </w:pPr>
    </w:p>
    <w:p>
      <w:pPr>
        <w:ind w:left="544" w:right="140" w:hanging="328"/>
        <w:spacing w:after="0" w:line="286" w:lineRule="auto"/>
        <w:tabs>
          <w:tab w:leader="none" w:pos="54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upon 39,308,425 shares of the Issuer’s Common Stock outstanding as of August 16, 2021, upon the closing of the Issuer’s public offering, as reported in the Issuer’s prospectus supplement dated August 11, 2021 (the “Final Prospectus”) filed with the Securities and Exchange Commission (the “SEC”) on August 12, 2021 pursuant to Rule 424(b)(5)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474345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4"/>
          </w:cols>
          <w:pgMar w:left="436" w:top="58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13G/A1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Issuer: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Fulcrum Therapeutics, Inc. (the “Company”)</w:t>
      </w:r>
    </w:p>
    <w:p>
      <w:pPr>
        <w:spacing w:after="0" w:line="211" w:lineRule="exact"/>
        <w:rPr>
          <w:sz w:val="20"/>
          <w:szCs w:val="20"/>
          <w:color w:val="auto"/>
        </w:rPr>
      </w:pPr>
    </w:p>
    <w:p>
      <w:pPr>
        <w:ind w:left="1300" w:right="6880" w:hanging="644"/>
        <w:spacing w:after="0" w:line="258" w:lineRule="auto"/>
        <w:tabs>
          <w:tab w:leader="none" w:pos="907"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 26 Landsdowne Street</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 w:lineRule="exact"/>
        <w:rPr>
          <w:sz w:val="20"/>
          <w:szCs w:val="20"/>
          <w:color w:val="auto"/>
        </w:rPr>
      </w:pPr>
    </w:p>
    <w:p>
      <w:pPr>
        <w:ind w:left="1300" w:right="8360" w:hanging="644"/>
        <w:spacing w:after="0" w:line="290"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color w:val="auto"/>
        </w:rPr>
        <w:t>Name of Person Filing: GlaxoSmithKline plc.</w:t>
      </w:r>
    </w:p>
    <w:p>
      <w:pPr>
        <w:spacing w:after="0" w:line="161" w:lineRule="exact"/>
        <w:rPr>
          <w:rFonts w:ascii="Arial" w:cs="Arial" w:eastAsia="Arial" w:hAnsi="Arial"/>
          <w:sz w:val="17"/>
          <w:szCs w:val="17"/>
          <w:color w:val="auto"/>
        </w:rPr>
      </w:pPr>
    </w:p>
    <w:p>
      <w:pPr>
        <w:ind w:left="1300" w:right="5880" w:hanging="644"/>
        <w:spacing w:after="0" w:line="258" w:lineRule="auto"/>
        <w:tabs>
          <w:tab w:leader="none" w:pos="9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980 Great West Road</w:t>
      </w:r>
    </w:p>
    <w:p>
      <w:pPr>
        <w:spacing w:after="0" w:line="1" w:lineRule="exact"/>
        <w:rPr>
          <w:rFonts w:ascii="Arial" w:cs="Arial" w:eastAsia="Arial" w:hAnsi="Arial"/>
          <w:sz w:val="18"/>
          <w:szCs w:val="18"/>
          <w:color w:val="auto"/>
        </w:rPr>
      </w:pPr>
    </w:p>
    <w:p>
      <w:pPr>
        <w:jc w:val="both"/>
        <w:ind w:left="1300" w:right="9180"/>
        <w:spacing w:after="0" w:line="295" w:lineRule="auto"/>
        <w:rPr>
          <w:rFonts w:ascii="Arial" w:cs="Arial" w:eastAsia="Arial" w:hAnsi="Arial"/>
          <w:sz w:val="18"/>
          <w:szCs w:val="18"/>
          <w:color w:val="auto"/>
        </w:rPr>
      </w:pPr>
      <w:r>
        <w:rPr>
          <w:rFonts w:ascii="Arial" w:cs="Arial" w:eastAsia="Arial" w:hAnsi="Arial"/>
          <w:sz w:val="16"/>
          <w:szCs w:val="16"/>
          <w:color w:val="auto"/>
        </w:rPr>
        <w:t>Brentford Middlesex TW8 9GS England</w:t>
      </w:r>
    </w:p>
    <w:p>
      <w:pPr>
        <w:spacing w:after="0" w:line="161"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England and Wales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$0.001 (the “Common Stock”)</w:t>
      </w:r>
    </w:p>
    <w:p>
      <w:pPr>
        <w:spacing w:after="0" w:line="211" w:lineRule="exact"/>
        <w:rPr>
          <w:sz w:val="20"/>
          <w:szCs w:val="20"/>
          <w:color w:val="auto"/>
        </w:rPr>
      </w:pPr>
    </w:p>
    <w:p>
      <w:pPr>
        <w:jc w:val="right"/>
        <w:ind w:left="1300" w:right="9120" w:hanging="644"/>
        <w:spacing w:after="0" w:line="342" w:lineRule="auto"/>
        <w:tabs>
          <w:tab w:leader="none" w:pos="897"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1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3. IF THIS STATEMENT IS FILED PURSUANT TO SS.240.13d-1(b) OR 240.13d-2(b) OR (c), CHECK WHETHER THE PERSON FILING IS 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items 1 and 5 through 11 on the cover page of this Schedule 13G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13G/A1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color w:val="auto"/>
        </w:rPr>
        <w:t>13G/A1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359616109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September 23, 2021</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/s/ Victoria Whyte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Authorized Signatory, GlaxoSmithKline PLC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8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decimal"/>
      <w:start w:val="1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2021-09-27T05:39:45Z</dcterms:created>
  <dcterms:modified xsi:type="dcterms:W3CDTF">2021-09-27T05:39:45Z</dcterms:modified>
</cp:coreProperties>
</file>