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1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the Securities Exchange Act of 1934</w:t>
      </w:r>
    </w:p>
    <w:p>
      <w:pPr>
        <w:spacing w:after="0" w:line="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July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171450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32"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001-38978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47-4839948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26 Landsdowne Street</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9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FULC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24"/>
          </w:cols>
          <w:pgMar w:left="436" w:top="225"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July 20, 2020, Fulcrum Therapeutics, Inc. (the “Company”) entered into a collaboration and license agreement (the “Agreement”) with MyoKardia, Inc. (“MyoKardia”) pursuant to which the Company granted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through the joint steering committee, to determine how best to advance at each stage of the research activities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Agreement (the “Targets”). If MyoKardia does not designate any Targets during the designated period, then the Agreement will automatically terminate. If MyoKardia designates one or more Targets, then MyoKardia will be obligated to use commercially reasonable efforts to seek regulatory approval for and to commercialize one product directed against an Identified Target in certain specified countries.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period in which the Company is performing the research activities pursuant to the research plan (the “Research Term”) and for a specified period beyond the Research Term if MyoKardia designates a Target, the Company may only use the data generated from such research activities for MyoKardia in accordance with the Agreement. During the Research Term and for a specified period thereafter, the Company may not research, develop, manufacture, commercialize, use, or otherwise exploit any compound or product (a) that is a Compound or Product under the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Targets.</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Agreement, MyoKardia will make a $10.0 million upfront payment and a $2.5 million payment as prepaid research funding to the Company. MyoKardia will also reimburse Fulcrum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MyoKardia will also pay the Company tiered royalties ranging from a mid single-digit percentage to a low double-digit percentage based on MyoKardia’s, and any of its affiliates’ and sublicensees’, annual worldwide net sales of products under the Agreement directed against any Identified Target. The royalties are payable on a product-by-product basis during a specified royalty term, and may be reduced in specified circumstances.</w:t>
      </w:r>
    </w:p>
    <w:p>
      <w:pPr>
        <w:spacing w:after="0" w:line="16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Agreement continues on a country-by-country and product-by-product basis until the last to expire royalty term for a product, at which time the Agreement expires with respect to such product in such country. Either party has the right to terminate the Agreement if the other party has materially breached in the performance of its obligations under the Agreement and such breach has not been cured within the applicable cure period. MyoKardia also has the right to terminate the Agreement for convenience in its entirety or on a target-by-target, product-by-product or molecule-by-molecule basis.</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foregoing description of the terms of the Agreement is qualified in its entirety by reference to the full text of the Agreement, a copy of which the Company intends to file with the Securities and Exchange Commission (the “SEC”) as an exhibit to the Company’s Quarterly Report on Form 10-Q for the quarter ending September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This Current Report on Form 8-K contains “forward-looking statements” within the meaning of the Private Securities Litigation Reform Act of 1995 that involve substantial risks and uncertainties, including statements regarding whether the collaboration will yield any Targets, potential milestone payments or royalty payments in connection with the collaboration and the potential benefits of the collaboration. All statements, other than statements of historical facts, contained in this Current Report on Form 8-K,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w:t>
      </w:r>
    </w:p>
    <w:p>
      <w:pPr>
        <w:sectPr>
          <w:pgSz w:w="11900" w:h="16838" w:orient="portrait"/>
          <w:cols w:equalWidth="0" w:num="1">
            <w:col w:w="10980"/>
          </w:cols>
          <w:pgMar w:left="440" w:top="270" w:right="479" w:bottom="1440" w:gutter="0" w:footer="0" w:header="0"/>
        </w:sectPr>
      </w:pPr>
    </w:p>
    <w:bookmarkStart w:id="2" w:name="page3"/>
    <w:bookmarkEnd w:id="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each party’s ability to perform its obligations under the Agreement, the sufficiency of the Company’s cash resources to fund its foreseeable and unforeseeable operating expenses and capital expenditure requirements on its expected timeline and other important factors discussed in the “Risk Factors” sections contained in the Company’s quarterly and annual reports on file with the SEC.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 In addition, the forward-looking statements included in this Current Report on Form 8-K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ectPr>
          <w:pgSz w:w="11900" w:h="16838" w:orient="portrait"/>
          <w:cols w:equalWidth="0" w:num="1">
            <w:col w:w="10900"/>
          </w:cols>
          <w:pgMar w:left="440" w:top="274"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500" w:type="dxa"/>
            <w:vAlign w:val="bottom"/>
            <w:gridSpan w:val="2"/>
          </w:tcPr>
          <w:p>
            <w:pPr>
              <w:ind w:left="2100"/>
              <w:spacing w:after="0"/>
              <w:rPr>
                <w:sz w:val="20"/>
                <w:szCs w:val="20"/>
                <w:color w:val="auto"/>
              </w:rPr>
            </w:pPr>
            <w:r>
              <w:rPr>
                <w:rFonts w:ascii="Arial" w:cs="Arial" w:eastAsia="Arial" w:hAnsi="Arial"/>
                <w:sz w:val="18"/>
                <w:szCs w:val="18"/>
                <w:color w:val="auto"/>
              </w:rPr>
              <w:t>FULCRUM THERAPEUTICS,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23, 2020</w:t>
            </w:r>
          </w:p>
        </w:tc>
        <w:tc>
          <w:tcPr>
            <w:tcW w:w="7500" w:type="dxa"/>
            <w:vAlign w:val="bottom"/>
            <w:gridSpan w:val="2"/>
          </w:tcPr>
          <w:p>
            <w:pPr>
              <w:ind w:left="2100"/>
              <w:spacing w:after="0"/>
              <w:rPr>
                <w:sz w:val="20"/>
                <w:szCs w:val="20"/>
                <w:color w:val="auto"/>
              </w:rPr>
            </w:pPr>
            <w:r>
              <w:rPr>
                <w:rFonts w:ascii="Arial" w:cs="Arial" w:eastAsia="Arial" w:hAnsi="Arial"/>
                <w:sz w:val="18"/>
                <w:szCs w:val="18"/>
                <w:color w:val="auto"/>
              </w:rPr>
              <w:t>By:  /s/ Robert J. Gould</w:t>
            </w:r>
          </w:p>
        </w:tc>
      </w:tr>
      <w:tr>
        <w:trPr>
          <w:trHeight w:val="195"/>
        </w:trPr>
        <w:tc>
          <w:tcPr>
            <w:tcW w:w="3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Name: Robert J. Gould</w:t>
            </w:r>
          </w:p>
        </w:tc>
      </w:tr>
      <w:tr>
        <w:trPr>
          <w:trHeight w:val="230"/>
        </w:trPr>
        <w:tc>
          <w:tcPr>
            <w:tcW w:w="3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Title: President and 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2020-07-23T15:32:06Z</dcterms:created>
  <dcterms:modified xsi:type="dcterms:W3CDTF">2020-07-23T15:32:06Z</dcterms:modified>
</cp:coreProperties>
</file>