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Musso Alan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680" w:type="dxa"/>
            <w:vAlign w:val="bottom"/>
          </w:tcPr>
          <w:p>
            <w:pPr>
              <w:ind w:left="2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4"/>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26 LANDSDOWNE STREET</w:t>
            </w:r>
          </w:p>
        </w:tc>
        <w:tc>
          <w:tcPr>
            <w:tcW w:w="680" w:type="dxa"/>
            <w:vAlign w:val="bottom"/>
          </w:tcPr>
          <w:p>
            <w:pPr>
              <w:spacing w:after="0"/>
              <w:rPr>
                <w:sz w:val="22"/>
                <w:szCs w:val="22"/>
                <w:color w:val="auto"/>
              </w:rPr>
            </w:pPr>
          </w:p>
        </w:tc>
      </w:tr>
      <w:tr>
        <w:trPr>
          <w:trHeight w:val="422"/>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6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02139</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6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01/26/2024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6.95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01/26/2024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26, 2024 and is scheduled to vest in equal quarterly installments over four years beginning on the vesting commencement date of January 1, 2024, subject to the reporting person's continued service on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Alan Musso</w:t>
            </w:r>
          </w:p>
        </w:tc>
        <w:tc>
          <w:tcPr>
            <w:tcW w:w="1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01/30/2024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830"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2024-01-30T20:07:45Z</dcterms:created>
  <dcterms:modified xsi:type="dcterms:W3CDTF">2024-01-30T20:07:45Z</dcterms:modified>
</cp:coreProperties>
</file>