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20" w:right="1580" w:hanging="3812"/>
        <w:spacing w:after="0" w:line="407"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123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16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220" w:type="dxa"/>
            <w:vAlign w:val="bottom"/>
          </w:tcPr>
          <w:p>
            <w:pPr>
              <w:spacing w:after="0"/>
              <w:rPr>
                <w:sz w:val="20"/>
                <w:szCs w:val="20"/>
                <w:color w:val="auto"/>
              </w:rPr>
            </w:pPr>
          </w:p>
        </w:tc>
      </w:tr>
      <w:tr>
        <w:trPr>
          <w:trHeight w:val="94"/>
        </w:trPr>
        <w:tc>
          <w:tcPr>
            <w:tcW w:w="28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308"/>
        </w:trPr>
        <w:tc>
          <w:tcPr>
            <w:tcW w:w="6160" w:type="dxa"/>
            <w:vAlign w:val="bottom"/>
            <w:gridSpan w:val="3"/>
          </w:tcPr>
          <w:p>
            <w:pPr>
              <w:jc w:val="center"/>
              <w:ind w:right="3760"/>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6160" w:type="dxa"/>
            <w:vAlign w:val="bottom"/>
            <w:gridSpan w:val="3"/>
          </w:tcPr>
          <w:p>
            <w:pPr>
              <w:jc w:val="center"/>
              <w:ind w:right="3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6160" w:type="dxa"/>
            <w:vAlign w:val="bottom"/>
            <w:gridSpan w:val="3"/>
          </w:tcPr>
          <w:p>
            <w:pPr>
              <w:jc w:val="center"/>
              <w:ind w:right="3760"/>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616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88"/>
              </w:rPr>
              <w:t>26 Landsdowne Street</w:t>
            </w:r>
          </w:p>
        </w:tc>
        <w:tc>
          <w:tcPr>
            <w:tcW w:w="1220" w:type="dxa"/>
            <w:vAlign w:val="bottom"/>
          </w:tcPr>
          <w:p>
            <w:pPr>
              <w:spacing w:after="0"/>
              <w:rPr>
                <w:sz w:val="18"/>
                <w:szCs w:val="18"/>
                <w:color w:val="auto"/>
              </w:rPr>
            </w:pPr>
          </w:p>
        </w:tc>
      </w:tr>
      <w:tr>
        <w:trPr>
          <w:trHeight w:val="212"/>
        </w:trPr>
        <w:tc>
          <w:tcPr>
            <w:tcW w:w="6160" w:type="dxa"/>
            <w:vAlign w:val="bottom"/>
            <w:gridSpan w:val="3"/>
          </w:tcPr>
          <w:p>
            <w:pPr>
              <w:jc w:val="center"/>
              <w:ind w:right="3820"/>
              <w:spacing w:after="0"/>
              <w:rPr>
                <w:sz w:val="20"/>
                <w:szCs w:val="20"/>
                <w:color w:val="auto"/>
              </w:rPr>
            </w:pPr>
            <w:r>
              <w:rPr>
                <w:rFonts w:ascii="Arial" w:cs="Arial" w:eastAsia="Arial" w:hAnsi="Arial"/>
                <w:sz w:val="18"/>
                <w:szCs w:val="18"/>
                <w:b w:val="1"/>
                <w:bCs w:val="1"/>
                <w:color w:val="auto"/>
                <w:w w:val="88"/>
              </w:rPr>
              <w:t>Cambridge, Massachusetts</w:t>
            </w:r>
          </w:p>
        </w:tc>
        <w:tc>
          <w:tcPr>
            <w:tcW w:w="122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6160" w:type="dxa"/>
            <w:vAlign w:val="bottom"/>
            <w:gridSpan w:val="3"/>
          </w:tcPr>
          <w:p>
            <w:pPr>
              <w:jc w:val="center"/>
              <w:ind w:right="37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4"/>
          <w:szCs w:val="24"/>
          <w:color w:val="auto"/>
        </w:rPr>
      </w:pPr>
    </w:p>
    <w:p>
      <w:pPr>
        <w:ind w:left="5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90" w:lineRule="exact"/>
        <w:rPr>
          <w:sz w:val="24"/>
          <w:szCs w:val="24"/>
          <w:color w:val="auto"/>
        </w:rPr>
      </w:pPr>
    </w:p>
    <w:p>
      <w:pPr>
        <w:ind w:right="80" w:firstLine="51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7" w:lineRule="exact"/>
        <w:rPr>
          <w:sz w:val="24"/>
          <w:szCs w:val="24"/>
          <w:color w:val="auto"/>
        </w:rPr>
      </w:pPr>
    </w:p>
    <w:p>
      <w:pPr>
        <w:ind w:right="400" w:firstLine="510"/>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1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8" w:lineRule="exact"/>
        <w:rPr>
          <w:sz w:val="24"/>
          <w:szCs w:val="24"/>
          <w:color w:val="auto"/>
        </w:rPr>
      </w:pPr>
    </w:p>
    <w:p>
      <w:pPr>
        <w:jc w:val="both"/>
        <w:ind w:right="20" w:firstLine="51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ind w:left="520" w:right="15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29, 2021, the registrant had 32,679,596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582295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880" w:right="8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 including our ongoing Phase 2b and Phase 2 open label clinical trials for the treatment of facioscapulohumeral muscular dystrophy, or FSHD;</w:t>
      </w:r>
    </w:p>
    <w:p>
      <w:pPr>
        <w:spacing w:after="0" w:line="62"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clinical trial of FTX-6058 in healthy adult volunteers and our planned clinical trial of FTX-6058 in patients with sickle cell disease, or SCD;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 a wholly owned subsidiary of Bristol-Myers Squibb Company;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ind w:right="40" w:firstLine="510"/>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$70.8 million for the year ended December 31, 2020 and $17.0 million for the three months ended March 31, 2021. We expect to incur losses over the next several years and may never achieve or maintain profitability. As of March 31, 2021, we had an accumulated deficit of $238.6 million.</w:t>
      </w:r>
    </w:p>
    <w:p>
      <w:pPr>
        <w:spacing w:after="0" w:line="183" w:lineRule="exact"/>
        <w:rPr>
          <w:rFonts w:ascii="Arial" w:cs="Arial" w:eastAsia="Arial" w:hAnsi="Arial"/>
          <w:sz w:val="18"/>
          <w:szCs w:val="18"/>
          <w:color w:val="auto"/>
        </w:rPr>
      </w:pPr>
    </w:p>
    <w:p>
      <w:pPr>
        <w:ind w:left="740" w:right="120" w:hanging="368"/>
        <w:spacing w:after="0" w:line="296"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Phase 2b and Phase 2 open label clinical trials of losmapimod for the treatment of FSHD and continue our Phase 1 clinical trial of FTX-6058 in healthy adult volunteers, prepare for our planned clinical trial of FTX-6058 in patients with SCD, and continue research and development and initiate additional clinical trials of, and seek regulatory approval for, these and other product candidates.</w:t>
      </w:r>
    </w:p>
    <w:p>
      <w:pPr>
        <w:spacing w:after="0" w:line="161" w:lineRule="exact"/>
        <w:rPr>
          <w:rFonts w:ascii="Arial" w:cs="Arial" w:eastAsia="Arial" w:hAnsi="Arial"/>
          <w:sz w:val="16"/>
          <w:szCs w:val="16"/>
          <w:color w:val="auto"/>
        </w:rPr>
      </w:pPr>
    </w:p>
    <w:p>
      <w:pPr>
        <w:ind w:left="740" w:right="14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rFonts w:ascii="Arial" w:cs="Arial" w:eastAsia="Arial" w:hAnsi="Arial"/>
          <w:sz w:val="17"/>
          <w:szCs w:val="17"/>
          <w:color w:val="auto"/>
        </w:rPr>
      </w:pPr>
    </w:p>
    <w:p>
      <w:pPr>
        <w:ind w:left="740" w:right="5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rFonts w:ascii="Arial" w:cs="Arial" w:eastAsia="Arial" w:hAnsi="Arial"/>
          <w:sz w:val="18"/>
          <w:szCs w:val="18"/>
          <w:color w:val="auto"/>
        </w:rPr>
      </w:pPr>
    </w:p>
    <w:p>
      <w:pPr>
        <w:ind w:left="740" w:right="120" w:hanging="368"/>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w:t>
      </w:r>
    </w:p>
    <w:p>
      <w:pPr>
        <w:spacing w:after="0" w:line="165"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U.S. Food and Drug Administration or other regulatory authorities may not consider the endpoints of our clinical trials to predict or provide clinically meaningful results.</w:t>
      </w:r>
    </w:p>
    <w:p>
      <w:pPr>
        <w:spacing w:after="0" w:line="186"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both"/>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3" w:lineRule="exact"/>
        <w:rPr>
          <w:rFonts w:ascii="Arial" w:cs="Arial" w:eastAsia="Arial" w:hAnsi="Arial"/>
          <w:sz w:val="18"/>
          <w:szCs w:val="18"/>
          <w:color w:val="auto"/>
        </w:rPr>
      </w:pPr>
    </w:p>
    <w:p>
      <w:pPr>
        <w:ind w:left="368" w:right="48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ind w:left="368" w:right="1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entered into, and may in the future enter into, collaborations with third parties for the discovery, development or commercialization of product candidates, including our collaborations with Acceleron Pharma Inc. and MyoKardia, Inc. If our collaborations are not successful, we may not be able to capitalize on the market potential of these product candidates and our business could be adversely affected.</w:t>
      </w:r>
    </w:p>
    <w:p>
      <w:pPr>
        <w:spacing w:after="0" w:line="148" w:lineRule="exact"/>
        <w:rPr>
          <w:rFonts w:ascii="Arial" w:cs="Arial" w:eastAsia="Arial" w:hAnsi="Arial"/>
          <w:sz w:val="16"/>
          <w:szCs w:val="16"/>
          <w:color w:val="auto"/>
        </w:rPr>
      </w:pPr>
    </w:p>
    <w:p>
      <w:pPr>
        <w:ind w:left="368" w:right="20" w:hanging="368"/>
        <w:spacing w:after="0" w:line="311"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68" w:right="54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644525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8"/>
          </w:cols>
          <w:pgMar w:left="692" w:top="557" w:right="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5"/>
            <w:vMerge w:val="restart"/>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FINANCIAL INFORMATION</w:t>
              </w:r>
            </w:hyperlink>
          </w:p>
        </w:tc>
        <w:tc>
          <w:tcPr>
            <w:tcW w:w="7600" w:type="dxa"/>
            <w:vAlign w:val="bottom"/>
            <w:gridSpan w:val="10"/>
            <w:vMerge w:val="restart"/>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5"/>
            <w:vMerge w:val="continue"/>
          </w:tcPr>
          <w:p>
            <w:pPr>
              <w:spacing w:after="0"/>
              <w:rPr>
                <w:sz w:val="15"/>
                <w:szCs w:val="15"/>
                <w:color w:val="auto"/>
              </w:rPr>
            </w:pPr>
          </w:p>
        </w:tc>
        <w:tc>
          <w:tcPr>
            <w:tcW w:w="7600" w:type="dxa"/>
            <w:vAlign w:val="bottom"/>
            <w:gridSpan w:val="10"/>
            <w:vMerge w:val="continue"/>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as of March 31, 2021 and December 31, 2020</w:t>
              </w:r>
            </w:hyperlink>
          </w:p>
        </w:tc>
        <w:tc>
          <w:tcPr>
            <w:tcW w:w="442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Operations and Comprehensive Loss for the three months ended March 31, 2021 and 2020</w:t>
              </w:r>
            </w:hyperlink>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Stockholders’ Equity for the three months ended March 31, 2021 and 2020</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20" w:type="dxa"/>
            <w:vAlign w:val="bottom"/>
            <w:tcBorders>
              <w:top w:val="single" w:sz="8" w:color="0000EE"/>
            </w:tcBorders>
            <w:gridSpan w:val="13"/>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Consolidated Statements of Cash Flows for the three months ended March 31, 2021 and 2020</w:t>
              </w:r>
            </w:hyperlink>
          </w:p>
        </w:tc>
        <w:tc>
          <w:tcPr>
            <w:tcW w:w="244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w:t>
              </w:r>
            </w:hyperlink>
          </w:p>
        </w:tc>
        <w:tc>
          <w:tcPr>
            <w:tcW w:w="3580" w:type="dxa"/>
            <w:vAlign w:val="bottom"/>
            <w:tcBorders>
              <w:top w:val="single" w:sz="8" w:color="0000EE"/>
            </w:tcBorders>
            <w:gridSpan w:val="5"/>
          </w:tcPr>
          <w:p>
            <w:pPr>
              <w:spacing w:after="0"/>
              <w:rPr>
                <w:sz w:val="18"/>
                <w:szCs w:val="18"/>
                <w:color w:val="auto"/>
              </w:rPr>
            </w:pPr>
          </w:p>
        </w:tc>
        <w:tc>
          <w:tcPr>
            <w:tcW w:w="312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8"/>
                <w:szCs w:val="18"/>
                <w:color w:val="auto"/>
              </w:rPr>
            </w:pPr>
          </w:p>
        </w:tc>
        <w:tc>
          <w:tcPr>
            <w:tcW w:w="340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Controls and Procedures</w:t>
              </w:r>
            </w:hyperlink>
          </w:p>
        </w:tc>
        <w:tc>
          <w:tcPr>
            <w:tcW w:w="808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960" w:type="dxa"/>
            <w:vAlign w:val="bottom"/>
            <w:tcBorders>
              <w:top w:val="single" w:sz="8" w:color="0000EE"/>
            </w:tcBorders>
            <w:gridSpan w:val="2"/>
          </w:tcPr>
          <w:p>
            <w:pPr>
              <w:spacing w:after="0"/>
              <w:rPr>
                <w:sz w:val="18"/>
                <w:szCs w:val="18"/>
                <w:color w:val="auto"/>
              </w:rPr>
            </w:pPr>
          </w:p>
        </w:tc>
        <w:tc>
          <w:tcPr>
            <w:tcW w:w="7980" w:type="dxa"/>
            <w:vAlign w:val="bottom"/>
            <w:gridSpan w:val="11"/>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Unregistered Sales of Equity Securities and Use of Proceeds</w:t>
              </w:r>
            </w:hyperlink>
          </w:p>
        </w:tc>
        <w:tc>
          <w:tcPr>
            <w:tcW w:w="550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1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6"/>
        </w:trPr>
        <w:tc>
          <w:tcPr>
            <w:tcW w:w="7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71"/>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9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100,745</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57,052</w:t>
            </w: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43,111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55,862</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2,000</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Unbilled accounts receivable</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531</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2,599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4,065</w:t>
            </w: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146,987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119,510</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7,834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8,397</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1,092</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578</w:t>
            </w:r>
          </w:p>
        </w:tc>
      </w:tr>
      <w:tr>
        <w:trPr>
          <w:trHeight w:val="26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156,476</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129,577</w:t>
            </w: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4,797</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4,079</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5,236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7,267</w:t>
            </w: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w:t>
            </w: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12,129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14,910</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26,725</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1,649</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incentive, excluding current portion</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2,934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3,051</w:t>
            </w:r>
          </w:p>
        </w:tc>
      </w:tr>
      <w:tr>
        <w:trPr>
          <w:trHeight w:val="23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excluding current portion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2,971</w:t>
            </w: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28,722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34,396</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200,000,000 shares authorized; 32,677,454 and 28,067,402 shares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issued as of March 31, 2021 and December 31, 2020, respectively; 32,594,436 and 27,941,566 shares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March 31, 2021 and December 31, 2020, respectively</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Treasury stock, at cost; no shares as of March 31, 2021 and December 31, 2020</w:t>
            </w:r>
          </w:p>
        </w:tc>
        <w:tc>
          <w:tcPr>
            <w:tcW w:w="26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366,344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316,775</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(238,619)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(221,620)</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127,754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95,181</w:t>
            </w: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156,476</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129,577</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4,789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16,334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5,498</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21,832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19,546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(17,043)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(16,999)</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(18,452)</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31,510</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(16,999)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(18,452)</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 securities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other comprehensive loss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(17,001)</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1"/>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940" w:type="dxa"/>
            <w:vAlign w:val="bottom"/>
          </w:tcPr>
          <w:p>
            <w:pPr>
              <w:jc w:val="center"/>
              <w:ind w:right="231"/>
              <w:spacing w:after="0"/>
              <w:rPr>
                <w:sz w:val="20"/>
                <w:szCs w:val="20"/>
                <w:color w:val="auto"/>
              </w:rPr>
            </w:pPr>
            <w:r>
              <w:rPr>
                <w:rFonts w:ascii="Arial" w:cs="Arial" w:eastAsia="Arial" w:hAnsi="Arial"/>
                <w:sz w:val="16"/>
                <w:szCs w:val="16"/>
                <w:b w:val="1"/>
                <w:bCs w:val="1"/>
                <w:color w:val="auto"/>
                <w:w w:val="94"/>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Common Stock</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Treasury Stock</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Paid-In</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w w:val="95"/>
              </w:rPr>
              <w:t>comprehensive</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12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00" w:type="dxa"/>
            <w:vAlign w:val="bottom"/>
          </w:tcPr>
          <w:p>
            <w:pPr>
              <w:spacing w:after="0"/>
              <w:rPr>
                <w:sz w:val="19"/>
                <w:szCs w:val="19"/>
                <w:color w:val="auto"/>
              </w:rPr>
            </w:pPr>
          </w:p>
        </w:tc>
        <w:tc>
          <w:tcPr>
            <w:tcW w:w="940" w:type="dxa"/>
            <w:vAlign w:val="bottom"/>
          </w:tcPr>
          <w:p>
            <w:pPr>
              <w:jc w:val="center"/>
              <w:ind w:right="231"/>
              <w:spacing w:after="0"/>
              <w:rPr>
                <w:sz w:val="20"/>
                <w:szCs w:val="20"/>
                <w:color w:val="auto"/>
              </w:rPr>
            </w:pPr>
            <w:r>
              <w:rPr>
                <w:rFonts w:ascii="Arial" w:cs="Arial" w:eastAsia="Arial" w:hAnsi="Arial"/>
                <w:sz w:val="16"/>
                <w:szCs w:val="16"/>
                <w:b w:val="1"/>
                <w:bCs w:val="1"/>
                <w:color w:val="auto"/>
                <w:w w:val="81"/>
              </w:rPr>
              <w:t>loss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2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22,654,444</w:t>
            </w: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$ 237,931</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87,153</w:t>
            </w:r>
          </w:p>
        </w:tc>
        <w:tc>
          <w:tcPr>
            <w:tcW w:w="0" w:type="dxa"/>
            <w:vAlign w:val="bottom"/>
          </w:tcPr>
          <w:p>
            <w:pPr>
              <w:spacing w:after="0"/>
              <w:rPr>
                <w:sz w:val="1"/>
                <w:szCs w:val="1"/>
                <w:color w:val="auto"/>
              </w:rPr>
            </w:pPr>
          </w:p>
        </w:tc>
      </w:tr>
      <w:tr>
        <w:trPr>
          <w:trHeight w:val="215"/>
        </w:trPr>
        <w:tc>
          <w:tcPr>
            <w:tcW w:w="3020" w:type="dxa"/>
            <w:vAlign w:val="bottom"/>
          </w:tcPr>
          <w:p>
            <w:pPr>
              <w:ind w:left="260"/>
              <w:spacing w:after="0"/>
              <w:rPr>
                <w:sz w:val="20"/>
                <w:szCs w:val="20"/>
                <w:color w:val="auto"/>
              </w:rPr>
            </w:pPr>
            <w:r>
              <w:rPr>
                <w:rFonts w:ascii="Arial" w:cs="Arial" w:eastAsia="Arial" w:hAnsi="Arial"/>
                <w:sz w:val="18"/>
                <w:szCs w:val="18"/>
                <w:color w:val="auto"/>
              </w:rPr>
              <w:t>Issuance of common stock under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36,472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awards</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102,221</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3020" w:type="dxa"/>
            <w:vAlign w:val="bottom"/>
          </w:tcPr>
          <w:p>
            <w:pPr>
              <w:ind w:left="260"/>
              <w:spacing w:after="0"/>
              <w:rPr>
                <w:sz w:val="20"/>
                <w:szCs w:val="20"/>
                <w:color w:val="auto"/>
              </w:rPr>
            </w:pPr>
            <w:r>
              <w:rPr>
                <w:rFonts w:ascii="Arial" w:cs="Arial" w:eastAsia="Arial" w:hAnsi="Arial"/>
                <w:sz w:val="18"/>
                <w:szCs w:val="18"/>
                <w:color w:val="auto"/>
                <w:w w:val="99"/>
              </w:rPr>
              <w:t>Repurchase of unvested restricted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rPr>
              <w:t>stock awards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8,787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Retirement of treasury shares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tcPr>
          <w:p>
            <w:pPr>
              <w:ind w:left="260"/>
              <w:spacing w:after="0"/>
              <w:rPr>
                <w:sz w:val="20"/>
                <w:szCs w:val="20"/>
                <w:color w:val="auto"/>
              </w:rPr>
            </w:pPr>
            <w:r>
              <w:rPr>
                <w:rFonts w:ascii="Arial" w:cs="Arial" w:eastAsia="Arial" w:hAnsi="Arial"/>
                <w:sz w:val="18"/>
                <w:szCs w:val="18"/>
                <w:color w:val="auto"/>
                <w:w w:val="94"/>
              </w:rPr>
              <w:t>Stock-based compensation expense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securities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0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(18,452)</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10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22,793,137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$ 239,914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70,631</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Balance at December 31, 2020</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vMerge w:val="continue"/>
          </w:tcPr>
          <w:p>
            <w:pPr>
              <w:spacing w:after="0"/>
              <w:rPr>
                <w:sz w:val="18"/>
                <w:szCs w:val="18"/>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9"/>
              </w:rPr>
              <w:t>27,941,566</w:t>
            </w:r>
          </w:p>
        </w:tc>
        <w:tc>
          <w:tcPr>
            <w:tcW w:w="8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$ 316,775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(221,620)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95,181</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connection with follow-on offering,</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issuance costs</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4,600,000</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47,402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47,407</w:t>
            </w:r>
          </w:p>
        </w:tc>
        <w:tc>
          <w:tcPr>
            <w:tcW w:w="0" w:type="dxa"/>
            <w:vAlign w:val="bottom"/>
          </w:tcPr>
          <w:p>
            <w:pPr>
              <w:spacing w:after="0"/>
              <w:rPr>
                <w:sz w:val="1"/>
                <w:szCs w:val="1"/>
                <w:color w:val="auto"/>
              </w:rPr>
            </w:pPr>
          </w:p>
        </w:tc>
      </w:tr>
      <w:tr>
        <w:trPr>
          <w:trHeight w:val="215"/>
        </w:trPr>
        <w:tc>
          <w:tcPr>
            <w:tcW w:w="3020" w:type="dxa"/>
            <w:vAlign w:val="bottom"/>
          </w:tcPr>
          <w:p>
            <w:pPr>
              <w:ind w:left="260"/>
              <w:spacing w:after="0"/>
              <w:rPr>
                <w:sz w:val="20"/>
                <w:szCs w:val="20"/>
                <w:color w:val="auto"/>
              </w:rPr>
            </w:pPr>
            <w:r>
              <w:rPr>
                <w:rFonts w:ascii="Arial" w:cs="Arial" w:eastAsia="Arial" w:hAnsi="Arial"/>
                <w:sz w:val="18"/>
                <w:szCs w:val="18"/>
                <w:color w:val="auto"/>
              </w:rPr>
              <w:t>Issuance of common stock under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11,888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awards</w:t>
            </w: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40,982</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3020" w:type="dxa"/>
            <w:vAlign w:val="bottom"/>
          </w:tcPr>
          <w:p>
            <w:pPr>
              <w:ind w:left="260"/>
              <w:spacing w:after="0"/>
              <w:rPr>
                <w:sz w:val="20"/>
                <w:szCs w:val="20"/>
                <w:color w:val="auto"/>
              </w:rPr>
            </w:pPr>
            <w:r>
              <w:rPr>
                <w:rFonts w:ascii="Arial" w:cs="Arial" w:eastAsia="Arial" w:hAnsi="Arial"/>
                <w:sz w:val="18"/>
                <w:szCs w:val="18"/>
                <w:color w:val="auto"/>
                <w:w w:val="99"/>
              </w:rPr>
              <w:t>Repurchase of unvested restricted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rPr>
              <w:t>stock awards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1,836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Retirement of treasury shares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w w:val="94"/>
              </w:rPr>
              <w:t>Stock-based compensation expense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5"/>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w:t>
            </w: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securities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0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23"/>
        </w:trPr>
        <w:tc>
          <w:tcPr>
            <w:tcW w:w="3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9"/>
              </w:rPr>
              <w:t>32,594,436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9"/>
              </w:rPr>
              <w:t>$ 366,344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127,754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jc w:val="center"/>
        <w:ind w:left="76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8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(16,999)</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(18,452)</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expense</w:t>
            </w:r>
          </w:p>
        </w:tc>
        <w:tc>
          <w:tcPr>
            <w:tcW w:w="9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2,073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9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9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Unbilled accounts receivable</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1,466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920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(4,258)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deferred lease incentive</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(16,226)</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(15,204)</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Purchases of marketable securities</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(55,837)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Maturities of marketable securities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15,674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Purchases of property and equipment</w:t>
            </w: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12,415</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(56,404)</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in connection with follow-on offering, net of issuance costs</w:t>
            </w:r>
          </w:p>
        </w:tc>
        <w:tc>
          <w:tcPr>
            <w:tcW w:w="9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47,424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Principal payments on capital lease obligations</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under benefit plans, net</w:t>
            </w:r>
          </w:p>
        </w:tc>
        <w:tc>
          <w:tcPr>
            <w:tcW w:w="9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47,504</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43,693</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(71,334)</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58,144</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97,805</w:t>
            </w: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101,837</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26,471</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Non-cash investing and financing activities:</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purchases unpaid at end of period</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6"/>
                <w:szCs w:val="16"/>
                <w:color w:val="auto"/>
              </w:rPr>
              <w:t>Public offering costs unpaid at end of period</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00" w:type="dxa"/>
            <w:vAlign w:val="bottom"/>
          </w:tcPr>
          <w:p>
            <w:pPr>
              <w:jc w:val="right"/>
              <w:ind w:right="523"/>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2020</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100,745</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25,379</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1,092</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101,837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26,471</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March 31, 2021 and the results of its operations and its cash flows for the three months ended March 31, 2021 and 2020. The results for the three months ended March 31, 2021 are not necessarily indicative of results to be expected for the year ending December 31, 2021, any other interim periods, or any future year or period. These consolidated financial statements should be read in conjunction with the Company’s audited consolidated financial statements and the notes thereto for the year ended December 31, 2020 included in the Company’s Annual Report on Form 10-K filed with the Securities and Exchange Commission (the “SEC”) on March 4, 2021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0" w:lineRule="exact"/>
        <w:rPr>
          <w:sz w:val="20"/>
          <w:szCs w:val="20"/>
          <w:color w:val="auto"/>
        </w:rPr>
      </w:pPr>
    </w:p>
    <w:p>
      <w:pPr>
        <w:ind w:right="300" w:firstLine="619"/>
        <w:spacing w:after="0" w:line="255"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March 31, 2021, the Company has issued and sold 550,000 shares under the ATM Offering, resulting in aggregate net proceeds of $5.7 million after deducting issuance costs of $0.2 million.</w:t>
      </w:r>
    </w:p>
    <w:p>
      <w:pPr>
        <w:spacing w:after="0" w:line="192" w:lineRule="exact"/>
        <w:rPr>
          <w:sz w:val="20"/>
          <w:szCs w:val="20"/>
          <w:color w:val="auto"/>
        </w:rPr>
      </w:pPr>
    </w:p>
    <w:p>
      <w:pPr>
        <w:jc w:val="both"/>
        <w:ind w:right="160" w:firstLine="619"/>
        <w:spacing w:after="0" w:line="263"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and MyoKardia, Inc. (“MyoKardia”), a wholly owned subsidiary of Bristol Myers Squibb Company. As of March 31, 2021, the Company had an accumulated deficit of $238.6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2020 included in the Company’s Annual Report on Form 10-K. There have been no material changes in the Company’s significant accounting policies during the three months ended March 31,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which permits entities to continue applying legacy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including its disclosure requirements, in the comparative periods presented in the year that the entity adopts the new leasing standard. In November 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2016-02, as amended.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March 31, 2021 and December 31,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8"/>
              </w:rPr>
              <w:t>Fair Value Measurements at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100,745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100,745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30,036</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30,036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143,856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100,745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43,111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57,052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23,339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32,523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55,862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months ended March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marketable securities consisted of the following as of March 31, 2021 and December 31, 2020 (in thousands):</w:t>
      </w:r>
    </w:p>
    <w:p>
      <w:pPr>
        <w:spacing w:after="0" w:line="257"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Fair Value Measurements at</w:t>
      </w:r>
    </w:p>
    <w:p>
      <w:pPr>
        <w:jc w:val="center"/>
        <w:ind w:left="5680"/>
        <w:spacing w:after="0" w:line="236" w:lineRule="auto"/>
        <w:rPr>
          <w:sz w:val="20"/>
          <w:szCs w:val="20"/>
          <w:color w:val="auto"/>
        </w:rPr>
      </w:pPr>
      <w:r>
        <w:rPr>
          <w:rFonts w:ascii="Arial" w:cs="Arial" w:eastAsia="Arial" w:hAnsi="Arial"/>
          <w:sz w:val="14"/>
          <w:szCs w:val="14"/>
          <w:b w:val="1"/>
          <w:bCs w:val="1"/>
          <w:color w:val="auto"/>
        </w:rPr>
        <w:t>March 31, 2021</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100,745</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100,745</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100,745</w:t>
            </w:r>
          </w:p>
        </w:tc>
        <w:tc>
          <w:tcPr>
            <w:tcW w:w="1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30,036</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43,111</w:t>
            </w:r>
          </w:p>
        </w:tc>
        <w:tc>
          <w:tcPr>
            <w:tcW w:w="1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143,860</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143,856</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Fair Value Measurements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112,916</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gridSpan w:val="2"/>
            <w:vMerge w:val="continue"/>
          </w:tcPr>
          <w:p>
            <w:pPr>
              <w:spacing w:after="0"/>
              <w:rPr>
                <w:sz w:val="19"/>
                <w:szCs w:val="19"/>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There were no sales of marketable securities during the three months ended March 31, 2021. As of March 31, 2021, the aggregate fair value of securities that were in an unrealized loss position for less than twelve months was $13.1 million.</w:t>
      </w:r>
    </w:p>
    <w:p>
      <w:pPr>
        <w:spacing w:after="0" w:line="170"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Company determined that it did not hold any securities with any other-than-temporary impairment as of March 31, 2021. As of March 31, 2021, the remaining contractual maturity of all of the Company’s marketable securities is less than one year. As of March 31, 2021, the Company did not intend to sell, and would not be more likely than not required to sell, the securities in an unrealized loss position before recovery of their amortized cost bases.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7,179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6,877</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6,210</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14,555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14,515</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7,834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8,397</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for the three months ended March 31, 2021 and 2020 was $0.6 million and $0.5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w w:val="92"/>
              </w:rPr>
              <w:t>Accrued expenses and other current liabilities consisted of the following (in thousands):</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5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Payroll and benefits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March 31, 2021 and December 31, 2020, 5,000,000 shares of undesignated preferred stock were authorized. No shares of preferred stock were issued or outstanding as of March 31, 2021 and December 31, 2020.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and December 31, 2020, 200,000,000 shares of common stock, $0.001 par value per share, were authorized.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jc w:val="both"/>
        <w:ind w:right="20" w:firstLine="510"/>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2021 and December 31, 2020, the Company has reserved for future issuance the following number of shares of common stock:</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16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4,206,984</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2,962,347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tcPr>
          <w:p>
            <w:pPr>
              <w:ind w:left="20"/>
              <w:spacing w:after="0"/>
              <w:rPr>
                <w:sz w:val="20"/>
                <w:szCs w:val="20"/>
                <w:color w:val="auto"/>
              </w:rPr>
            </w:pPr>
            <w:r>
              <w:rPr>
                <w:rFonts w:ascii="Arial" w:cs="Arial" w:eastAsia="Arial" w:hAnsi="Arial"/>
                <w:sz w:val="18"/>
                <w:szCs w:val="18"/>
                <w:color w:val="auto"/>
              </w:rPr>
              <w:t>Stock Incentive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1,596,623</w:t>
            </w:r>
          </w:p>
        </w:tc>
        <w:tc>
          <w:tcPr>
            <w:tcW w:w="140" w:type="dxa"/>
            <w:vAlign w:val="bottom"/>
          </w:tcPr>
          <w:p>
            <w:pPr>
              <w:spacing w:after="0"/>
              <w:rPr>
                <w:sz w:val="19"/>
                <w:szCs w:val="19"/>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1,728,616</w:t>
            </w:r>
          </w:p>
        </w:tc>
      </w:tr>
      <w:tr>
        <w:trPr>
          <w:trHeight w:val="215"/>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future issuance under the 2019</w:t>
            </w:r>
          </w:p>
        </w:tc>
        <w:tc>
          <w:tcPr>
            <w:tcW w:w="1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76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746,673</w:t>
            </w:r>
          </w:p>
        </w:tc>
        <w:tc>
          <w:tcPr>
            <w:tcW w:w="140" w:type="dxa"/>
            <w:vAlign w:val="bottom"/>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465,999</w:t>
            </w:r>
          </w:p>
        </w:tc>
      </w:tr>
      <w:tr>
        <w:trPr>
          <w:trHeight w:val="223"/>
        </w:trPr>
        <w:tc>
          <w:tcPr>
            <w:tcW w:w="3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6,550,280</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5,156,962</w:t>
            </w:r>
          </w:p>
        </w:tc>
      </w:tr>
      <w:tr>
        <w:trPr>
          <w:trHeight w:val="20"/>
        </w:trPr>
        <w:tc>
          <w:tcPr>
            <w:tcW w:w="3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March 31, 2021, no shares remained available for future issuance under the 2016 Plan. Any options or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will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On January 1, 2021, the number of shares reserved for issuance under the 2019 Plan was increased by 1,122,696 shares. As of March 31, 2021, there were 1,596,623 shares available for future issuance under the 2019 Plan.</w:t>
      </w:r>
    </w:p>
    <w:p>
      <w:pPr>
        <w:spacing w:after="0" w:line="178"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The following table summarizes the Company’s restricted stock activity under the 2019 Plan and 2016 Plan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1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82,978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Repurchased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2021</w:t>
            </w:r>
          </w:p>
        </w:tc>
        <w:tc>
          <w:tcPr>
            <w:tcW w:w="11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54,446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The following table summarizes the Company’s stock option activity under the 2019 Plan and 2016 Plan during the three months ended March 31, 2021:</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2,962,347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5,767,895</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1,372,002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5"/>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4,206,984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5,837,967</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42"/>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39"/>
              <w:spacing w:after="0"/>
              <w:rPr>
                <w:sz w:val="20"/>
                <w:szCs w:val="20"/>
                <w:color w:val="auto"/>
              </w:rPr>
            </w:pPr>
            <w:r>
              <w:rPr>
                <w:rFonts w:ascii="Arial" w:cs="Arial" w:eastAsia="Arial" w:hAnsi="Arial"/>
                <w:sz w:val="18"/>
                <w:szCs w:val="18"/>
                <w:color w:val="auto"/>
              </w:rPr>
              <w:t>2,625,987</w:t>
            </w: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1,012,716</w:t>
            </w: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weighted average grant date fair value of stock options granted in the three months ended March 31, 2021 was $8.85 per share. The weighted average grant date fair value of stock options granted in the three months ended March 31, 2020 was $11.06 per share. The total intrinsic value of stock options exercised during the three months ended March 31, 2021 was $0.1 million. The total intrinsic value of stock options exercised during the three months ended March 31, 2020 was $0.3 million. The fair value of stock options granted during the three months ended March 31, 2021 and 2020 under the 2019 Plan has been calculated on the date of grant using the following weighted average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Three Months</w:t>
            </w:r>
          </w:p>
        </w:tc>
        <w:tc>
          <w:tcPr>
            <w:tcW w:w="58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5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2021</w:t>
            </w: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March 31, 2020</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2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4800" w:type="dxa"/>
            <w:vAlign w:val="bottom"/>
            <w:gridSpan w:val="2"/>
            <w:shd w:val="clear" w:color="auto" w:fill="CFF0FC"/>
          </w:tcPr>
          <w:p>
            <w:pPr>
              <w:jc w:val="right"/>
              <w:ind w:right="124"/>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8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75.6%</w:t>
            </w:r>
          </w:p>
        </w:tc>
        <w:tc>
          <w:tcPr>
            <w:tcW w:w="58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40" w:type="dxa"/>
            <w:vAlign w:val="bottom"/>
          </w:tcPr>
          <w:p>
            <w:pPr>
              <w:jc w:val="right"/>
              <w:ind w:right="1590"/>
              <w:spacing w:after="0"/>
              <w:rPr>
                <w:sz w:val="20"/>
                <w:szCs w:val="20"/>
                <w:color w:val="auto"/>
              </w:rPr>
            </w:pPr>
            <w:r>
              <w:rPr>
                <w:rFonts w:ascii="Arial" w:cs="Arial" w:eastAsia="Arial" w:hAnsi="Arial"/>
                <w:sz w:val="18"/>
                <w:szCs w:val="18"/>
                <w:color w:val="auto"/>
              </w:rPr>
              <w:t>11</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Grants Outside of the 2016 Plan and the 2019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4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42,858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2021</w:t>
            </w:r>
          </w:p>
        </w:tc>
        <w:tc>
          <w:tcPr>
            <w:tcW w:w="14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28,572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three months ended March 31, 2021 and 2020 was $0.5 million and $1.6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43"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580" w:type="dxa"/>
        <w:tblCellMar>
          <w:top w:w="0" w:type="dxa"/>
          <w:left w:w="0" w:type="dxa"/>
          <w:bottom w:w="0" w:type="dxa"/>
          <w:right w:w="0" w:type="dxa"/>
        </w:tblCellMar>
      </w:tblPr>
      <w:tr>
        <w:trPr>
          <w:trHeight w:val="156"/>
        </w:trPr>
        <w:tc>
          <w:tcPr>
            <w:tcW w:w="494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935</w:t>
            </w: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758</w:t>
            </w: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2,073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1,693</w:t>
            </w:r>
          </w:p>
        </w:tc>
      </w:tr>
      <w:tr>
        <w:trPr>
          <w:trHeight w:val="20"/>
        </w:trPr>
        <w:tc>
          <w:tcPr>
            <w:tcW w:w="4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As of March 31, 2021, the Company had an aggregate of $25.3 million of unrecognized stock-based compensation expense, which is expected to be recognized over a weighted average period of 2.94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is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2021, the number of shares reserved for issuance under the 2019 ESPP was increased by 280,674 shares. As of March 31, 2021, there were 746,673 shares available for future issuance under the ESPP.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ind w:right="60" w:firstLine="510"/>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has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6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assessed the Acceleron Collaboration Agreement and concluded that it represents a contract with a customer within the scope of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ind w:right="20" w:firstLine="510"/>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remaining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225" w:lineRule="exact"/>
        <w:rPr>
          <w:sz w:val="20"/>
          <w:szCs w:val="20"/>
          <w:color w:val="auto"/>
        </w:rPr>
      </w:pPr>
    </w:p>
    <w:p>
      <w:pPr>
        <w:jc w:val="both"/>
        <w:ind w:right="820" w:firstLine="510"/>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2021.</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During the three months ended March 31, 2021, the Company recognized $2.6 million of collaboration revenue associated with the Acceleron Collaboration Agreement, which includes $2.1 million of revenue recognized that was included in deferred revenue as of December 31, 2020. During the three months ended March 31, 2020, the Company recognized $0.8 million of collaboration revenue under the Acceleron Collaboration Agreement. As of March 31, 2021 and December 31, 2020, the Company recorded deferred revenue of $5.8 million and $7.9 million, respectively, associated with the Acceleron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March 31, 2021 and December 31, 2020, respectively. As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spacing w:after="0" w:line="253" w:lineRule="auto"/>
        <w:rPr>
          <w:sz w:val="20"/>
          <w:szCs w:val="20"/>
          <w:color w:val="auto"/>
        </w:rPr>
      </w:pPr>
      <w:r>
        <w:rPr>
          <w:rFonts w:ascii="Arial" w:cs="Arial" w:eastAsia="Arial" w:hAnsi="Arial"/>
          <w:sz w:val="18"/>
          <w:szCs w:val="18"/>
          <w:color w:val="auto"/>
        </w:rPr>
        <w:t>March 31, 2021, the Company had received $2.2 million of cost reimbursement payments under the Acceleron Collaboration Agreement and $2.0 million associated with the achievement of specified research milestones. As of December 31, 2020, the Company had received $1.7 million of cost reimbursement payments, and no milestone or royalty payments under the Acceleron Collaboration Agreement. As of March 31, 2021, the Company had recorded no accounts receivable under the Acceleron Collaboration Agreement. As of December 31, 2020, the Company recorded accounts receivable of $2.0 million associated with the achievement of specified research milestones in December 2020. As of March 31, 2021, the Company recorded unbilled accounts receivable of $0.5 million related to reimbursable research and development costs under the Acceleron Collaboration Agreement for activities performed during the three months ended March 31, 2021. As of December 31, 2020, the Company recorded unbilled accounts receivable of $0.5 million related to reimbursable research and development costs under the Acceleron Collaboration Agreement for activities performed during the three months ended December 31, 2020.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9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jc w:val="both"/>
        <w:ind w:right="840" w:firstLine="510"/>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months ended March 31, 2021.</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During the three months ended March 31, 2021, the Company recognized $2.2 million of collaboration revenue associated with the MyoKardia Collaboration Agreement, all of which was included in deferred revenue as of December 31, 2020. During the three months ended March 31, 2020, the Company did not recognize any revenue under the MyoKardia Collaboration Agreement as it had not yet entered into the MyoKardia Collaboration Agreement. As of March 31, 2021, the Company recorded deferred revenue of $7.8 million associated with the MyoKardia Collaboration Agreement, which is classified as either current or net of current portion in the accompanying consolidated balance sheets based on the period over which the revenue is expected to be recognized. As of December 31, 2020, the Company recorded $10.0 million of deferred revenue associated with the MyoKardia Collaboration Agreement. The aggregate deferred revenue balance represents the aggregate amount of the transaction price allocated to the performance obligations that are unsatisfied as of March 31, 2021. As of March 31, 2021, the Company had not received any milestone, royalty, or cost reimbursement payments under the MyoKardia Collaboration Agreement, other than the $2.5 million payment as prepaid research funding in July 2020. As of March 31, 2021, the Company has recorded no accounts receivable related to reimbursable MyoKardia Research Services costs under the MyoKardia Collaboration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Under the GSK Agreement, the Company issued 12,500,000 shares of Series B Preferred Stock to GSK. In addition, the Company may owe GSK up to $37.5 million in certain specified clinical and regulatory milestones, including $2.5 million previously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76"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w:t>
      </w:r>
    </w:p>
    <w:p>
      <w:pPr>
        <w:spacing w:after="0" w:line="1"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March 31, 2021 and December 31, 2020. Rent expense associated with this lease for each of the three months ended March 31, 2021 and 2020 was approximately $0.5 million.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460" w:firstLine="510"/>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March 31, 2021, are as follows (in thousands):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(1)</w:t>
            </w: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2024</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18,883</w:t>
            </w: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are for the nine months ending December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2021,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2021 or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2021 and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229"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02" w:lineRule="exact"/>
        <w:rPr>
          <w:sz w:val="20"/>
          <w:szCs w:val="20"/>
          <w:color w:val="auto"/>
        </w:rPr>
      </w:pPr>
    </w:p>
    <w:p>
      <w:pPr>
        <w:jc w:val="center"/>
        <w:ind w:left="4320"/>
        <w:spacing w:after="0"/>
        <w:rPr>
          <w:sz w:val="20"/>
          <w:szCs w:val="20"/>
          <w:color w:val="auto"/>
        </w:rPr>
      </w:pPr>
      <w:r>
        <w:rPr>
          <w:rFonts w:ascii="Arial" w:cs="Arial" w:eastAsia="Arial" w:hAnsi="Arial"/>
          <w:sz w:val="14"/>
          <w:szCs w:val="14"/>
          <w:b w:val="1"/>
          <w:bCs w:val="1"/>
          <w:color w:val="auto"/>
        </w:rPr>
        <w:t>Three Months Ended</w:t>
      </w:r>
    </w:p>
    <w:p>
      <w:pPr>
        <w:jc w:val="center"/>
        <w:ind w:left="4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5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2020</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4,206,984</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2,832,467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2980" w:type="dxa"/>
            <w:vAlign w:val="bottom"/>
            <w:gridSpan w:val="2"/>
          </w:tcPr>
          <w:p>
            <w:pPr>
              <w:jc w:val="right"/>
              <w:ind w:right="16"/>
              <w:spacing w:after="0"/>
              <w:rPr>
                <w:sz w:val="20"/>
                <w:szCs w:val="20"/>
                <w:color w:val="auto"/>
              </w:rPr>
            </w:pPr>
            <w:r>
              <w:rPr>
                <w:rFonts w:ascii="Arial" w:cs="Arial" w:eastAsia="Arial" w:hAnsi="Arial"/>
                <w:sz w:val="18"/>
                <w:szCs w:val="18"/>
                <w:color w:val="auto"/>
              </w:rPr>
              <w:t>83,018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570,062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4,290,002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3,402,529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00" w:type="dxa"/>
            <w:vAlign w:val="bottom"/>
            <w:vMerge w:val="restart"/>
          </w:tcPr>
          <w:p>
            <w:pPr>
              <w:jc w:val="right"/>
              <w:ind w:right="290"/>
              <w:spacing w:after="0"/>
              <w:rPr>
                <w:sz w:val="20"/>
                <w:szCs w:val="20"/>
                <w:color w:val="auto"/>
              </w:rPr>
            </w:pPr>
            <w:r>
              <w:rPr>
                <w:rFonts w:ascii="Arial" w:cs="Arial" w:eastAsia="Arial" w:hAnsi="Arial"/>
                <w:sz w:val="18"/>
                <w:szCs w:val="18"/>
                <w:color w:val="auto"/>
              </w:rPr>
              <w:t>18</w:t>
            </w: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or SEC, on March 4,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expect to present full data from ReDUX4 at the virtual FSHD International Research Congress taking place June 24-25, 2021.</w:t>
      </w:r>
    </w:p>
    <w:p>
      <w:pPr>
        <w:spacing w:after="0" w:line="178"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the fourth quarter of 2020, we initiated a Phase 1 clinical trial of FTX-6058, our product candidate for certain hemoglobinopathies and a novel upregulator of fetal hemoglobin, to evaluate the safety, tolerability and pharmacokinetics of FTX-6058 in healthy volunteers. We expect to present data from the Phase 1 clinical trial in mid-2021. In addition, we anticipate initiating a clinical trial of FTX-6058 in patients with SCD in the second half of 2021.</w:t>
      </w:r>
    </w:p>
    <w:p>
      <w:pPr>
        <w:spacing w:after="0" w:line="14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 March 2021, we announced the discontinuation of our Phase 3, randomized, double-blind, placebo-controlled trial of losmapimod in higher risk hospitalized adults with COVID-19 following a strategic review.</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“at-the-market” offerings, or the ATM Offering, through issuances of convertible preferred stock, and from upfront payments received under our collaboration and license agreements.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which includes 600,000 shares issued upon the exercise in full by the underwriters of their option to purchase additional shares at the public offering price, less underwriting discounts and commissions. The net proceeds of the offering were $47.4 million, after deducting underwriting discounts and commissions and offering expenses.</w:t>
      </w:r>
    </w:p>
    <w:p>
      <w:pPr>
        <w:spacing w:after="0" w:line="187"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$17.0 million for the three months ended March 31, 2021 and</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$18.5 million for the three months ended March 31, 2020. As of March 31, 2021, we had an accumulated deficit of $238.6 million. We expect our expenses and operating losses will increase substantially over the next several years in connection with our ongoing activities, as we:</w:t>
      </w:r>
    </w:p>
    <w:p>
      <w:pPr>
        <w:spacing w:after="0" w:line="77" w:lineRule="exact"/>
        <w:rPr>
          <w:sz w:val="20"/>
          <w:szCs w:val="20"/>
          <w:color w:val="auto"/>
        </w:rPr>
      </w:pPr>
    </w:p>
    <w:p>
      <w:pPr>
        <w:ind w:left="880" w:right="28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FSHD;</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clinical trial of FTX-6058 in patients with SCD;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44"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44"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As of March 31, 2021, we had $143.9 million in cash, cash equivalents, and marketable securities. We believe that our existing cash, cash equivalents, and marketable securities as of March 31, 2021 will enable us to fund our operating expenses and capital expenditure requirements into the fourth quarter of 2022.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9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In December 2020, we achieved $2.0 million of specified research milestones associated with the Acceleron Collaboration Agreement.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60" w:firstLine="510"/>
        <w:spacing w:after="0" w:line="277" w:lineRule="auto"/>
        <w:rPr>
          <w:sz w:val="20"/>
          <w:szCs w:val="20"/>
          <w:color w:val="auto"/>
        </w:rPr>
      </w:pPr>
      <w:r>
        <w:rPr>
          <w:rFonts w:ascii="Arial" w:cs="Arial" w:eastAsia="Arial" w:hAnsi="Arial"/>
          <w:sz w:val="17"/>
          <w:szCs w:val="17"/>
          <w:color w:val="auto"/>
        </w:rPr>
        <w:t>For the three months ended March 31, 2021 and 2020, we recognized $2.6 million and $0.8 million, respectively, of collaboration revenue under the Acceleron Collaboration Agreement. As of March 31, 2021 and December 31, 2020, we have recorded $5.8 million and $7.9 million, respectively, of deferred revenue associated with the Acceleron Collaboration Agreement, which is classified as either current or net of current portion in our consolidated balance sheets based on the period over which the revenue is expected to be recognized. As of March 31, 2021, we had received $2.2 million of cost reimbursement payments, $2.0 million of milestone payments, and no royalty payments under the Acceleron Collaboration Agreement. As of March 31, 2021, we recorded unbilled accounts receivable of $0.5 million related to reimbursable research and development costs under the Acceleron Collaboration Agreement for activities performed during the three months ended March 31, 2021.</w:t>
      </w:r>
    </w:p>
    <w:p>
      <w:pPr>
        <w:spacing w:after="0" w:line="1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78"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60" w:firstLine="510"/>
        <w:spacing w:after="0" w:line="276" w:lineRule="auto"/>
        <w:rPr>
          <w:sz w:val="20"/>
          <w:szCs w:val="20"/>
          <w:color w:val="auto"/>
        </w:rPr>
      </w:pPr>
      <w:r>
        <w:rPr>
          <w:rFonts w:ascii="Arial" w:cs="Arial" w:eastAsia="Arial" w:hAnsi="Arial"/>
          <w:sz w:val="17"/>
          <w:szCs w:val="17"/>
          <w:color w:val="auto"/>
        </w:rPr>
        <w:t>For the three months ended March 31, 2021, we recognized $2.2 million of collaboration revenue under the MyoKardia Collaboration Agreement. For the three months ended March 31, 2020, we did not recognize any collaboration revenue in connection with this arrangement as we had not yet entered into the MyoKardia Collaboration Agreement. As of March 31, 2021 and December 31, 2020, we have recorded $7.8 million and $10.0 million, respectively, of deferred revenue associated with the MyoKardia Collaboration Agreement, which is classified as either current or net of current portion in our consolidated balance sheets based on the period over which the revenue is expected to be recognized. As of March 31, 2021, we had received no cost reimbursement payments and no milestone or royalty payments under the MyoKardia Collaboration Agreement, other than the $2.5 million payment as prepaid research funding in July 2020. As of March 31, 2021, we recorded no accounts receivable related to reimbursable research and development costs under the MyoKardia Collaboration Agreement.</w:t>
      </w:r>
    </w:p>
    <w:p>
      <w:pPr>
        <w:spacing w:after="0" w:line="173" w:lineRule="exact"/>
        <w:rPr>
          <w:sz w:val="20"/>
          <w:szCs w:val="20"/>
          <w:color w:val="auto"/>
        </w:rPr>
      </w:pPr>
    </w:p>
    <w:p>
      <w:pPr>
        <w:jc w:val="both"/>
        <w:ind w:right="60" w:firstLine="510"/>
        <w:spacing w:after="0" w:line="296" w:lineRule="auto"/>
        <w:rPr>
          <w:sz w:val="20"/>
          <w:szCs w:val="20"/>
          <w:color w:val="auto"/>
        </w:rPr>
      </w:pPr>
      <w:r>
        <w:rPr>
          <w:rFonts w:ascii="Arial" w:cs="Arial" w:eastAsia="Arial" w:hAnsi="Arial"/>
          <w:sz w:val="16"/>
          <w:szCs w:val="16"/>
          <w:color w:val="auto"/>
        </w:rPr>
        <w:t>In the future, we will recognize additional revenue associated with the $10.0 million upfront payment as we satisfy our performance obligation, and from reimbursement of costs incurred under the MyoKardia Collaboration Agreement, including the $2.5 million prepaid research funding payment.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6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880" w:right="7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three months ended March 31, 2021 and 2020. Pre-development candidate expenses, unallocated expenses and internal research and development expenses are classified separately.</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6,196</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2,209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1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3,819</w:t>
            </w: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16,334</w:t>
            </w: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44"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5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summarizes our results of operations for the three months ended March 31, 2021 and 2020, along with the changes in those items in dollars: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4,789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16,334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14,482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21,832</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19,546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Collaboration revenue increased by $4.0 million from $0.8 million for the three months ended March 31, 2020 to $4.8 million for the three months ended March 31, 2021.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three months ended March 31, 2021, we recognized $2.6 million of collaboration revenue under the Acceleron Collaboration Agreement. For the three months ended March 31, 2020, we recognized $0.8 million of collaboration revenue under the Acceleron Collaboration Agreement. For the three months ended March 31, 2021, we recognized $2.2 million of collaboration revenue under the MyoKardia Collaboration Agreement. For the three months ended March 31, 2020, we did not recognize any collaboration revenue as we had not yet entered into the MyoKardia Collaboration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March 31, 2021 and 2020:</w:t>
      </w:r>
    </w:p>
    <w:p>
      <w:pPr>
        <w:spacing w:after="0" w:line="200" w:lineRule="exact"/>
        <w:rPr>
          <w:sz w:val="20"/>
          <w:szCs w:val="20"/>
          <w:color w:val="auto"/>
        </w:rPr>
      </w:pP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Facility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Research and development expense increased by $1.8 million from $14.5 million for the three months ended March 31, 2020 to $16.3 million for the three months ended March 31, 2021. The increase in research and development expense was primarily attributable to the following:</w:t>
      </w:r>
    </w:p>
    <w:p>
      <w:pPr>
        <w:spacing w:after="0" w:line="38" w:lineRule="exact"/>
        <w:rPr>
          <w:sz w:val="20"/>
          <w:szCs w:val="20"/>
          <w:color w:val="auto"/>
        </w:rPr>
      </w:pPr>
    </w:p>
    <w:p>
      <w:pPr>
        <w:ind w:left="880" w:hanging="373"/>
        <w:spacing w:after="0" w:line="311"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$1.7 million in increased external research and development costs, primarily relating to our ongoing Phase 2b and Phase 2 open label clinical trials of losmapimod for the treatment of FSHD and our discontinued Phase 3 clinical trial of losmapimod for the treatment of COVID-19, as well as our Phase 1 clinical trial of FTX-6058 in healthy adult volunteers and our planned clinical trial of FTX-6058 in patients with SCD; and</w:t>
      </w:r>
    </w:p>
    <w:p>
      <w:pPr>
        <w:spacing w:after="0" w:line="40" w:lineRule="exact"/>
        <w:rPr>
          <w:rFonts w:ascii="Arial" w:cs="Arial" w:eastAsia="Arial" w:hAnsi="Arial"/>
          <w:sz w:val="16"/>
          <w:szCs w:val="16"/>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in increased laboratory supplies costs, partially offset by a $0.2 million decrease in other costs.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March 31, 2021 and 2020:</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Employee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General and administrative expenses increased by $0.4 million from $5.1 million for the three months ended March 31, 2020 to $5.5 million for the three months ended March 31, 2021. The increase in general and administrative expenses was primarily attributable to the following:</w:t>
      </w:r>
    </w:p>
    <w:p>
      <w:pPr>
        <w:spacing w:after="0" w:line="38" w:lineRule="exact"/>
        <w:rPr>
          <w:sz w:val="20"/>
          <w:szCs w:val="20"/>
          <w:color w:val="auto"/>
        </w:rPr>
      </w:pPr>
    </w:p>
    <w:p>
      <w:pPr>
        <w:ind w:left="880" w:right="16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$0.3 million in increased employee compensation costs, including stock-based compensation expense, primarily due to increased general and administrative headcount to support the growth of our organization;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$0.1 million in increased professional services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Other income, net decreased by $0.3 million from $0.3 million for the three months ended March 31, 2020 to less than $0.1 million for the three months ended March 31, 2021. The decrease in other income, net was primarily attributable to a decrease in investment income on our cash, cash equivalents, and marketable securities as a result of an overall decreased rate of return.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March 31, 2021, we have funded our operations primarily with aggregate gross proceeds of $357.0 million from the sale of shares of our common stock in public offerings, a private placement, and the ATM Offering, through issuances of convertible preferred stock, and from upfront payments received under our collaboration and license agreements. As of March 31, 2021, we had cash, cash equivalents, and marketable securities of $143.9 million.</w:t>
      </w:r>
    </w:p>
    <w:p>
      <w:pPr>
        <w:spacing w:after="0" w:line="178"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On July 22, 2019, we completed an IPO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net proceeds of $64.2 million, after deducting offering costs.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December 2019, we received a $10.0 million upfront payment upon execution of the Acceleron Collaboration Agreement and in January 2021 we received $2.0 million in specified research milestones under the Acceleron Collaboration Agreement. In July 2020, we received a $10.0 million upfront payment and a $2.5 million payment as prepaid research funding under the MyoKardia Collaboration Agreement.</w:t>
      </w:r>
    </w:p>
    <w:p>
      <w:pPr>
        <w:spacing w:after="0" w:line="16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On August 11, 2020, we filed a shelf registration statement on Form S-3 with the SEC, which was declared effective on August 17, 2020, or the Shelf Registration Statement. Under the Shelf Registration Statement, we may offer and sell up to $250.0 million of a variety of securities including common stock, preferred stock, warrants, depositary shares, debt securities or units during the three-year period that commenced upon the Shelf Registration Statement becoming effective. In connection with the filing of the Shelf Registration Statement, we entered into an Equity Distribution Agreement with Piper Sandler &amp; Co., or Piper Sandler, as sales agent, pursuant to which we may offer and sell shares of our common stock with an aggregate offering price of up to $75.0 million under the ATM Offering. As of March 31, 2021, we have issued and sold 550,000 shares of common stock under the ATM Offering, resulting in net proceeds of $5.7 million after deducting offering costs.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0" w:name="page31"/>
    <w:bookmarkEnd w:id="30"/>
    <w:p>
      <w:pPr>
        <w:ind w:right="480" w:firstLine="510"/>
        <w:spacing w:after="0" w:line="263" w:lineRule="auto"/>
        <w:rPr>
          <w:sz w:val="20"/>
          <w:szCs w:val="20"/>
          <w:color w:val="auto"/>
        </w:rPr>
      </w:pPr>
      <w:r>
        <w:rPr>
          <w:rFonts w:ascii="Arial" w:cs="Arial" w:eastAsia="Arial" w:hAnsi="Arial"/>
          <w:sz w:val="18"/>
          <w:szCs w:val="18"/>
          <w:color w:val="auto"/>
        </w:rPr>
        <w:t>On January 22, 2021, we completed a public offering of our common stock and issued and sold 4,600,000 shares of common stock at a public offering price of $11.00 per share, resulting in net proceeds of $47.4 million after deducting underwriting discounts and commissions and offering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2021 and 2020:</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(15,204)</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12,415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(56,404)</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47,504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274</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43,693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(71,334)</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Net cash used in operating activities was $16.2 million during the three months ended March 31, 2021 compared to net cash used in operating activities of $15.2 million during the three months ended March 31, 2020. The increase in net cash used in operating activities of $1.0 million was primarily due to increased external research and development costs as we continue to advance our lead programs, increased employee compensation costs, and increased general and administrative costs associated with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Net cash provided by investing activities was $12.4 million during the three months ended March 31, 2021 compared to net cash used in investing activities of $56.4 million during the three months ended March 31, 2020. The increase in net cash provided by investing activities of $68.8 million was primarily due to higher net maturities of marketable securities during the three months ended March 31, 2021, as compared to net purchases of marketable securities during the three months ended March 31,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Net cash provided by financing activities was $47.5 million during the three months ended March 31, 2021 compared to net cash provided by financing activities of $0.3 million during the three months ended March 31, 2020. Net cash provided by financing activities during the three months ended March 31, 2021 primarily consisted of net proceeds of approximately $47.4 million from the completion of the public offering of our common stock in January 2021. Net cash provided by financing activities during the three months ended March 31, 2020 primarily consisted of net proceeds of approximately $0.3 million from the issuance of common stock under our benefit plans.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March 31, 2021, will enable us to fund our operating expenses and capital expenditure requirements into the fourth quarter of 2022. However, we have based this estimate on assumptions that may prove to be wrong and we could exhaust our capital resources sooner than we expect.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jc w:val="both"/>
        <w:ind w:left="880" w:right="300" w:hanging="373"/>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1 clinical trial of FTX-6058 in healthy adult volunteers and our planned clinical trial of FTX-6058 for the treatment of SCD;</w:t>
      </w:r>
    </w:p>
    <w:p>
      <w:pPr>
        <w:spacing w:after="0" w:line="15" w:lineRule="exact"/>
        <w:rPr>
          <w:rFonts w:ascii="Arial" w:cs="Arial" w:eastAsia="Arial" w:hAnsi="Arial"/>
          <w:sz w:val="16"/>
          <w:szCs w:val="16"/>
          <w:color w:val="auto"/>
        </w:rPr>
      </w:pPr>
    </w:p>
    <w:p>
      <w:pPr>
        <w:ind w:left="880" w:right="5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44"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44" w:lineRule="exact"/>
        <w:rPr>
          <w:rFonts w:ascii="Arial" w:cs="Arial" w:eastAsia="Arial" w:hAnsi="Arial"/>
          <w:sz w:val="18"/>
          <w:szCs w:val="18"/>
          <w:color w:val="auto"/>
        </w:rPr>
      </w:pPr>
    </w:p>
    <w:p>
      <w:pPr>
        <w:ind w:left="880" w:right="6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4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67"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During the three months ended March 31, 2021, there have been no material changes to our contractual obligations and commitments outside the ordinary course of business from those described under the heading “Management’s Discussion and Analysis of Financial Condition and Results of Operations – Contractual Obligations” in our Annual Report on Form 10-K filed with the SEC on March 4,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March 31, 2021, there were no material changes to our critical accounting policies from those described in our Annual Report on Form 10-K filed with the SEC on March 4,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March 31, 2021, we had cash, cash equivalents, and marketable securities of $143.9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1"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2021, we had minimal or no liabilities denominated in foreign currencies.</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2021 and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Vice President, Finance and Accounting (our principal executive officer and principal financial officer, respectively), evaluated the effectiveness of our disclosure controls and procedures as of March 31,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2021, our Chief Executive Officer and Vice President, Finance and Accounting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Since inception, we have incurred significant operating losses. Our net loss was $70.8 million for the year ended December 31, 2020 and $17.0 million for the three months ended March 31, 2021. As of March 31, 2021, we had an accumulated deficit of $238.6 million. To date, we have funded our operations primarily from the sale of shares of our common stock in public offerings, a private placement, and in “at-the-market” offerings,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0" w:lineRule="exact"/>
        <w:rPr>
          <w:sz w:val="20"/>
          <w:szCs w:val="20"/>
          <w:color w:val="auto"/>
        </w:rPr>
      </w:pPr>
    </w:p>
    <w:p>
      <w:pPr>
        <w:ind w:left="880" w:right="2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facioscapulohumeral muscular dystrophy, or FSHD;</w:t>
      </w:r>
    </w:p>
    <w:p>
      <w:pPr>
        <w:spacing w:after="0" w:line="62"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clinical trial of FTX-6058 in patients with SCD;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the discovery of drug targets for other rare diseases and the subsequent development of any resulting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300" w:hanging="373"/>
        <w:spacing w:after="0" w:line="308"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160" w:firstLine="510"/>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880" w:right="36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for the treatment of FSHD, continue our Phase 1 clinical trial of FTX-6058 in healthy adult volunteers, prepare for our planned clinical trial of FTX-6058 in patients with SCD,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jc w:val="both"/>
        <w:ind w:left="880" w:right="280" w:hanging="373"/>
        <w:spacing w:after="0" w:line="342"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1 clinical trial of FTX-6058 in healthy adult volunteers and our planned clinical trial of FTX-6058 for the treatment of SCD;</w:t>
      </w:r>
    </w:p>
    <w:p>
      <w:pPr>
        <w:spacing w:after="0" w:line="15" w:lineRule="exact"/>
        <w:rPr>
          <w:rFonts w:ascii="Arial" w:cs="Arial" w:eastAsia="Arial" w:hAnsi="Arial"/>
          <w:sz w:val="16"/>
          <w:szCs w:val="16"/>
          <w:color w:val="auto"/>
        </w:rPr>
      </w:pPr>
    </w:p>
    <w:p>
      <w:pPr>
        <w:ind w:left="880" w:right="5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880" w:hanging="373"/>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880" w:right="8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As of March 31, 2021, we had cash, cash equivalents, and marketable securities of approximately $143.9 million. We believe that our cash, cash equivalents, and marketable securities as of March 31, 2021 will enable us to fund our operating expenses and capital expenditure requirements into the fourth quarter of 2022.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5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ind w:firstLine="510"/>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light of the COVID-19 pandemic, 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Phase 2b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68" w:lineRule="exact"/>
        <w:rPr>
          <w:sz w:val="20"/>
          <w:szCs w:val="20"/>
          <w:color w:val="auto"/>
        </w:rPr>
      </w:pPr>
    </w:p>
    <w:p>
      <w:pPr>
        <w:ind w:right="220" w:firstLine="510"/>
        <w:spacing w:after="0" w:line="290" w:lineRule="auto"/>
        <w:rPr>
          <w:sz w:val="20"/>
          <w:szCs w:val="20"/>
          <w:color w:val="auto"/>
        </w:rPr>
      </w:pPr>
      <w:r>
        <w:rPr>
          <w:rFonts w:ascii="Arial" w:cs="Arial" w:eastAsia="Arial" w:hAnsi="Arial"/>
          <w:sz w:val="16"/>
          <w:szCs w:val="16"/>
          <w:color w:val="auto"/>
        </w:rPr>
        <w:t>Additionally, the impact of the COVID-19 outbreak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COVID-19 pandemic.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pandemic has on the ability of our CROs to deliver data sets and execute on experimentation could cause substantial delays for our discovery activities and materially impact our ability to fuel our pipeline with new product candidates.</w:t>
      </w:r>
    </w:p>
    <w:p>
      <w:pPr>
        <w:spacing w:after="0" w:line="16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Recent changes in tax law may adversely affect our business or financial condition. On December 22, 2017, the U.S. government enacted the Tax Cuts and Jobs Act, or the TCJA,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6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As part of Congress’ response to the COVID-19 pandemic, the Families First Coronavirus Response Act, or FFCR Act, was enacted on March 18, 2020, the CARES Act was enacted on March 27, 2020 and COVID-19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0" w:firstLine="510"/>
        <w:spacing w:after="0" w:line="275" w:lineRule="auto"/>
        <w:rPr>
          <w:sz w:val="20"/>
          <w:szCs w:val="20"/>
          <w:color w:val="auto"/>
        </w:rPr>
      </w:pPr>
      <w:r>
        <w:rPr>
          <w:rFonts w:ascii="Arial" w:cs="Arial" w:eastAsia="Arial" w:hAnsi="Arial"/>
          <w:sz w:val="17"/>
          <w:szCs w:val="17"/>
          <w:color w:val="auto"/>
        </w:rPr>
        <w:t>Regulatory guidance under the TCJA, the FFCR Act, the CARES Act and the CAA is and continues to be forthcoming, and such guidance could ultimately increase or lessen impact of these laws on our business and financial condition. It is also possible that Congress will enact additional legislation in connection with the COVID-19 pandemic, and as a result of the changes in the U.S. presidential administration and control of the U.S. Senate, additional tax legislation may also be enacted; any such additional legislation could have an impact on our company. In addition, it is uncertain if and to what extent various states will conform to the TCJA, the FFCR Act, the CARES Act and the CAA.</w:t>
      </w:r>
    </w:p>
    <w:p>
      <w:pPr>
        <w:spacing w:after="0" w:line="2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As of December 31, 2020, we had federal and state net operating loss carryforwards of $170.7 million and $170.2 million, respectively, which begin to expire in 2035. Approximately $139.7 million of the federal net operating losses can be carried forward indefinitely. As of December 31, 2020, we also had federal orphan drug credits of $3.0 million, which begin to expire in 2040. As of December 31, 2020, we also had federal and state research and development tax credit carryforwards of $4.6 million and $2.8 million, respectively, which begin to expire in 2035 and 2030, respectively. These net operating loss and tax credit carryforwards could expire unused and be unavailable to offset future income tax liabilities.</w:t>
      </w:r>
    </w:p>
    <w:p>
      <w:pPr>
        <w:spacing w:after="0" w:line="176"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FTX-6058 in healthy adult volunteers.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4"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investigational new drug applications, or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880" w:right="10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3"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0" w:name="page41"/>
    <w:bookmarkEnd w:id="40"/>
    <w:p>
      <w:pPr>
        <w:ind w:firstLine="510"/>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have entered into a right of reference and license agreement, or the GSK Agreement, as amended,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880" w:right="2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880" w:right="40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880" w:right="14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880" w:right="160" w:hanging="373"/>
        <w:spacing w:after="0" w:line="30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880" w:right="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880" w:right="460" w:hanging="373"/>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880" w:right="2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44" w:lineRule="exact"/>
        <w:rPr>
          <w:rFonts w:ascii="Arial" w:cs="Arial" w:eastAsia="Arial" w:hAnsi="Arial"/>
          <w:sz w:val="18"/>
          <w:szCs w:val="18"/>
          <w:color w:val="auto"/>
        </w:rPr>
      </w:pPr>
    </w:p>
    <w:p>
      <w:pPr>
        <w:ind w:left="880" w:right="7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880" w:right="120" w:hanging="373"/>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For example, in the wake of COVID-19, the clinical trial sites for our Phase 2b clinical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firstLine="510"/>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300" w:firstLine="510"/>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5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firstLine="510"/>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8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24"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5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18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We are currently conducting Phase 2b and Phase 2 open label clinical trials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5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4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80" w:right="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46" w:name="page47"/>
    <w:bookmarkEnd w:id="46"/>
    <w:p>
      <w:pPr>
        <w:ind w:firstLine="510"/>
        <w:spacing w:after="0" w:line="271" w:lineRule="auto"/>
        <w:rPr>
          <w:sz w:val="20"/>
          <w:szCs w:val="20"/>
          <w:color w:val="auto"/>
        </w:rPr>
      </w:pPr>
      <w:r>
        <w:rPr>
          <w:rFonts w:ascii="Arial" w:cs="Arial" w:eastAsia="Arial" w:hAnsi="Arial"/>
          <w:sz w:val="17"/>
          <w:szCs w:val="17"/>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Agios Pharmaceuticals, Inc., Forma Therapeutics Holdings, Inc., Takeda Pharmaceutical Company Limited, Pfizer, Inc., CSL Behring, Intellia Therapeutics, Inc., Editas Medicine, Inc., Sangamo Therapeutics Inc., or Sangamo (in collaboration with Bioverativ Inc.) and CRISPR Therapeutics AG (in collaboration with Vertex Pharmaceuticals, Inc.) are developing therapeutic approaches for patients with sickle cell disease, or SCD. Acceleron (in collaboration with Celgene Corp.), Bellicum Pharmaceuticals, Inc., Kiadis Pharma, Imara Inc., Agios Pharmaceuticals, Inc., Forma Therapeutics Holdings, Inc., Ionis Pharmaceuticals, Inc., Orchard Therapeutics plc, Sangamo (in collaboration with Bioverativ, Inc.) and CRISPR Therapeutics AG (in collaboration with Vertex Pharmaceuticals, Inc.) are developing therapeutic approaches for patients with ß-thalassemia.</w:t>
      </w:r>
    </w:p>
    <w:p>
      <w:pPr>
        <w:spacing w:after="0" w:line="178" w:lineRule="exact"/>
        <w:rPr>
          <w:sz w:val="20"/>
          <w:szCs w:val="20"/>
          <w:color w:val="auto"/>
        </w:rPr>
      </w:pPr>
    </w:p>
    <w:p>
      <w:pPr>
        <w:jc w:val="both"/>
        <w:ind w:right="20" w:firstLine="51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3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17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6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84"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We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6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firstLine="51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44"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reduced protection of intellectual property rights in some foreign countries, and related prevalence of generic alternatives to therapeutics;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49" w:name="page50"/>
    <w:bookmarkEnd w:id="49"/>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currently rely on third-party clinical research organizations to conduct our ongoing Phase 2b and Phase 2 open label clinical trials of losmapimod and our ongoing Phase 1 clinical trial of FTX-6058. We plan to rely on third-party clinical research organizations or third-party research collaboratives to conduct any future clinical trials, including our planned clinical trial of FTX-6058 in patients with SCD.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ind w:firstLine="510"/>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contract with, and plan to continue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have also engaged CMOs to prepare our own API and to manufacture losmapimod tablets. While we believe that we have all the necessary information from GSK to enable any required technology transfer to a CMO, there can be no assurances that we will be able to effect such transfer in a timely manner.</w:t>
      </w:r>
    </w:p>
    <w:p>
      <w:pPr>
        <w:spacing w:after="0" w:line="53"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 addition, although we believe we have obtained sufficient quantities of FTX-6058 from a CMO for the completion of our ongoing Phase 1 clinical trial, we cannot be sure we have correctly estimated our drug product requirements, which could delay, prevent or impair our development efforts.</w:t>
      </w:r>
    </w:p>
    <w:p>
      <w:pPr>
        <w:spacing w:after="0" w:line="124" w:lineRule="exact"/>
        <w:rPr>
          <w:sz w:val="20"/>
          <w:szCs w:val="20"/>
          <w:color w:val="auto"/>
        </w:rPr>
      </w:pPr>
    </w:p>
    <w:p>
      <w:pPr>
        <w:ind w:firstLine="510"/>
        <w:spacing w:after="0" w:line="265"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0"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2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24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85"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38" w:lineRule="exact"/>
        <w:rPr>
          <w:sz w:val="20"/>
          <w:szCs w:val="20"/>
          <w:color w:val="auto"/>
        </w:rPr>
      </w:pPr>
    </w:p>
    <w:p>
      <w:pPr>
        <w:ind w:left="880" w:right="9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880" w:right="30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880" w:right="140" w:hanging="373"/>
        <w:spacing w:after="0" w:line="28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880" w:right="60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880" w:right="16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880" w:right="58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880" w:right="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880" w:hanging="373"/>
        <w:spacing w:after="0" w:line="25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one of our collaborators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while we are performing the research activities pursuant to the research plan and for a specified period thereafter.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320" w:firstLine="510"/>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140" w:firstLine="510"/>
        <w:spacing w:after="0" w:line="253" w:lineRule="auto"/>
        <w:rPr>
          <w:sz w:val="20"/>
          <w:szCs w:val="20"/>
          <w:color w:val="auto"/>
        </w:rPr>
      </w:pPr>
      <w:r>
        <w:rPr>
          <w:rFonts w:ascii="Arial" w:cs="Arial" w:eastAsia="Arial" w:hAnsi="Arial"/>
          <w:sz w:val="18"/>
          <w:szCs w:val="18"/>
          <w:color w:val="auto"/>
        </w:rPr>
        <w:t>Currently, our patent portfolio related to FTX-6058 includes one issued U.S. patent, one U.S. non-provisional application, two PCT applications, and two U.S. provisional applications. In order to continue to pursue protection based on the PCT applications, we will need to nationalize these applications into corresponding foreign applications prior to the expiration deadline of the PCT applications. Even then, further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94"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0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44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17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70"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10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6"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70"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7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0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6"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12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4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hanging="373"/>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880" w:right="840" w:hanging="373"/>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right="40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44"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880" w:right="42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20" w:firstLine="510"/>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170"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80" w:firstLine="510"/>
        <w:spacing w:after="0" w:line="291"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More recently,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 The FDA may further reevaluate the Orphan Drug Act and its regulations and policies. We do not know if, when or how the FDA may change the orphan drug regulations and policies in the future, and it is uncertain how any changes might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22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firstLine="510"/>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which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52"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right="140" w:firstLine="510"/>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30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880" w:right="100" w:hanging="373"/>
        <w:spacing w:after="0" w:line="259"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80" w:hanging="373"/>
        <w:spacing w:after="0" w:line="25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79"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880" w:right="16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880" w:right="380" w:hanging="373"/>
        <w:spacing w:after="0" w:line="263"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8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24"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360" w:firstLine="510"/>
        <w:spacing w:after="0" w:line="27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stay in effect through 2030 under the Coronavirus Aid, Relief, and Economic Security Act, or the CARES Act. The CARES Act suspended the 2% Medicare sequester from May 1, 2020 through December 31, 2020.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Since the enactment of the ACA, there have been, and continue to be, numerous legal challenges and Congressional actions to repeal and replace provisions of the law. For example, with enactment of the TCJA in 2017, Congress repealed the “individual mandate.” The repeal of this provision, which requires most Americans to carry a minimal level of health insurance, became effective in 2019. On November 10, 2020, the Supreme Court heard oral arguments as to whether the individual mandate portion of the ACA is an essential and inseverable feature of the ACA, and therefore because the mandate was repealed as part of the TCJA, the remaining provisions of the ACA are invalid as well. On February 10, 2021, the Biden Administration withdrew the federal government’s support for overturning the ACA. A ruling by the Supreme Court is expected sometime this year.</w:t>
      </w:r>
    </w:p>
    <w:p>
      <w:pPr>
        <w:spacing w:after="0" w:line="164"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Litigation and legislation over the ACA are likely to continue, with unpredictable and uncertain results.</w:t>
      </w:r>
    </w:p>
    <w:p>
      <w:pPr>
        <w:spacing w:after="0" w:line="22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It remains to be seen whether these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right="40" w:firstLine="510"/>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70"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1"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0" w:name="page71"/>
    <w:bookmarkEnd w:id="70"/>
    <w:p>
      <w:pPr>
        <w:ind w:firstLine="510"/>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00"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20" w:firstLine="510"/>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have had recent executive transitions, including of our chief executive officer and chief scientific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7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As of April 29, 2021, our executive officers and directors and our stockholders who owned more than 5% of our outstanding common stock in the aggregate beneficially owned shares representing approximately 46.9%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360" w:lineRule="exact"/>
        <w:rPr>
          <w:sz w:val="20"/>
          <w:szCs w:val="20"/>
          <w:color w:val="auto"/>
        </w:rPr>
      </w:pPr>
    </w:p>
    <w:p>
      <w:pPr>
        <w:jc w:val="both"/>
        <w:ind w:right="3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0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44"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40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2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23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880" w:right="7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880" w:right="160" w:hanging="373"/>
        <w:spacing w:after="0" w:line="308"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665" w:right="47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70"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or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71"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can be freely sold in the public market upon issuance, subject to volume limitations applicable to affiliates.</w:t>
      </w: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55" w:lineRule="exact"/>
        <w:rPr>
          <w:rFonts w:ascii="Arial" w:cs="Arial" w:eastAsia="Arial" w:hAnsi="Arial"/>
          <w:sz w:val="17"/>
          <w:szCs w:val="17"/>
          <w:color w:val="auto"/>
        </w:rPr>
      </w:pPr>
    </w:p>
    <w:p>
      <w:pPr>
        <w:ind w:left="880" w:right="580" w:hanging="373"/>
        <w:spacing w:after="0" w:line="263"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170"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0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sell any securities that were not registered under the Securities Act during the three months ended March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25"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0"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9" w:lineRule="exact"/>
        <w:rPr>
          <w:sz w:val="20"/>
          <w:szCs w:val="20"/>
          <w:color w:val="auto"/>
        </w:rPr>
      </w:pPr>
    </w:p>
    <w:p>
      <w:pPr>
        <w:jc w:val="both"/>
        <w:ind w:right="40" w:firstLine="510"/>
        <w:spacing w:after="0" w:line="287" w:lineRule="auto"/>
        <w:rPr>
          <w:sz w:val="20"/>
          <w:szCs w:val="20"/>
          <w:color w:val="auto"/>
        </w:rPr>
      </w:pPr>
      <w:r>
        <w:rPr>
          <w:rFonts w:ascii="Arial" w:cs="Arial" w:eastAsia="Arial" w:hAnsi="Arial"/>
          <w:sz w:val="16"/>
          <w:szCs w:val="16"/>
          <w:color w:val="auto"/>
        </w:rPr>
        <w:t>We have used all of the net proceeds from the IPO as of March 31, 2021 to fund the clinical development of losmapimod, to advance our pipeline of clinical-stage and preclinical product candidates, and to research and develop additional preclinical product candidates using our platform, and for working capital and other general corporate purposes. We have invested the unused net proceeds from the offering in cash equivalents and marketable securities.</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July 18, 2019.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Issuer Purchases of Equity Securities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3"/>
              </w:rPr>
              <w:t>(c) Total Number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4"/>
              </w:rPr>
              <w:t>(d) Approximate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 Total</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(b) Average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Purchased(1)</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January 1, 2021 through January 31, 2021</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60" w:type="dxa"/>
            <w:vAlign w:val="bottom"/>
            <w:gridSpan w:val="3"/>
          </w:tcPr>
          <w:p>
            <w:pPr>
              <w:spacing w:after="0"/>
              <w:rPr>
                <w:sz w:val="20"/>
                <w:szCs w:val="20"/>
                <w:color w:val="auto"/>
              </w:rPr>
            </w:pPr>
            <w:r>
              <w:rPr>
                <w:rFonts w:ascii="Arial" w:cs="Arial" w:eastAsia="Arial" w:hAnsi="Arial"/>
                <w:sz w:val="18"/>
                <w:szCs w:val="18"/>
                <w:color w:val="auto"/>
              </w:rPr>
              <w:t>February 1, 2021 through February 28, 2021</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2021 through March 31, 2021</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380" w:hanging="492"/>
        <w:spacing w:after="0" w:line="263"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certain former employees upon termination of employment in accordance with the terms of the applicable employee's restricted stock agreement. We repurchased the shares from the former employees at the original purchase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20" w:type="dxa"/>
            <w:vAlign w:val="bottom"/>
            <w:gridSpan w:val="9"/>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602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0" w:type="dxa"/>
            <w:vAlign w:val="bottom"/>
          </w:tcPr>
          <w:p>
            <w:pPr>
              <w:ind w:left="10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720" w:type="dxa"/>
            <w:vAlign w:val="bottom"/>
            <w:tcBorders>
              <w:bottom w:val="single" w:sz="8" w:color="0000EE"/>
            </w:tcBorders>
            <w:gridSpan w:val="7"/>
          </w:tcPr>
          <w:p>
            <w:pPr>
              <w:spacing w:after="0" w:line="18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Employment Agreement, dated February 6, 2021, by and between the Registrant and Christopher Moxham.</w:t>
              </w:r>
            </w:hyperlink>
          </w:p>
        </w:tc>
        <w:tc>
          <w:tcPr>
            <w:tcW w:w="26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340" w:type="dxa"/>
            <w:vAlign w:val="bottom"/>
            <w:gridSpan w:val="1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Employment Agreement, dated March 19, 2021, by and between the Registrant and Judith Dunn.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340" w:type="dxa"/>
            <w:vAlign w:val="bottom"/>
            <w:gridSpan w:val="1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Consulting Agreement, dated March 31, 2021, by and between the Registrant and Robert J. Gould.</w:t>
              </w:r>
            </w:hyperlink>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70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12">
              <w:r>
                <w:rPr>
                  <w:rFonts w:ascii="Arial" w:cs="Arial" w:eastAsia="Arial" w:hAnsi="Arial"/>
                  <w:sz w:val="18"/>
                  <w:szCs w:val="18"/>
                  <w:color w:val="0000EE"/>
                  <w:w w:val="90"/>
                </w:rPr>
                <w:t>Employment Agreement, dated March 31, 2021, by and between the Registrant and Bryan Stuart.</w:t>
              </w:r>
            </w:hyperlink>
          </w:p>
        </w:tc>
        <w:tc>
          <w:tcPr>
            <w:tcW w:w="80" w:type="dxa"/>
            <w:vAlign w:val="bottom"/>
            <w:tcBorders>
              <w:top w:val="single" w:sz="8" w:color="0000EE"/>
            </w:tcBorders>
          </w:tcPr>
          <w:p>
            <w:pPr>
              <w:spacing w:after="0"/>
              <w:rPr>
                <w:sz w:val="18"/>
                <w:szCs w:val="18"/>
                <w:color w:val="auto"/>
              </w:rPr>
            </w:pPr>
          </w:p>
        </w:tc>
        <w:tc>
          <w:tcPr>
            <w:tcW w:w="3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Pursuant to Section 302 of the Sarbanes-Oxley Act of 2002.</w:t>
              </w:r>
            </w:hyperlink>
          </w:p>
        </w:tc>
        <w:tc>
          <w:tcPr>
            <w:tcW w:w="60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340" w:type="dxa"/>
            <w:vAlign w:val="bottom"/>
            <w:gridSpan w:val="13"/>
          </w:tcPr>
          <w:p>
            <w:pPr>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3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Act of 2002.</w:t>
              </w:r>
            </w:hyperlink>
          </w:p>
        </w:tc>
        <w:tc>
          <w:tcPr>
            <w:tcW w:w="9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3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2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of 2002.</w:t>
              </w:r>
            </w:hyperlink>
          </w:p>
        </w:tc>
        <w:tc>
          <w:tcPr>
            <w:tcW w:w="9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3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9"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7920" w:type="dxa"/>
            <w:vAlign w:val="bottom"/>
            <w:gridSpan w:val="2"/>
          </w:tcPr>
          <w:p>
            <w:pPr>
              <w:ind w:left="1980"/>
              <w:spacing w:after="0"/>
              <w:rPr>
                <w:sz w:val="20"/>
                <w:szCs w:val="20"/>
                <w:color w:val="auto"/>
              </w:rPr>
            </w:pPr>
            <w:r>
              <w:rPr>
                <w:rFonts w:ascii="Arial" w:cs="Arial" w:eastAsia="Arial" w:hAnsi="Arial"/>
                <w:sz w:val="18"/>
                <w:szCs w:val="18"/>
                <w:color w:val="auto"/>
              </w:rPr>
              <w:t>FULCRUM THERAPEUTICS, INC.</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 May 6, 2021</w:t>
            </w:r>
          </w:p>
        </w:tc>
        <w:tc>
          <w:tcPr>
            <w:tcW w:w="2300" w:type="dxa"/>
            <w:vAlign w:val="bottom"/>
          </w:tcPr>
          <w:p>
            <w:pPr>
              <w:ind w:left="198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Bryan Stuart</w:t>
            </w:r>
          </w:p>
        </w:tc>
      </w:tr>
      <w:tr>
        <w:trPr>
          <w:trHeight w:val="222"/>
        </w:trPr>
        <w:tc>
          <w:tcPr>
            <w:tcW w:w="33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Bryan Stuart</w:t>
            </w:r>
          </w:p>
        </w:tc>
      </w:tr>
      <w:tr>
        <w:trPr>
          <w:trHeight w:val="230"/>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 Director</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Date: May 6, 2021</w:t>
            </w:r>
          </w:p>
        </w:tc>
        <w:tc>
          <w:tcPr>
            <w:tcW w:w="2300" w:type="dxa"/>
            <w:vAlign w:val="bottom"/>
          </w:tcPr>
          <w:p>
            <w:pPr>
              <w:ind w:left="1980"/>
              <w:spacing w:after="0"/>
              <w:rPr>
                <w:sz w:val="20"/>
                <w:szCs w:val="20"/>
                <w:color w:val="auto"/>
              </w:rPr>
            </w:pPr>
            <w:r>
              <w:rPr>
                <w:rFonts w:ascii="Arial" w:cs="Arial" w:eastAsia="Arial" w:hAnsi="Arial"/>
                <w:sz w:val="18"/>
                <w:szCs w:val="18"/>
                <w:color w:val="auto"/>
              </w:rPr>
              <w:t>By:</w:t>
            </w:r>
          </w:p>
        </w:tc>
        <w:tc>
          <w:tcPr>
            <w:tcW w:w="5620" w:type="dxa"/>
            <w:vAlign w:val="bottom"/>
          </w:tcPr>
          <w:p>
            <w:pPr>
              <w:jc w:val="center"/>
              <w:spacing w:after="0"/>
              <w:rPr>
                <w:sz w:val="20"/>
                <w:szCs w:val="20"/>
                <w:color w:val="auto"/>
              </w:rPr>
            </w:pPr>
            <w:r>
              <w:rPr>
                <w:rFonts w:ascii="Arial" w:cs="Arial" w:eastAsia="Arial" w:hAnsi="Arial"/>
                <w:sz w:val="18"/>
                <w:szCs w:val="18"/>
                <w:color w:val="auto"/>
                <w:w w:val="88"/>
              </w:rPr>
              <w:t>/s/ Peter Thomson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7880"/>
        <w:spacing w:after="0"/>
        <w:rPr>
          <w:sz w:val="20"/>
          <w:szCs w:val="20"/>
          <w:color w:val="auto"/>
        </w:rPr>
      </w:pPr>
      <w:r>
        <w:rPr>
          <w:rFonts w:ascii="Arial" w:cs="Arial" w:eastAsia="Arial" w:hAnsi="Arial"/>
          <w:sz w:val="18"/>
          <w:szCs w:val="18"/>
          <w:color w:val="auto"/>
        </w:rPr>
        <w:t>Peter Thomson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Vice President, Finance and Accounting (Principal Financial Officer and</w:t>
      </w:r>
    </w:p>
    <w:p>
      <w:pPr>
        <w:spacing w:after="0" w:line="3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200" w:firstLine="846"/>
        <w:spacing w:after="0" w:line="328" w:lineRule="auto"/>
        <w:rPr>
          <w:sz w:val="20"/>
          <w:szCs w:val="20"/>
          <w:color w:val="auto"/>
        </w:rPr>
      </w:pPr>
      <w:r>
        <w:rPr>
          <w:rFonts w:ascii="Arial" w:cs="Arial" w:eastAsia="Arial" w:hAnsi="Arial"/>
          <w:sz w:val="19"/>
          <w:szCs w:val="19"/>
          <w:color w:val="auto"/>
        </w:rPr>
        <w:t>THIS EMPLOYMENT AGREEMENT (the “Agreement”), is made as of February 6, 2021 (the “Effective Date”) by and between Fulcrum Therapeutics, Inc. (the “Company”), and Christopher Moxham (the “Executive”) (together, the “Parties”).</w:t>
      </w:r>
    </w:p>
    <w:p>
      <w:pPr>
        <w:spacing w:after="0" w:line="13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WHEREAS, the Company desires to continue to employ the Executive as its Chief Scientific Officer; and</w:t>
      </w:r>
    </w:p>
    <w:p>
      <w:pPr>
        <w:spacing w:after="0" w:line="206" w:lineRule="exact"/>
        <w:rPr>
          <w:sz w:val="20"/>
          <w:szCs w:val="20"/>
          <w:color w:val="auto"/>
        </w:rPr>
      </w:pPr>
    </w:p>
    <w:p>
      <w:pPr>
        <w:ind w:right="1100" w:firstLine="576"/>
        <w:spacing w:after="0" w:line="250" w:lineRule="auto"/>
        <w:rPr>
          <w:sz w:val="20"/>
          <w:szCs w:val="20"/>
          <w:color w:val="auto"/>
        </w:rPr>
      </w:pPr>
      <w:r>
        <w:rPr>
          <w:rFonts w:ascii="Arial" w:cs="Arial" w:eastAsia="Arial" w:hAnsi="Arial"/>
          <w:sz w:val="22"/>
          <w:szCs w:val="22"/>
          <w:color w:val="auto"/>
        </w:rPr>
        <w:t>WHEREAS, the Company and the Executive are party to a letter agreement dated July 19, 2010 (the “Existing Agreement”) and desire to amend and restate the Existing Agreement in its entirety; and</w:t>
      </w:r>
    </w:p>
    <w:p>
      <w:pPr>
        <w:spacing w:after="0" w:line="215" w:lineRule="exact"/>
        <w:rPr>
          <w:sz w:val="20"/>
          <w:szCs w:val="20"/>
          <w:color w:val="auto"/>
        </w:rPr>
      </w:pPr>
    </w:p>
    <w:p>
      <w:pPr>
        <w:ind w:right="320" w:firstLine="576"/>
        <w:spacing w:after="0" w:line="250" w:lineRule="auto"/>
        <w:rPr>
          <w:sz w:val="20"/>
          <w:szCs w:val="20"/>
          <w:color w:val="auto"/>
        </w:rPr>
      </w:pPr>
      <w:r>
        <w:rPr>
          <w:rFonts w:ascii="Arial" w:cs="Arial" w:eastAsia="Arial" w:hAnsi="Arial"/>
          <w:sz w:val="22"/>
          <w:szCs w:val="22"/>
          <w:color w:val="auto"/>
        </w:rPr>
        <w:t>WHEREAS, the Executive has agreed to accept such continued employment on the terms and conditions set forth in this Agreement;</w:t>
      </w:r>
    </w:p>
    <w:p>
      <w:pPr>
        <w:spacing w:after="0" w:line="202" w:lineRule="exact"/>
        <w:rPr>
          <w:sz w:val="20"/>
          <w:szCs w:val="20"/>
          <w:color w:val="auto"/>
        </w:rPr>
      </w:pPr>
    </w:p>
    <w:p>
      <w:pPr>
        <w:ind w:right="560" w:firstLine="576"/>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215" w:lineRule="exact"/>
        <w:rPr>
          <w:sz w:val="20"/>
          <w:szCs w:val="20"/>
          <w:color w:val="auto"/>
        </w:rPr>
      </w:pPr>
    </w:p>
    <w:p>
      <w:pPr>
        <w:jc w:val="both"/>
        <w:ind w:firstLine="8"/>
        <w:spacing w:after="0"/>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Following the Effective Date, the Executive shall</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to be an employee of the Company until such employment relationship is terminated in accordance with Section 7 hereof (the “Term of Employment”).</w:t>
      </w:r>
    </w:p>
    <w:p>
      <w:pPr>
        <w:spacing w:after="0" w:line="226" w:lineRule="exact"/>
        <w:rPr>
          <w:rFonts w:ascii="Arial" w:cs="Arial" w:eastAsia="Arial" w:hAnsi="Arial"/>
          <w:sz w:val="22"/>
          <w:szCs w:val="22"/>
          <w:color w:val="auto"/>
        </w:rPr>
      </w:pPr>
    </w:p>
    <w:p>
      <w:pPr>
        <w:ind w:right="220" w:firstLine="8"/>
        <w:spacing w:after="0"/>
        <w:tabs>
          <w:tab w:leader="none" w:pos="810"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Position</w:t>
      </w:r>
      <w:r>
        <w:rPr>
          <w:rFonts w:ascii="Arial" w:cs="Arial" w:eastAsia="Arial" w:hAnsi="Arial"/>
          <w:sz w:val="22"/>
          <w:szCs w:val="22"/>
          <w:color w:val="auto"/>
        </w:rPr>
        <w:t>. During the Term of Employment, the Executive shall serve as Chief Scientific Officer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working out of the Company’s office in Cambridge, Massachusetts, and travelling as reasonably required by the Executive’s job duties.</w:t>
      </w:r>
    </w:p>
    <w:p>
      <w:pPr>
        <w:spacing w:after="0" w:line="213" w:lineRule="exact"/>
        <w:rPr>
          <w:rFonts w:ascii="Arial" w:cs="Arial" w:eastAsia="Arial" w:hAnsi="Arial"/>
          <w:sz w:val="22"/>
          <w:szCs w:val="22"/>
          <w:color w:val="auto"/>
        </w:rPr>
      </w:pPr>
    </w:p>
    <w:p>
      <w:pPr>
        <w:ind w:right="20" w:firstLine="8"/>
        <w:spacing w:after="0" w:line="276" w:lineRule="auto"/>
        <w:tabs>
          <w:tab w:leader="none" w:pos="810"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duties consistent with the Executive’s position as Chief Scientific Officer. The Executive shall report to the President and the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w:t>
      </w:r>
      <w:r>
        <w:rPr>
          <w:rFonts w:ascii="Arial" w:cs="Arial" w:eastAsia="Arial" w:hAnsi="Arial"/>
          <w:sz w:val="17"/>
          <w:szCs w:val="17"/>
          <w:color w:val="auto"/>
        </w:rPr>
        <w:t>(2) community, charitable or industry organizations, without the approval of the Board,</w:t>
      </w:r>
      <w:r>
        <w:rPr>
          <w:rFonts w:ascii="Arial" w:cs="Arial" w:eastAsia="Arial" w:hAnsi="Arial"/>
          <w:sz w:val="19"/>
          <w:szCs w:val="19"/>
          <w:color w:val="auto"/>
        </w:rPr>
        <w:t xml:space="preserve"> </w:t>
      </w:r>
      <w:r>
        <w:rPr>
          <w:rFonts w:ascii="Arial" w:cs="Arial" w:eastAsia="Arial" w:hAnsi="Arial"/>
          <w:sz w:val="17"/>
          <w:szCs w:val="17"/>
          <w:color w:val="auto"/>
        </w:rPr>
        <w:t>providedsuch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ind w:left="-8" w:right="680" w:firstLine="8"/>
        <w:spacing w:after="0" w:line="274" w:lineRule="auto"/>
        <w:tabs>
          <w:tab w:leader="none" w:pos="802"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Compensation</w:t>
      </w:r>
      <w:r>
        <w:rPr>
          <w:rFonts w:ascii="Arial" w:cs="Arial" w:eastAsia="Arial" w:hAnsi="Arial"/>
          <w:sz w:val="21"/>
          <w:szCs w:val="21"/>
          <w:color w:val="auto"/>
        </w:rPr>
        <w:t>. As full compensation for all services rendered by the Executive to the Company and any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thereof, during the Term of Employment, the Company will provide to the Executive the following:</w:t>
      </w:r>
    </w:p>
    <w:p>
      <w:pPr>
        <w:spacing w:after="0" w:line="150" w:lineRule="exact"/>
        <w:rPr>
          <w:rFonts w:ascii="Arial" w:cs="Arial" w:eastAsia="Arial" w:hAnsi="Arial"/>
          <w:sz w:val="21"/>
          <w:szCs w:val="21"/>
          <w:color w:val="auto"/>
        </w:rPr>
      </w:pPr>
    </w:p>
    <w:p>
      <w:pPr>
        <w:ind w:left="-8" w:right="300" w:firstLine="854"/>
        <w:spacing w:after="0" w:line="236" w:lineRule="auto"/>
        <w:tabs>
          <w:tab w:leader="none" w:pos="1723" w:val="left"/>
        </w:tabs>
        <w:numPr>
          <w:ilvl w:val="1"/>
          <w:numId w:val="46"/>
        </w:numPr>
        <w:rPr>
          <w:rFonts w:ascii="Arial" w:cs="Arial" w:eastAsia="Arial" w:hAnsi="Arial"/>
          <w:sz w:val="22"/>
          <w:szCs w:val="22"/>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Effective as of the date on which the registration statement relating to the Company’s initial</w:t>
      </w:r>
      <w:r>
        <w:rPr>
          <w:rFonts w:ascii="Arial" w:cs="Arial" w:eastAsia="Arial" w:hAnsi="Arial"/>
          <w:sz w:val="22"/>
          <w:szCs w:val="22"/>
          <w:i w:val="1"/>
          <w:iCs w:val="1"/>
          <w:color w:val="auto"/>
        </w:rPr>
        <w:t xml:space="preserve"> </w:t>
      </w:r>
      <w:r>
        <w:rPr>
          <w:rFonts w:ascii="Arial" w:cs="Arial" w:eastAsia="Arial" w:hAnsi="Arial"/>
          <w:sz w:val="22"/>
          <w:szCs w:val="22"/>
          <w:color w:val="auto"/>
        </w:rPr>
        <w:t>public offering is effective, the Executive shall receive a base salary at the annualized rate of $385,000 (the “Base Salary”). 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87" w:lineRule="exact"/>
        <w:rPr>
          <w:rFonts w:ascii="Arial" w:cs="Arial" w:eastAsia="Arial" w:hAnsi="Arial"/>
          <w:sz w:val="22"/>
          <w:szCs w:val="22"/>
          <w:color w:val="auto"/>
        </w:rPr>
      </w:pPr>
    </w:p>
    <w:p>
      <w:pPr>
        <w:ind w:left="-8" w:right="20" w:firstLine="854"/>
        <w:spacing w:after="0" w:line="271" w:lineRule="auto"/>
        <w:tabs>
          <w:tab w:leader="none" w:pos="1735" w:val="left"/>
        </w:tabs>
        <w:numPr>
          <w:ilvl w:val="1"/>
          <w:numId w:val="46"/>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w:t>
      </w:r>
      <w:r>
        <w:rPr>
          <w:rFonts w:ascii="Arial" w:cs="Arial" w:eastAsia="Arial" w:hAnsi="Arial"/>
          <w:sz w:val="19"/>
          <w:szCs w:val="19"/>
          <w:i w:val="1"/>
          <w:iCs w:val="1"/>
          <w:color w:val="auto"/>
        </w:rPr>
        <w:t xml:space="preserve"> </w:t>
      </w:r>
      <w:r>
        <w:rPr>
          <w:rFonts w:ascii="Arial" w:cs="Arial" w:eastAsia="Arial" w:hAnsi="Arial"/>
          <w:sz w:val="19"/>
          <w:szCs w:val="19"/>
          <w:color w:val="auto"/>
        </w:rPr>
        <w:t>annual performance bonus of up to 35%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8" w:right="120" w:firstLine="854"/>
        <w:spacing w:after="0" w:line="250" w:lineRule="auto"/>
        <w:tabs>
          <w:tab w:leader="none" w:pos="1723" w:val="left"/>
        </w:tabs>
        <w:numPr>
          <w:ilvl w:val="1"/>
          <w:numId w:val="46"/>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w:t>
      </w:r>
      <w:r>
        <w:rPr>
          <w:rFonts w:ascii="Arial" w:cs="Arial" w:eastAsia="Arial" w:hAnsi="Arial"/>
          <w:sz w:val="22"/>
          <w:szCs w:val="22"/>
          <w:i w:val="1"/>
          <w:iCs w:val="1"/>
          <w:color w:val="auto"/>
        </w:rPr>
        <w:t xml:space="preserve"> </w:t>
      </w:r>
      <w:r>
        <w:rPr>
          <w:rFonts w:ascii="Arial" w:cs="Arial" w:eastAsia="Arial" w:hAnsi="Arial"/>
          <w:sz w:val="22"/>
          <w:szCs w:val="22"/>
          <w:color w:val="auto"/>
        </w:rPr>
        <w:t>and conditions as the Board shall, in its sole discretion, determine.</w:t>
      </w:r>
    </w:p>
    <w:p>
      <w:pPr>
        <w:spacing w:after="0" w:line="174" w:lineRule="exact"/>
        <w:rPr>
          <w:rFonts w:ascii="Arial" w:cs="Arial" w:eastAsia="Arial" w:hAnsi="Arial"/>
          <w:sz w:val="22"/>
          <w:szCs w:val="22"/>
          <w:color w:val="auto"/>
        </w:rPr>
      </w:pPr>
    </w:p>
    <w:p>
      <w:pPr>
        <w:ind w:left="-8" w:firstLine="854"/>
        <w:spacing w:after="0" w:line="250" w:lineRule="auto"/>
        <w:tabs>
          <w:tab w:leader="none" w:pos="1735" w:val="left"/>
        </w:tabs>
        <w:numPr>
          <w:ilvl w:val="1"/>
          <w:numId w:val="46"/>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174" w:lineRule="exact"/>
        <w:rPr>
          <w:rFonts w:ascii="Arial" w:cs="Arial" w:eastAsia="Arial" w:hAnsi="Arial"/>
          <w:sz w:val="22"/>
          <w:szCs w:val="22"/>
          <w:color w:val="auto"/>
        </w:rPr>
      </w:pPr>
    </w:p>
    <w:p>
      <w:pPr>
        <w:ind w:left="-8" w:right="120" w:firstLine="854"/>
        <w:spacing w:after="0" w:line="236" w:lineRule="auto"/>
        <w:tabs>
          <w:tab w:leader="none" w:pos="1723" w:val="left"/>
        </w:tabs>
        <w:numPr>
          <w:ilvl w:val="1"/>
          <w:numId w:val="46"/>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the Executive shall have the right, on</w:t>
      </w:r>
      <w:r>
        <w:rPr>
          <w:rFonts w:ascii="Arial" w:cs="Arial" w:eastAsia="Arial" w:hAnsi="Arial"/>
          <w:sz w:val="22"/>
          <w:szCs w:val="22"/>
          <w:i w:val="1"/>
          <w:iCs w:val="1"/>
          <w:color w:val="auto"/>
        </w:rPr>
        <w:t xml:space="preserve"> </w:t>
      </w:r>
      <w:r>
        <w:rPr>
          <w:rFonts w:ascii="Arial" w:cs="Arial" w:eastAsia="Arial" w:hAnsi="Arial"/>
          <w:sz w:val="22"/>
          <w:szCs w:val="22"/>
          <w:color w:val="auto"/>
        </w:rPr>
        <w:t>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7" w:lineRule="exact"/>
        <w:rPr>
          <w:rFonts w:ascii="Arial" w:cs="Arial" w:eastAsia="Arial" w:hAnsi="Arial"/>
          <w:sz w:val="22"/>
          <w:szCs w:val="22"/>
          <w:color w:val="auto"/>
        </w:rPr>
      </w:pPr>
    </w:p>
    <w:p>
      <w:pPr>
        <w:ind w:left="1712" w:hanging="866"/>
        <w:spacing w:after="0"/>
        <w:tabs>
          <w:tab w:leader="none" w:pos="1712" w:val="left"/>
        </w:tabs>
        <w:numPr>
          <w:ilvl w:val="1"/>
          <w:numId w:val="46"/>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45" w:lineRule="exact"/>
        <w:rPr>
          <w:rFonts w:ascii="Arial" w:cs="Arial" w:eastAsia="Arial" w:hAnsi="Arial"/>
          <w:sz w:val="19"/>
          <w:szCs w:val="19"/>
          <w:color w:val="auto"/>
        </w:rPr>
      </w:pPr>
    </w:p>
    <w:p>
      <w:pPr>
        <w:ind w:left="5572"/>
        <w:spacing w:after="0"/>
        <w:rPr>
          <w:rFonts w:ascii="Arial" w:cs="Arial" w:eastAsia="Arial" w:hAnsi="Arial"/>
          <w:sz w:val="19"/>
          <w:szCs w:val="19"/>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793" w:right="339" w:bottom="1440" w:gutter="0" w:footer="0" w:header="0"/>
        </w:sectPr>
      </w:pPr>
    </w:p>
    <w:bookmarkStart w:id="82" w:name="page83"/>
    <w:bookmarkEnd w:id="82"/>
    <w:p>
      <w:pPr>
        <w:ind w:left="-8" w:right="500" w:firstLine="8"/>
        <w:spacing w:after="0" w:line="250" w:lineRule="auto"/>
        <w:tabs>
          <w:tab w:leader="none" w:pos="802"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 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4" w:lineRule="exact"/>
        <w:rPr>
          <w:rFonts w:ascii="Arial" w:cs="Arial" w:eastAsia="Arial" w:hAnsi="Arial"/>
          <w:sz w:val="22"/>
          <w:szCs w:val="22"/>
          <w:color w:val="auto"/>
        </w:rPr>
      </w:pPr>
    </w:p>
    <w:p>
      <w:pPr>
        <w:ind w:left="-8" w:right="300" w:firstLine="8"/>
        <w:spacing w:after="0"/>
        <w:tabs>
          <w:tab w:leader="none" w:pos="802"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Restrictive Covenants Agreement</w:t>
      </w:r>
      <w:r>
        <w:rPr>
          <w:rFonts w:ascii="Arial" w:cs="Arial" w:eastAsia="Arial" w:hAnsi="Arial"/>
          <w:sz w:val="22"/>
          <w:szCs w:val="22"/>
          <w:color w:val="auto"/>
        </w:rPr>
        <w:t>. The Executive hereby acknowledges that in connection with entering into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Executive shall be required to enter into a new Employee Confidentiality and Assignment Agreement with the Company.</w:t>
      </w:r>
    </w:p>
    <w:p>
      <w:pPr>
        <w:spacing w:after="0" w:line="226" w:lineRule="exact"/>
        <w:rPr>
          <w:rFonts w:ascii="Arial" w:cs="Arial" w:eastAsia="Arial" w:hAnsi="Arial"/>
          <w:sz w:val="22"/>
          <w:szCs w:val="22"/>
          <w:color w:val="auto"/>
        </w:rPr>
      </w:pPr>
    </w:p>
    <w:p>
      <w:pPr>
        <w:ind w:left="-8" w:right="140" w:firstLine="8"/>
        <w:spacing w:after="0" w:line="250" w:lineRule="auto"/>
        <w:tabs>
          <w:tab w:leader="none" w:pos="802"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w:t>
      </w:r>
      <w:r>
        <w:rPr>
          <w:rFonts w:ascii="Arial" w:cs="Arial" w:eastAsia="Arial" w:hAnsi="Arial"/>
          <w:sz w:val="22"/>
          <w:szCs w:val="22"/>
          <w:i w:val="1"/>
          <w:iCs w:val="1"/>
          <w:color w:val="auto"/>
        </w:rPr>
        <w:t xml:space="preserve"> </w:t>
      </w:r>
      <w:r>
        <w:rPr>
          <w:rFonts w:ascii="Arial" w:cs="Arial" w:eastAsia="Arial" w:hAnsi="Arial"/>
          <w:sz w:val="22"/>
          <w:szCs w:val="22"/>
          <w:color w:val="auto"/>
        </w:rPr>
        <w:t>any of the following:</w:t>
      </w:r>
    </w:p>
    <w:p>
      <w:pPr>
        <w:spacing w:after="0" w:line="201" w:lineRule="exact"/>
        <w:rPr>
          <w:rFonts w:ascii="Arial" w:cs="Arial" w:eastAsia="Arial" w:hAnsi="Arial"/>
          <w:sz w:val="22"/>
          <w:szCs w:val="22"/>
          <w:color w:val="auto"/>
        </w:rPr>
      </w:pPr>
    </w:p>
    <w:p>
      <w:pPr>
        <w:ind w:left="-8" w:firstLine="854"/>
        <w:spacing w:after="0" w:line="287" w:lineRule="auto"/>
        <w:tabs>
          <w:tab w:leader="none" w:pos="1723" w:val="left"/>
        </w:tabs>
        <w:numPr>
          <w:ilvl w:val="1"/>
          <w:numId w:val="47"/>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83" w:lineRule="exact"/>
        <w:rPr>
          <w:rFonts w:ascii="Arial" w:cs="Arial" w:eastAsia="Arial" w:hAnsi="Arial"/>
          <w:sz w:val="19"/>
          <w:szCs w:val="19"/>
          <w:color w:val="auto"/>
        </w:rPr>
      </w:pPr>
    </w:p>
    <w:p>
      <w:pPr>
        <w:ind w:left="-8" w:right="60" w:firstLine="854"/>
        <w:spacing w:after="0" w:line="250" w:lineRule="auto"/>
        <w:tabs>
          <w:tab w:leader="none" w:pos="1735" w:val="left"/>
        </w:tabs>
        <w:numPr>
          <w:ilvl w:val="1"/>
          <w:numId w:val="47"/>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174" w:lineRule="exact"/>
        <w:rPr>
          <w:rFonts w:ascii="Arial" w:cs="Arial" w:eastAsia="Arial" w:hAnsi="Arial"/>
          <w:sz w:val="22"/>
          <w:szCs w:val="22"/>
          <w:color w:val="auto"/>
        </w:rPr>
      </w:pPr>
    </w:p>
    <w:p>
      <w:pPr>
        <w:ind w:left="1792" w:right="100" w:hanging="834"/>
        <w:spacing w:after="0" w:line="297" w:lineRule="auto"/>
        <w:tabs>
          <w:tab w:leader="none" w:pos="1792" w:val="left"/>
        </w:tabs>
        <w:numPr>
          <w:ilvl w:val="2"/>
          <w:numId w:val="47"/>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33" w:lineRule="exact"/>
        <w:rPr>
          <w:rFonts w:ascii="Arial" w:cs="Arial" w:eastAsia="Arial" w:hAnsi="Arial"/>
          <w:sz w:val="19"/>
          <w:szCs w:val="19"/>
          <w:color w:val="auto"/>
        </w:rPr>
      </w:pPr>
    </w:p>
    <w:p>
      <w:pPr>
        <w:ind w:left="1792" w:right="160" w:hanging="834"/>
        <w:spacing w:after="0" w:line="250" w:lineRule="auto"/>
        <w:tabs>
          <w:tab w:leader="none" w:pos="1792" w:val="left"/>
        </w:tabs>
        <w:numPr>
          <w:ilvl w:val="2"/>
          <w:numId w:val="47"/>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174" w:lineRule="exact"/>
        <w:rPr>
          <w:rFonts w:ascii="Arial" w:cs="Arial" w:eastAsia="Arial" w:hAnsi="Arial"/>
          <w:sz w:val="22"/>
          <w:szCs w:val="22"/>
          <w:color w:val="auto"/>
        </w:rPr>
      </w:pPr>
    </w:p>
    <w:p>
      <w:pPr>
        <w:ind w:left="1792" w:right="160" w:hanging="834"/>
        <w:spacing w:after="0" w:line="236" w:lineRule="auto"/>
        <w:tabs>
          <w:tab w:leader="none" w:pos="1792" w:val="left"/>
        </w:tabs>
        <w:numPr>
          <w:ilvl w:val="2"/>
          <w:numId w:val="47"/>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187" w:lineRule="exact"/>
        <w:rPr>
          <w:rFonts w:ascii="Arial" w:cs="Arial" w:eastAsia="Arial" w:hAnsi="Arial"/>
          <w:sz w:val="22"/>
          <w:szCs w:val="22"/>
          <w:color w:val="auto"/>
        </w:rPr>
      </w:pPr>
    </w:p>
    <w:p>
      <w:pPr>
        <w:ind w:left="1792" w:right="140" w:hanging="834"/>
        <w:spacing w:after="0" w:line="250" w:lineRule="auto"/>
        <w:tabs>
          <w:tab w:leader="none" w:pos="1792" w:val="left"/>
        </w:tabs>
        <w:numPr>
          <w:ilvl w:val="2"/>
          <w:numId w:val="47"/>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396"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64" w:right="359" w:bottom="1440" w:gutter="0" w:footer="0" w:header="0"/>
        </w:sectPr>
      </w:pPr>
    </w:p>
    <w:bookmarkStart w:id="83" w:name="page84"/>
    <w:bookmarkEnd w:id="83"/>
    <w:p>
      <w:pPr>
        <w:ind w:left="-8" w:firstLine="854"/>
        <w:spacing w:after="0" w:line="297" w:lineRule="auto"/>
        <w:tabs>
          <w:tab w:leader="none" w:pos="1723" w:val="left"/>
        </w:tabs>
        <w:numPr>
          <w:ilvl w:val="1"/>
          <w:numId w:val="48"/>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60" w:lineRule="exact"/>
        <w:rPr>
          <w:rFonts w:ascii="Arial" w:cs="Arial" w:eastAsia="Arial" w:hAnsi="Arial"/>
          <w:sz w:val="19"/>
          <w:szCs w:val="19"/>
          <w:color w:val="auto"/>
        </w:rPr>
      </w:pPr>
    </w:p>
    <w:p>
      <w:pPr>
        <w:jc w:val="both"/>
        <w:ind w:left="1792" w:right="100" w:hanging="834"/>
        <w:spacing w:after="0" w:line="234" w:lineRule="auto"/>
        <w:tabs>
          <w:tab w:leader="none" w:pos="1792" w:val="left"/>
        </w:tabs>
        <w:numPr>
          <w:ilvl w:val="2"/>
          <w:numId w:val="48"/>
        </w:numPr>
        <w:rPr>
          <w:rFonts w:ascii="Arial" w:cs="Arial" w:eastAsia="Arial" w:hAnsi="Arial"/>
          <w:sz w:val="22"/>
          <w:szCs w:val="22"/>
          <w:color w:val="auto"/>
        </w:rPr>
      </w:pPr>
      <w:r>
        <w:rPr>
          <w:rFonts w:ascii="Arial" w:cs="Arial" w:eastAsia="Arial" w:hAnsi="Arial"/>
          <w:sz w:val="22"/>
          <w:szCs w:val="22"/>
          <w:color w:val="auto"/>
        </w:rPr>
        <w:t xml:space="preserve">a material diminution of the Executive’s base compensation, other than in connection with, and substantially proportionate to, reductions by the Company of </w:t>
      </w:r>
      <w:r>
        <w:rPr>
          <w:rFonts w:ascii="Arial" w:cs="Arial" w:eastAsia="Arial" w:hAnsi="Arial"/>
          <w:sz w:val="19"/>
          <w:szCs w:val="19"/>
          <w:color w:val="auto"/>
        </w:rPr>
        <w:t>the base compensation of all or substantially all senior executives</w:t>
      </w:r>
      <w:r>
        <w:rPr>
          <w:rFonts w:ascii="Arial" w:cs="Arial" w:eastAsia="Arial" w:hAnsi="Arial"/>
          <w:sz w:val="22"/>
          <w:szCs w:val="22"/>
          <w:color w:val="auto"/>
        </w:rPr>
        <w:t xml:space="preserve"> </w:t>
      </w:r>
      <w:r>
        <w:rPr>
          <w:rFonts w:ascii="Arial" w:cs="Arial" w:eastAsia="Arial" w:hAnsi="Arial"/>
          <w:sz w:val="19"/>
          <w:szCs w:val="19"/>
          <w:color w:val="auto"/>
        </w:rPr>
        <w:t>of theCompany;</w:t>
      </w:r>
    </w:p>
    <w:p>
      <w:pPr>
        <w:spacing w:after="0" w:line="232" w:lineRule="exact"/>
        <w:rPr>
          <w:rFonts w:ascii="Arial" w:cs="Arial" w:eastAsia="Arial" w:hAnsi="Arial"/>
          <w:sz w:val="22"/>
          <w:szCs w:val="22"/>
          <w:color w:val="auto"/>
        </w:rPr>
      </w:pPr>
    </w:p>
    <w:p>
      <w:pPr>
        <w:ind w:left="1792" w:hanging="834"/>
        <w:spacing w:after="0"/>
        <w:tabs>
          <w:tab w:leader="none" w:pos="1792" w:val="left"/>
        </w:tabs>
        <w:numPr>
          <w:ilvl w:val="2"/>
          <w:numId w:val="48"/>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19" w:lineRule="exact"/>
        <w:rPr>
          <w:rFonts w:ascii="Arial" w:cs="Arial" w:eastAsia="Arial" w:hAnsi="Arial"/>
          <w:sz w:val="22"/>
          <w:szCs w:val="22"/>
          <w:color w:val="auto"/>
        </w:rPr>
      </w:pPr>
    </w:p>
    <w:p>
      <w:pPr>
        <w:ind w:left="1792" w:right="80" w:hanging="834"/>
        <w:spacing w:after="0" w:line="250" w:lineRule="auto"/>
        <w:tabs>
          <w:tab w:leader="none" w:pos="1792"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174" w:lineRule="exact"/>
        <w:rPr>
          <w:rFonts w:ascii="Arial" w:cs="Arial" w:eastAsia="Arial" w:hAnsi="Arial"/>
          <w:sz w:val="22"/>
          <w:szCs w:val="22"/>
          <w:color w:val="auto"/>
        </w:rPr>
      </w:pPr>
    </w:p>
    <w:p>
      <w:pPr>
        <w:ind w:left="1792" w:right="240" w:hanging="834"/>
        <w:spacing w:after="0" w:line="279" w:lineRule="auto"/>
        <w:tabs>
          <w:tab w:leader="none" w:pos="1792" w:val="left"/>
        </w:tabs>
        <w:numPr>
          <w:ilvl w:val="2"/>
          <w:numId w:val="48"/>
        </w:numPr>
        <w:rPr>
          <w:rFonts w:ascii="Arial" w:cs="Arial" w:eastAsia="Arial" w:hAnsi="Arial"/>
          <w:sz w:val="19"/>
          <w:szCs w:val="19"/>
          <w:color w:val="auto"/>
        </w:rPr>
      </w:pPr>
      <w:r>
        <w:rPr>
          <w:rFonts w:ascii="Arial" w:cs="Arial" w:eastAsia="Arial" w:hAnsi="Arial"/>
          <w:sz w:val="19"/>
          <w:szCs w:val="19"/>
          <w:color w:val="auto"/>
        </w:rPr>
        <w:t>any material breach of this Agreement or any other agreement between the Company and the Executive by the Company not otherwise covered by this paragraph; 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77" w:lineRule="exact"/>
        <w:rPr>
          <w:rFonts w:ascii="Arial" w:cs="Arial" w:eastAsia="Arial" w:hAnsi="Arial"/>
          <w:sz w:val="19"/>
          <w:szCs w:val="19"/>
          <w:color w:val="auto"/>
        </w:rPr>
      </w:pPr>
    </w:p>
    <w:p>
      <w:pPr>
        <w:ind w:left="812" w:hanging="812"/>
        <w:spacing w:after="0"/>
        <w:tabs>
          <w:tab w:leader="none" w:pos="812"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8" w:firstLine="854"/>
        <w:spacing w:after="0" w:line="272" w:lineRule="auto"/>
        <w:tabs>
          <w:tab w:leader="none" w:pos="1723"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201" w:lineRule="exact"/>
        <w:rPr>
          <w:rFonts w:ascii="Arial" w:cs="Arial" w:eastAsia="Arial" w:hAnsi="Arial"/>
          <w:sz w:val="19"/>
          <w:szCs w:val="19"/>
          <w:color w:val="auto"/>
        </w:rPr>
      </w:pPr>
    </w:p>
    <w:p>
      <w:pPr>
        <w:ind w:left="-8" w:right="120" w:firstLine="854"/>
        <w:spacing w:after="0" w:line="249" w:lineRule="auto"/>
        <w:tabs>
          <w:tab w:leader="none" w:pos="1735" w:val="left"/>
        </w:tabs>
        <w:numPr>
          <w:ilvl w:val="1"/>
          <w:numId w:val="49"/>
        </w:numPr>
        <w:rPr>
          <w:rFonts w:ascii="Arial" w:cs="Arial" w:eastAsia="Arial" w:hAnsi="Arial"/>
          <w:sz w:val="21"/>
          <w:szCs w:val="21"/>
          <w:color w:val="auto"/>
        </w:rPr>
      </w:pPr>
      <w:r>
        <w:rPr>
          <w:rFonts w:ascii="Arial" w:cs="Arial" w:eastAsia="Arial" w:hAnsi="Arial"/>
          <w:sz w:val="21"/>
          <w:szCs w:val="21"/>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21"/>
          <w:szCs w:val="21"/>
          <w:color w:val="auto"/>
        </w:rPr>
        <w:t>If the Executive’s employment is terminated by the Company without Cause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pursuant to 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w:t>
      </w:r>
    </w:p>
    <w:p>
      <w:pPr>
        <w:spacing w:after="0" w:line="183"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203200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618" w:right="39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 xml:space="preserve">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w:t>
      </w:r>
      <w:r>
        <w:rPr>
          <w:rFonts w:ascii="Arial" w:cs="Arial" w:eastAsia="Arial" w:hAnsi="Arial"/>
          <w:sz w:val="19"/>
          <w:szCs w:val="19"/>
          <w:color w:val="auto"/>
        </w:rPr>
        <w:t>“COBRA” law, continue to pay (but in no</w:t>
      </w:r>
      <w:r>
        <w:rPr>
          <w:rFonts w:ascii="Arial" w:cs="Arial" w:eastAsia="Arial" w:hAnsi="Arial"/>
          <w:sz w:val="22"/>
          <w:szCs w:val="22"/>
          <w:color w:val="auto"/>
        </w:rPr>
        <w:t xml:space="preserve"> </w:t>
      </w:r>
      <w:r>
        <w:rPr>
          <w:rFonts w:ascii="Arial" w:cs="Arial" w:eastAsia="Arial" w:hAnsi="Arial"/>
          <w:sz w:val="19"/>
          <w:szCs w:val="19"/>
          <w:color w:val="auto"/>
        </w:rPr>
        <w:t>event longer than nine (9) months following the Executive’s termination date) the share of the premium for health coverage that is paid by the Company for active and similarly-situated employees who receive the same type of coverage,unless the Company’s provision of such COBRA payments will violate the nondiscriminationrequirements of applicable law, in which case this benefit will not apply (collectively, the “Severance Benefits”).</w:t>
      </w:r>
    </w:p>
    <w:p>
      <w:pPr>
        <w:spacing w:after="0" w:line="223" w:lineRule="exact"/>
        <w:rPr>
          <w:sz w:val="20"/>
          <w:szCs w:val="20"/>
          <w:color w:val="auto"/>
        </w:rPr>
      </w:pPr>
    </w:p>
    <w:p>
      <w:pPr>
        <w:ind w:right="80" w:firstLine="854"/>
        <w:spacing w:after="0" w:line="269" w:lineRule="auto"/>
        <w:tabs>
          <w:tab w:leader="none" w:pos="1731" w:val="left"/>
        </w:tabs>
        <w:numPr>
          <w:ilvl w:val="1"/>
          <w:numId w:val="50"/>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then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w:t>
      </w:r>
    </w:p>
    <w:p>
      <w:pPr>
        <w:spacing w:after="0" w:line="1" w:lineRule="exact"/>
        <w:rPr>
          <w:rFonts w:ascii="Arial" w:cs="Arial" w:eastAsia="Arial" w:hAnsi="Arial"/>
          <w:sz w:val="19"/>
          <w:szCs w:val="19"/>
          <w:color w:val="auto"/>
        </w:rPr>
      </w:pPr>
    </w:p>
    <w:p>
      <w:pPr>
        <w:ind w:right="40" w:firstLine="8"/>
        <w:spacing w:after="0" w:line="275" w:lineRule="auto"/>
        <w:tabs>
          <w:tab w:leader="none" w:pos="409" w:val="left"/>
        </w:tabs>
        <w:numPr>
          <w:ilvl w:val="0"/>
          <w:numId w:val="51"/>
        </w:numPr>
        <w:rPr>
          <w:rFonts w:ascii="Arial" w:cs="Arial" w:eastAsia="Arial" w:hAnsi="Arial"/>
          <w:sz w:val="19"/>
          <w:szCs w:val="19"/>
          <w:color w:val="auto"/>
        </w:rPr>
      </w:pPr>
      <w:r>
        <w:rPr>
          <w:rFonts w:ascii="Arial" w:cs="Arial" w:eastAsia="Arial" w:hAnsi="Arial"/>
          <w:sz w:val="19"/>
          <w:szCs w:val="19"/>
          <w:color w:val="auto"/>
        </w:rPr>
        <w:t>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 forfeitable as of the termination date (collectively, the “Change in Control Severance Benefits”).</w:t>
      </w:r>
    </w:p>
    <w:p>
      <w:pPr>
        <w:spacing w:after="0" w:line="194" w:lineRule="exact"/>
        <w:rPr>
          <w:rFonts w:ascii="Arial" w:cs="Arial" w:eastAsia="Arial" w:hAnsi="Arial"/>
          <w:sz w:val="19"/>
          <w:szCs w:val="19"/>
          <w:color w:val="auto"/>
        </w:rPr>
      </w:pPr>
    </w:p>
    <w:p>
      <w:pPr>
        <w:ind w:right="220" w:firstLine="854"/>
        <w:spacing w:after="0" w:line="272" w:lineRule="auto"/>
        <w:tabs>
          <w:tab w:leader="none" w:pos="1743" w:val="left"/>
        </w:tabs>
        <w:numPr>
          <w:ilvl w:val="1"/>
          <w:numId w:val="51"/>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Severance 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88" w:right="359" w:bottom="1440" w:gutter="0" w:footer="0" w:header="0"/>
        </w:sectPr>
      </w:pPr>
    </w:p>
    <w:bookmarkStart w:id="85" w:name="page86"/>
    <w:bookmarkEnd w:id="85"/>
    <w:p>
      <w:pPr>
        <w:ind w:right="20" w:firstLine="854"/>
        <w:spacing w:after="0" w:line="269" w:lineRule="auto"/>
        <w:tabs>
          <w:tab w:leader="none" w:pos="1731" w:val="left"/>
        </w:tabs>
        <w:numPr>
          <w:ilvl w:val="1"/>
          <w:numId w:val="52"/>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 any of the following events, provided that such event or occurrence </w:t>
      </w:r>
      <w:r>
        <w:rPr>
          <w:rFonts w:ascii="Arial" w:cs="Arial" w:eastAsia="Arial" w:hAnsi="Arial"/>
          <w:sz w:val="17"/>
          <w:szCs w:val="17"/>
          <w:color w:val="auto"/>
        </w:rPr>
        <w:t>constitutes a change in the ownership or effective control of the</w:t>
      </w:r>
      <w:r>
        <w:rPr>
          <w:rFonts w:ascii="Arial" w:cs="Arial" w:eastAsia="Arial" w:hAnsi="Arial"/>
          <w:sz w:val="19"/>
          <w:szCs w:val="19"/>
          <w:color w:val="auto"/>
        </w:rPr>
        <w:t xml:space="preserve"> </w:t>
      </w:r>
      <w:r>
        <w:rPr>
          <w:rFonts w:ascii="Arial" w:cs="Arial" w:eastAsia="Arial" w:hAnsi="Arial"/>
          <w:sz w:val="17"/>
          <w:szCs w:val="17"/>
          <w:color w:val="auto"/>
        </w:rPr>
        <w:t>Company, or a change in the ownership of a substantial portion of the assets of the Company, as defined in Treasury Regulation §§ 1.409A-3(i)</w:t>
      </w:r>
    </w:p>
    <w:p>
      <w:pPr>
        <w:spacing w:after="0" w:line="1" w:lineRule="exact"/>
        <w:rPr>
          <w:rFonts w:ascii="Arial" w:cs="Arial" w:eastAsia="Arial" w:hAnsi="Arial"/>
          <w:sz w:val="19"/>
          <w:szCs w:val="19"/>
          <w:color w:val="auto"/>
        </w:rPr>
      </w:pPr>
    </w:p>
    <w:p>
      <w:pPr>
        <w:ind w:right="220"/>
        <w:spacing w:after="0" w:line="266" w:lineRule="auto"/>
        <w:rPr>
          <w:rFonts w:ascii="Arial" w:cs="Arial" w:eastAsia="Arial" w:hAnsi="Arial"/>
          <w:sz w:val="19"/>
          <w:szCs w:val="19"/>
          <w:color w:val="auto"/>
        </w:rPr>
      </w:pPr>
      <w:r>
        <w:rPr>
          <w:rFonts w:ascii="Arial" w:cs="Arial" w:eastAsia="Arial" w:hAnsi="Arial"/>
          <w:sz w:val="18"/>
          <w:szCs w:val="18"/>
          <w:color w:val="auto"/>
        </w:rPr>
        <w:t>(5)(v),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w:t>
      </w:r>
    </w:p>
    <w:p>
      <w:pPr>
        <w:ind w:firstLine="8"/>
        <w:spacing w:after="0" w:line="302" w:lineRule="auto"/>
        <w:tabs>
          <w:tab w:leader="none" w:pos="2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corporationwhich as a result of such transaction owns the Company or substantially all of the Company’s assets either directly or through one</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9"/>
          <w:szCs w:val="19"/>
          <w:color w:val="auto"/>
        </w:rPr>
        <w:t>(1)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theCompany.</w:t>
      </w:r>
    </w:p>
    <w:p>
      <w:pPr>
        <w:spacing w:after="0" w:line="210" w:lineRule="exact"/>
        <w:rPr>
          <w:sz w:val="20"/>
          <w:szCs w:val="20"/>
          <w:color w:val="auto"/>
        </w:rPr>
      </w:pPr>
    </w:p>
    <w:p>
      <w:pPr>
        <w:ind w:right="240" w:firstLine="8"/>
        <w:spacing w:after="0" w:line="238" w:lineRule="auto"/>
        <w:tabs>
          <w:tab w:leader="none" w:pos="810"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86" w:name="page87"/>
    <w:bookmarkEnd w:id="86"/>
    <w:p>
      <w:pPr>
        <w:ind w:firstLine="8"/>
        <w:spacing w:after="0" w:line="238" w:lineRule="auto"/>
        <w:tabs>
          <w:tab w:leader="none" w:pos="918"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w:t>
      </w:r>
      <w:r>
        <w:rPr>
          <w:rFonts w:ascii="Arial" w:cs="Arial" w:eastAsia="Arial" w:hAnsi="Arial"/>
          <w:sz w:val="22"/>
          <w:szCs w:val="22"/>
          <w:i w:val="1"/>
          <w:iCs w:val="1"/>
          <w:color w:val="auto"/>
        </w:rPr>
        <w:t xml:space="preserve"> </w:t>
      </w:r>
      <w:r>
        <w:rPr>
          <w:rFonts w:ascii="Arial" w:cs="Arial" w:eastAsia="Arial" w:hAnsi="Arial"/>
          <w:sz w:val="22"/>
          <w:szCs w:val="22"/>
          <w:color w:val="auto"/>
        </w:rPr>
        <w:t>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To Company:</w:t>
      </w:r>
    </w:p>
    <w:p>
      <w:pPr>
        <w:spacing w:after="0" w:line="22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Fulcrum Therapeutics, Inc.</w:t>
      </w:r>
    </w:p>
    <w:p>
      <w:pPr>
        <w:ind w:left="1000"/>
        <w:spacing w:after="0" w:line="230"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202" w:lineRule="exact"/>
        <w:rPr>
          <w:sz w:val="20"/>
          <w:szCs w:val="20"/>
          <w:color w:val="auto"/>
        </w:rPr>
      </w:pPr>
    </w:p>
    <w:p>
      <w:pPr>
        <w:ind w:firstLine="8"/>
        <w:spacing w:after="0" w:line="234" w:lineRule="auto"/>
        <w:tabs>
          <w:tab w:leader="none" w:pos="910"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31" w:lineRule="exact"/>
        <w:rPr>
          <w:rFonts w:ascii="Arial" w:cs="Arial" w:eastAsia="Arial" w:hAnsi="Arial"/>
          <w:sz w:val="22"/>
          <w:szCs w:val="22"/>
          <w:color w:val="auto"/>
        </w:rPr>
      </w:pPr>
    </w:p>
    <w:p>
      <w:pPr>
        <w:ind w:right="20" w:firstLine="8"/>
        <w:spacing w:after="0" w:line="238" w:lineRule="auto"/>
        <w:tabs>
          <w:tab w:leader="none" w:pos="918"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225" w:lineRule="exact"/>
        <w:rPr>
          <w:rFonts w:ascii="Arial" w:cs="Arial" w:eastAsia="Arial" w:hAnsi="Arial"/>
          <w:sz w:val="22"/>
          <w:szCs w:val="22"/>
          <w:color w:val="auto"/>
        </w:rPr>
      </w:pPr>
    </w:p>
    <w:p>
      <w:pPr>
        <w:ind w:right="20" w:firstLine="8"/>
        <w:spacing w:after="0" w:line="257" w:lineRule="auto"/>
        <w:tabs>
          <w:tab w:leader="none" w:pos="918" w:val="left"/>
        </w:tabs>
        <w:numPr>
          <w:ilvl w:val="0"/>
          <w:numId w:val="56"/>
        </w:numPr>
        <w:rPr>
          <w:rFonts w:ascii="Arial" w:cs="Arial" w:eastAsia="Arial" w:hAnsi="Arial"/>
          <w:sz w:val="21"/>
          <w:szCs w:val="21"/>
          <w:color w:val="auto"/>
        </w:rPr>
      </w:pPr>
      <w:r>
        <w:rPr>
          <w:rFonts w:ascii="Arial" w:cs="Arial" w:eastAsia="Arial" w:hAnsi="Arial"/>
          <w:sz w:val="21"/>
          <w:szCs w:val="21"/>
          <w:i w:val="1"/>
          <w:iCs w:val="1"/>
          <w:color w:val="auto"/>
        </w:rPr>
        <w:t>At-Will Employment</w:t>
      </w:r>
      <w:r>
        <w:rPr>
          <w:rFonts w:ascii="Arial" w:cs="Arial" w:eastAsia="Arial" w:hAnsi="Arial"/>
          <w:sz w:val="21"/>
          <w:szCs w:val="21"/>
          <w:color w:val="auto"/>
        </w:rPr>
        <w:t>. During the Term of Employment, the Executive will continue to be an at-will employee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which means that, notwithstanding any other provision set forth herein, the employment relationship can be terminated by either Party for any reason, at any time, with or without prior notice and with or without Cause.</w:t>
      </w:r>
    </w:p>
    <w:p>
      <w:pPr>
        <w:spacing w:after="0" w:line="169" w:lineRule="exact"/>
        <w:rPr>
          <w:rFonts w:ascii="Arial" w:cs="Arial" w:eastAsia="Arial" w:hAnsi="Arial"/>
          <w:sz w:val="21"/>
          <w:szCs w:val="21"/>
          <w:color w:val="auto"/>
        </w:rPr>
      </w:pPr>
    </w:p>
    <w:p>
      <w:pPr>
        <w:ind w:right="120" w:firstLine="8"/>
        <w:spacing w:after="0" w:line="238" w:lineRule="auto"/>
        <w:tabs>
          <w:tab w:leader="none" w:pos="918"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w:t>
      </w:r>
      <w:r>
        <w:rPr>
          <w:rFonts w:ascii="Arial" w:cs="Arial" w:eastAsia="Arial" w:hAnsi="Arial"/>
          <w:sz w:val="22"/>
          <w:szCs w:val="22"/>
          <w:i w:val="1"/>
          <w:iCs w:val="1"/>
          <w:color w:val="auto"/>
        </w:rPr>
        <w:t xml:space="preserve"> </w:t>
      </w:r>
      <w:r>
        <w:rPr>
          <w:rFonts w:ascii="Arial" w:cs="Arial" w:eastAsia="Arial" w:hAnsi="Arial"/>
          <w:sz w:val="22"/>
          <w:szCs w:val="22"/>
          <w:color w:val="auto"/>
        </w:rPr>
        <w:t>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211" w:lineRule="exact"/>
        <w:rPr>
          <w:rFonts w:ascii="Arial" w:cs="Arial" w:eastAsia="Arial" w:hAnsi="Arial"/>
          <w:sz w:val="22"/>
          <w:szCs w:val="22"/>
          <w:color w:val="auto"/>
        </w:rPr>
      </w:pPr>
    </w:p>
    <w:p>
      <w:pPr>
        <w:ind w:right="320" w:firstLine="8"/>
        <w:spacing w:after="0"/>
        <w:tabs>
          <w:tab w:leader="none" w:pos="918"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w:t>
      </w:r>
      <w:r>
        <w:rPr>
          <w:rFonts w:ascii="Arial" w:cs="Arial" w:eastAsia="Arial" w:hAnsi="Arial"/>
          <w:sz w:val="22"/>
          <w:szCs w:val="22"/>
          <w:i w:val="1"/>
          <w:iCs w:val="1"/>
          <w:color w:val="auto"/>
        </w:rPr>
        <w:t xml:space="preserve"> </w:t>
      </w:r>
      <w:r>
        <w:rPr>
          <w:rFonts w:ascii="Arial" w:cs="Arial" w:eastAsia="Arial" w:hAnsi="Arial"/>
          <w:sz w:val="22"/>
          <w:szCs w:val="22"/>
          <w:color w:val="auto"/>
        </w:rPr>
        <w:t>written instrument executed by both the Company and the Executive. No delay or omission by the Company in exercising any right under this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87" w:name="page88"/>
    <w:bookmarkEnd w:id="87"/>
    <w:p>
      <w:pPr>
        <w:ind w:right="520"/>
        <w:spacing w:after="0" w:line="328" w:lineRule="auto"/>
        <w:rPr>
          <w:sz w:val="20"/>
          <w:szCs w:val="20"/>
          <w:color w:val="auto"/>
        </w:rPr>
      </w:pPr>
      <w:r>
        <w:rPr>
          <w:rFonts w:ascii="Arial" w:cs="Arial" w:eastAsia="Arial" w:hAnsi="Arial"/>
          <w:sz w:val="19"/>
          <w:szCs w:val="19"/>
          <w:color w:val="auto"/>
        </w:rPr>
        <w:t>shall operate as a waiver of that or any other right. A waiver or consent given by the Company on any one occasion shall be effective only in that instance and shall not be construed as a bar to or waiver of any right on any other occasion.</w:t>
      </w:r>
    </w:p>
    <w:p>
      <w:pPr>
        <w:spacing w:after="0" w:line="105" w:lineRule="exact"/>
        <w:rPr>
          <w:sz w:val="20"/>
          <w:szCs w:val="20"/>
          <w:color w:val="auto"/>
        </w:rPr>
      </w:pPr>
    </w:p>
    <w:p>
      <w:pPr>
        <w:ind w:right="20" w:firstLine="8"/>
        <w:spacing w:after="0" w:line="238" w:lineRule="auto"/>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w:t>
      </w:r>
      <w:r>
        <w:rPr>
          <w:rFonts w:ascii="Arial" w:cs="Arial" w:eastAsia="Arial" w:hAnsi="Arial"/>
          <w:sz w:val="22"/>
          <w:szCs w:val="22"/>
          <w:i w:val="1"/>
          <w:iCs w:val="1"/>
          <w:color w:val="auto"/>
        </w:rPr>
        <w:t xml:space="preserve"> </w:t>
      </w:r>
      <w:r>
        <w:rPr>
          <w:rFonts w:ascii="Arial" w:cs="Arial" w:eastAsia="Arial" w:hAnsi="Arial"/>
          <w:sz w:val="22"/>
          <w:szCs w:val="22"/>
          <w:color w:val="auto"/>
        </w:rPr>
        <w:t>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225" w:lineRule="exact"/>
        <w:rPr>
          <w:rFonts w:ascii="Arial" w:cs="Arial" w:eastAsia="Arial" w:hAnsi="Arial"/>
          <w:sz w:val="22"/>
          <w:szCs w:val="22"/>
          <w:color w:val="auto"/>
        </w:rPr>
      </w:pPr>
    </w:p>
    <w:p>
      <w:pPr>
        <w:ind w:firstLine="8"/>
        <w:spacing w:after="0" w:line="238" w:lineRule="auto"/>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w:t>
      </w:r>
      <w:r>
        <w:rPr>
          <w:rFonts w:ascii="Arial" w:cs="Arial" w:eastAsia="Arial" w:hAnsi="Arial"/>
          <w:sz w:val="22"/>
          <w:szCs w:val="22"/>
          <w:i w:val="1"/>
          <w:iCs w:val="1"/>
          <w:color w:val="auto"/>
        </w:rPr>
        <w:t xml:space="preserve"> </w:t>
      </w:r>
      <w:r>
        <w:rPr>
          <w:rFonts w:ascii="Arial" w:cs="Arial" w:eastAsia="Arial" w:hAnsi="Arial"/>
          <w:sz w:val="22"/>
          <w:szCs w:val="22"/>
          <w:color w:val="auto"/>
        </w:rPr>
        <w:t>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11" w:lineRule="exact"/>
        <w:rPr>
          <w:rFonts w:ascii="Arial" w:cs="Arial" w:eastAsia="Arial" w:hAnsi="Arial"/>
          <w:sz w:val="22"/>
          <w:szCs w:val="22"/>
          <w:color w:val="auto"/>
        </w:rPr>
      </w:pPr>
    </w:p>
    <w:p>
      <w:pPr>
        <w:ind w:right="80" w:firstLine="8"/>
        <w:spacing w:after="0" w:line="277" w:lineRule="auto"/>
        <w:tabs>
          <w:tab w:leader="none" w:pos="918"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92" w:lineRule="exact"/>
        <w:rPr>
          <w:rFonts w:ascii="Arial" w:cs="Arial" w:eastAsia="Arial" w:hAnsi="Arial"/>
          <w:sz w:val="19"/>
          <w:szCs w:val="19"/>
          <w:color w:val="auto"/>
        </w:rPr>
      </w:pPr>
    </w:p>
    <w:p>
      <w:pPr>
        <w:ind w:right="520" w:firstLine="8"/>
        <w:spacing w:after="0"/>
        <w:tabs>
          <w:tab w:leader="none" w:pos="918"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[Signatures on Page Following]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J. Gould</w:t>
            </w:r>
          </w:p>
        </w:tc>
      </w:tr>
      <w:tr>
        <w:trPr>
          <w:trHeight w:val="480"/>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Robert J. Gould</w:t>
            </w:r>
          </w:p>
        </w:tc>
      </w:tr>
      <w:tr>
        <w:trPr>
          <w:trHeight w:val="479"/>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&amp; Chief Executive Officer</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Christopher Moxham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Christopher Moxham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566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Payments Subject to Section 409A</w:t>
      </w:r>
    </w:p>
    <w:p>
      <w:pPr>
        <w:spacing w:after="0" w:line="199" w:lineRule="exact"/>
        <w:rPr>
          <w:sz w:val="20"/>
          <w:szCs w:val="20"/>
          <w:color w:val="auto"/>
        </w:rPr>
      </w:pPr>
    </w:p>
    <w:p>
      <w:pPr>
        <w:ind w:left="-60" w:right="40" w:firstLine="854"/>
        <w:spacing w:after="0" w:line="238" w:lineRule="auto"/>
        <w:tabs>
          <w:tab w:leader="none" w:pos="1596"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12" w:lineRule="exact"/>
        <w:rPr>
          <w:sz w:val="20"/>
          <w:szCs w:val="20"/>
          <w:color w:val="auto"/>
        </w:rPr>
      </w:pPr>
    </w:p>
    <w:p>
      <w:pPr>
        <w:jc w:val="both"/>
        <w:ind w:left="-60" w:firstLine="854"/>
        <w:spacing w:after="0" w:line="238" w:lineRule="auto"/>
        <w:tabs>
          <w:tab w:leader="none" w:pos="1671" w:val="left"/>
        </w:tabs>
        <w:numPr>
          <w:ilvl w:val="1"/>
          <w:numId w:val="59"/>
        </w:numPr>
        <w:rPr>
          <w:rFonts w:ascii="Arial" w:cs="Arial" w:eastAsia="Arial" w:hAnsi="Arial"/>
          <w:sz w:val="22"/>
          <w:szCs w:val="22"/>
          <w:color w:val="auto"/>
        </w:rPr>
      </w:pPr>
      <w:r>
        <w:rPr>
          <w:rFonts w:ascii="Arial" w:cs="Arial" w:eastAsia="Arial" w:hAnsi="Arial"/>
          <w:sz w:val="22"/>
          <w:szCs w:val="22"/>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11" w:lineRule="exact"/>
        <w:rPr>
          <w:rFonts w:ascii="Arial" w:cs="Arial" w:eastAsia="Arial" w:hAnsi="Arial"/>
          <w:sz w:val="22"/>
          <w:szCs w:val="22"/>
          <w:color w:val="auto"/>
        </w:rPr>
      </w:pPr>
    </w:p>
    <w:p>
      <w:pPr>
        <w:ind w:left="-60" w:firstLine="854"/>
        <w:spacing w:after="0"/>
        <w:tabs>
          <w:tab w:leader="none" w:pos="1683"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13" w:lineRule="exact"/>
        <w:rPr>
          <w:rFonts w:ascii="Arial" w:cs="Arial" w:eastAsia="Arial" w:hAnsi="Arial"/>
          <w:sz w:val="22"/>
          <w:szCs w:val="22"/>
          <w:color w:val="auto"/>
        </w:rPr>
      </w:pPr>
    </w:p>
    <w:p>
      <w:pPr>
        <w:ind w:left="-60" w:right="80" w:firstLine="854"/>
        <w:spacing w:after="0" w:line="250" w:lineRule="auto"/>
        <w:tabs>
          <w:tab w:leader="none" w:pos="1671"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201" w:lineRule="exact"/>
        <w:rPr>
          <w:rFonts w:ascii="Arial" w:cs="Arial" w:eastAsia="Arial" w:hAnsi="Arial"/>
          <w:sz w:val="22"/>
          <w:szCs w:val="22"/>
          <w:color w:val="auto"/>
        </w:rPr>
      </w:pPr>
    </w:p>
    <w:p>
      <w:pPr>
        <w:ind w:left="1620" w:right="140" w:hanging="835"/>
        <w:spacing w:after="0" w:line="282" w:lineRule="auto"/>
        <w:tabs>
          <w:tab w:leader="none" w:pos="1620" w:val="left"/>
        </w:tabs>
        <w:numPr>
          <w:ilvl w:val="1"/>
          <w:numId w:val="60"/>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74" w:lineRule="exact"/>
        <w:rPr>
          <w:rFonts w:ascii="Arial" w:cs="Arial" w:eastAsia="Arial" w:hAnsi="Arial"/>
          <w:sz w:val="19"/>
          <w:szCs w:val="19"/>
          <w:color w:val="auto"/>
        </w:rPr>
      </w:pPr>
    </w:p>
    <w:p>
      <w:pPr>
        <w:ind w:left="1620" w:right="20" w:hanging="835"/>
        <w:spacing w:after="0" w:line="277" w:lineRule="auto"/>
        <w:tabs>
          <w:tab w:leader="none" w:pos="16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w:t>
      </w:r>
      <w:r>
        <w:rPr>
          <w:rFonts w:ascii="Arial" w:cs="Arial" w:eastAsia="Arial" w:hAnsi="Arial"/>
          <w:sz w:val="17"/>
          <w:szCs w:val="17"/>
          <w:color w:val="auto"/>
        </w:rPr>
        <w:t>installment of payments if and to the maximum</w:t>
      </w:r>
      <w:r>
        <w:rPr>
          <w:rFonts w:ascii="Arial" w:cs="Arial" w:eastAsia="Arial" w:hAnsi="Arial"/>
          <w:sz w:val="19"/>
          <w:szCs w:val="19"/>
          <w:color w:val="auto"/>
        </w:rPr>
        <w:t xml:space="preserve"> </w:t>
      </w:r>
      <w:r>
        <w:rPr>
          <w:rFonts w:ascii="Arial" w:cs="Arial" w:eastAsia="Arial" w:hAnsi="Arial"/>
          <w:sz w:val="17"/>
          <w:szCs w:val="17"/>
          <w:color w:val="auto"/>
        </w:rPr>
        <w:t>extent that that such 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203200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80" w:top="571" w:right="379" w:bottom="1440" w:gutter="0" w:footer="0" w:header="0"/>
        </w:sectPr>
      </w:pPr>
    </w:p>
    <w:bookmarkStart w:id="90" w:name="page91"/>
    <w:bookmarkEnd w:id="90"/>
    <w:p>
      <w:pPr>
        <w:ind w:right="40" w:firstLine="854"/>
        <w:spacing w:after="0" w:line="252" w:lineRule="auto"/>
        <w:tabs>
          <w:tab w:leader="none" w:pos="1656"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0" w:lineRule="exact"/>
        <w:rPr>
          <w:rFonts w:ascii="Arial" w:cs="Arial" w:eastAsia="Arial" w:hAnsi="Arial"/>
          <w:sz w:val="21"/>
          <w:szCs w:val="21"/>
          <w:color w:val="auto"/>
        </w:rPr>
      </w:pPr>
    </w:p>
    <w:p>
      <w:pPr>
        <w:ind w:firstLine="854"/>
        <w:spacing w:after="0" w:line="277" w:lineRule="auto"/>
        <w:tabs>
          <w:tab w:leader="none" w:pos="16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rFonts w:ascii="Arial" w:cs="Arial" w:eastAsia="Arial" w:hAnsi="Arial"/>
          <w:sz w:val="19"/>
          <w:szCs w:val="19"/>
          <w:color w:val="auto"/>
        </w:rPr>
      </w:pPr>
    </w:p>
    <w:p>
      <w:pPr>
        <w:ind w:firstLine="854"/>
        <w:spacing w:after="0" w:line="297" w:lineRule="auto"/>
        <w:tabs>
          <w:tab w:leader="none" w:pos="16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60" w:lineRule="exact"/>
        <w:rPr>
          <w:rFonts w:ascii="Arial" w:cs="Arial" w:eastAsia="Arial" w:hAnsi="Arial"/>
          <w:sz w:val="19"/>
          <w:szCs w:val="19"/>
          <w:color w:val="auto"/>
        </w:rPr>
      </w:pPr>
    </w:p>
    <w:p>
      <w:pPr>
        <w:ind w:left="1660" w:hanging="806"/>
        <w:spacing w:after="0"/>
        <w:tabs>
          <w:tab w:leader="none" w:pos="16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[Remainder of page intentionally left blank.]</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120"/>
          </w:cols>
          <w:pgMar w:left="320" w:top="604" w:right="45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right="440" w:firstLine="845"/>
        <w:spacing w:after="0" w:line="250" w:lineRule="auto"/>
        <w:rPr>
          <w:sz w:val="20"/>
          <w:szCs w:val="20"/>
          <w:color w:val="auto"/>
        </w:rPr>
      </w:pPr>
      <w:r>
        <w:rPr>
          <w:rFonts w:ascii="Arial" w:cs="Arial" w:eastAsia="Arial" w:hAnsi="Arial"/>
          <w:sz w:val="22"/>
          <w:szCs w:val="22"/>
          <w:color w:val="auto"/>
        </w:rPr>
        <w:t>THIS EMPLOYMENT AGREEMENT (the “Agreement”), is made as of 19 March 2021 by and between Fulcrum Therapeutics, Inc. (the “Company”), and Judith Dunn (the “Executive”) (together, the “Parties”).</w:t>
      </w:r>
    </w:p>
    <w:p>
      <w:pPr>
        <w:spacing w:after="0" w:line="13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Company desires to continue to employ the Executive as its President, Research and Development; and</w:t>
      </w:r>
    </w:p>
    <w:p>
      <w:pPr>
        <w:spacing w:after="0" w:line="241" w:lineRule="exact"/>
        <w:rPr>
          <w:sz w:val="20"/>
          <w:szCs w:val="20"/>
          <w:color w:val="auto"/>
        </w:rPr>
      </w:pPr>
    </w:p>
    <w:p>
      <w:pPr>
        <w:ind w:right="780" w:firstLine="845"/>
        <w:spacing w:after="0" w:line="250" w:lineRule="auto"/>
        <w:rPr>
          <w:sz w:val="20"/>
          <w:szCs w:val="20"/>
          <w:color w:val="auto"/>
        </w:rPr>
      </w:pPr>
      <w:r>
        <w:rPr>
          <w:rFonts w:ascii="Arial" w:cs="Arial" w:eastAsia="Arial" w:hAnsi="Arial"/>
          <w:sz w:val="22"/>
          <w:szCs w:val="22"/>
          <w:color w:val="auto"/>
        </w:rPr>
        <w:t>WHEREAS, the Company and the Executive are party to a letter agreement dated March 4, 2021 (the “Existing Agreement”) and desire to amend and restate the Existing Agreement in its entirety; and</w:t>
      </w:r>
    </w:p>
    <w:p>
      <w:pPr>
        <w:spacing w:after="0" w:line="175" w:lineRule="exact"/>
        <w:rPr>
          <w:sz w:val="20"/>
          <w:szCs w:val="20"/>
          <w:color w:val="auto"/>
        </w:rPr>
      </w:pPr>
    </w:p>
    <w:p>
      <w:pPr>
        <w:ind w:right="40" w:firstLine="845"/>
        <w:spacing w:after="0" w:line="250" w:lineRule="auto"/>
        <w:rPr>
          <w:sz w:val="20"/>
          <w:szCs w:val="20"/>
          <w:color w:val="auto"/>
        </w:rPr>
      </w:pPr>
      <w:r>
        <w:rPr>
          <w:rFonts w:ascii="Arial" w:cs="Arial" w:eastAsia="Arial" w:hAnsi="Arial"/>
          <w:sz w:val="22"/>
          <w:szCs w:val="22"/>
          <w:color w:val="auto"/>
        </w:rPr>
        <w:t>WHEREAS, the Executive has agreed to accept such continued employment on the terms and conditions set forth in this Agreement;</w:t>
      </w:r>
    </w:p>
    <w:p>
      <w:pPr>
        <w:spacing w:after="0" w:line="175" w:lineRule="exact"/>
        <w:rPr>
          <w:sz w:val="20"/>
          <w:szCs w:val="20"/>
          <w:color w:val="auto"/>
        </w:rPr>
      </w:pPr>
    </w:p>
    <w:p>
      <w:pPr>
        <w:ind w:right="300" w:firstLine="845"/>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jc w:val="both"/>
        <w:ind w:firstLine="8"/>
        <w:spacing w:after="0"/>
        <w:tabs>
          <w:tab w:leader="none" w:pos="81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Following the Effective Date, the Executive shall</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to be an employee of the Company until such employment relationship is terminated in accordance with Section 7 hereof (the “Term of Employment”).</w:t>
      </w:r>
    </w:p>
    <w:p>
      <w:pPr>
        <w:spacing w:after="0" w:line="186" w:lineRule="exact"/>
        <w:rPr>
          <w:rFonts w:ascii="Arial" w:cs="Arial" w:eastAsia="Arial" w:hAnsi="Arial"/>
          <w:sz w:val="22"/>
          <w:szCs w:val="22"/>
          <w:color w:val="auto"/>
        </w:rPr>
      </w:pPr>
    </w:p>
    <w:p>
      <w:pPr>
        <w:ind w:right="40" w:firstLine="8"/>
        <w:spacing w:after="0"/>
        <w:tabs>
          <w:tab w:leader="none" w:pos="81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Position</w:t>
      </w:r>
      <w:r>
        <w:rPr>
          <w:rFonts w:ascii="Arial" w:cs="Arial" w:eastAsia="Arial" w:hAnsi="Arial"/>
          <w:sz w:val="22"/>
          <w:szCs w:val="22"/>
          <w:color w:val="auto"/>
        </w:rPr>
        <w:t>. During the Term of Employment, the Executive shall serve as the President, Research and Development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working out of the Company’s office in Cambridge, Massachusetts, and travelling as reasonably required by the Executive’s job duties.</w:t>
      </w:r>
    </w:p>
    <w:p>
      <w:pPr>
        <w:spacing w:after="0" w:line="186" w:lineRule="exact"/>
        <w:rPr>
          <w:rFonts w:ascii="Arial" w:cs="Arial" w:eastAsia="Arial" w:hAnsi="Arial"/>
          <w:sz w:val="22"/>
          <w:szCs w:val="22"/>
          <w:color w:val="auto"/>
        </w:rPr>
      </w:pPr>
    </w:p>
    <w:p>
      <w:pPr>
        <w:ind w:right="60" w:firstLine="8"/>
        <w:spacing w:after="0" w:line="273" w:lineRule="auto"/>
        <w:tabs>
          <w:tab w:leader="none" w:pos="810"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duties consistent with the Executive’s position as President, Research and Development. The Executive shall report to the President and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2" w:name="page93"/>
    <w:bookmarkEnd w:id="92"/>
    <w:p>
      <w:pPr>
        <w:ind w:right="640" w:firstLine="8"/>
        <w:spacing w:after="0" w:line="274" w:lineRule="auto"/>
        <w:tabs>
          <w:tab w:leader="none" w:pos="810" w:val="left"/>
        </w:tabs>
        <w:numPr>
          <w:ilvl w:val="0"/>
          <w:numId w:val="64"/>
        </w:numPr>
        <w:rPr>
          <w:rFonts w:ascii="Arial" w:cs="Arial" w:eastAsia="Arial" w:hAnsi="Arial"/>
          <w:sz w:val="21"/>
          <w:szCs w:val="21"/>
          <w:color w:val="auto"/>
        </w:rPr>
      </w:pPr>
      <w:r>
        <w:rPr>
          <w:rFonts w:ascii="Arial" w:cs="Arial" w:eastAsia="Arial" w:hAnsi="Arial"/>
          <w:sz w:val="21"/>
          <w:szCs w:val="21"/>
          <w:i w:val="1"/>
          <w:iCs w:val="1"/>
          <w:color w:val="auto"/>
        </w:rPr>
        <w:t>Compensation</w:t>
      </w:r>
      <w:r>
        <w:rPr>
          <w:rFonts w:ascii="Arial" w:cs="Arial" w:eastAsia="Arial" w:hAnsi="Arial"/>
          <w:sz w:val="21"/>
          <w:szCs w:val="21"/>
          <w:color w:val="auto"/>
        </w:rPr>
        <w:t>. As full compensation for all services rendered by the Executive to the Company and any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thereof, during the Term of Employment, the Company will provide to the Executive the following:</w:t>
      </w:r>
    </w:p>
    <w:p>
      <w:pPr>
        <w:spacing w:after="0" w:line="150" w:lineRule="exact"/>
        <w:rPr>
          <w:rFonts w:ascii="Arial" w:cs="Arial" w:eastAsia="Arial" w:hAnsi="Arial"/>
          <w:sz w:val="21"/>
          <w:szCs w:val="21"/>
          <w:color w:val="auto"/>
        </w:rPr>
      </w:pPr>
    </w:p>
    <w:p>
      <w:pPr>
        <w:ind w:right="20" w:firstLine="853"/>
        <w:spacing w:after="0" w:line="238" w:lineRule="auto"/>
        <w:tabs>
          <w:tab w:leader="none" w:pos="1727"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Effective as of the Effective Date, the Executive shall receive a base salary at the annualized rate</w:t>
      </w:r>
      <w:r>
        <w:rPr>
          <w:rFonts w:ascii="Arial" w:cs="Arial" w:eastAsia="Arial" w:hAnsi="Arial"/>
          <w:sz w:val="22"/>
          <w:szCs w:val="22"/>
          <w:i w:val="1"/>
          <w:iCs w:val="1"/>
          <w:color w:val="auto"/>
        </w:rPr>
        <w:t xml:space="preserve"> </w:t>
      </w:r>
      <w:r>
        <w:rPr>
          <w:rFonts w:ascii="Arial" w:cs="Arial" w:eastAsia="Arial" w:hAnsi="Arial"/>
          <w:sz w:val="22"/>
          <w:szCs w:val="22"/>
          <w:color w:val="auto"/>
        </w:rPr>
        <w:t>of $450,000 (the “Base Salary”). 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184" w:lineRule="exact"/>
        <w:rPr>
          <w:rFonts w:ascii="Arial" w:cs="Arial" w:eastAsia="Arial" w:hAnsi="Arial"/>
          <w:sz w:val="22"/>
          <w:szCs w:val="22"/>
          <w:color w:val="auto"/>
        </w:rPr>
      </w:pPr>
    </w:p>
    <w:p>
      <w:pPr>
        <w:ind w:firstLine="853"/>
        <w:spacing w:after="0" w:line="272" w:lineRule="auto"/>
        <w:tabs>
          <w:tab w:leader="none" w:pos="1739"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 annual</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bonus of up to 40%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82" w:lineRule="exact"/>
        <w:rPr>
          <w:rFonts w:ascii="Arial" w:cs="Arial" w:eastAsia="Arial" w:hAnsi="Arial"/>
          <w:sz w:val="19"/>
          <w:szCs w:val="19"/>
          <w:color w:val="auto"/>
        </w:rPr>
      </w:pPr>
    </w:p>
    <w:p>
      <w:pPr>
        <w:ind w:right="220" w:firstLine="853"/>
        <w:spacing w:after="0" w:line="250" w:lineRule="auto"/>
        <w:tabs>
          <w:tab w:leader="none" w:pos="1727"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w:t>
      </w:r>
      <w:r>
        <w:rPr>
          <w:rFonts w:ascii="Arial" w:cs="Arial" w:eastAsia="Arial" w:hAnsi="Arial"/>
          <w:sz w:val="22"/>
          <w:szCs w:val="22"/>
          <w:i w:val="1"/>
          <w:iCs w:val="1"/>
          <w:color w:val="auto"/>
        </w:rPr>
        <w:t xml:space="preserve"> </w:t>
      </w:r>
      <w:r>
        <w:rPr>
          <w:rFonts w:ascii="Arial" w:cs="Arial" w:eastAsia="Arial" w:hAnsi="Arial"/>
          <w:sz w:val="22"/>
          <w:szCs w:val="22"/>
          <w:color w:val="auto"/>
        </w:rPr>
        <w:t>and conditions as the Board shall, in its sole discretion, determine.</w:t>
      </w:r>
    </w:p>
    <w:p>
      <w:pPr>
        <w:spacing w:after="0" w:line="174" w:lineRule="exact"/>
        <w:rPr>
          <w:rFonts w:ascii="Arial" w:cs="Arial" w:eastAsia="Arial" w:hAnsi="Arial"/>
          <w:sz w:val="22"/>
          <w:szCs w:val="22"/>
          <w:color w:val="auto"/>
        </w:rPr>
      </w:pPr>
    </w:p>
    <w:p>
      <w:pPr>
        <w:ind w:left="1740" w:hanging="887"/>
        <w:spacing w:after="0"/>
        <w:tabs>
          <w:tab w:leader="none" w:pos="1740"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Paid Time Off</w:t>
      </w:r>
      <w:r>
        <w:rPr>
          <w:rFonts w:ascii="Arial" w:cs="Arial" w:eastAsia="Arial" w:hAnsi="Arial"/>
          <w:sz w:val="19"/>
          <w:szCs w:val="19"/>
          <w:color w:val="auto"/>
        </w:rPr>
        <w:t>. The Executive shall be entitled to paid time off, vacation time plus sick time, consistent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Company’s policies.</w:t>
      </w:r>
    </w:p>
    <w:p>
      <w:pPr>
        <w:spacing w:after="0" w:line="188" w:lineRule="exact"/>
        <w:rPr>
          <w:rFonts w:ascii="Arial" w:cs="Arial" w:eastAsia="Arial" w:hAnsi="Arial"/>
          <w:sz w:val="19"/>
          <w:szCs w:val="19"/>
          <w:color w:val="auto"/>
        </w:rPr>
      </w:pPr>
    </w:p>
    <w:p>
      <w:pPr>
        <w:ind w:right="100" w:firstLine="853"/>
        <w:spacing w:after="0" w:line="287" w:lineRule="auto"/>
        <w:tabs>
          <w:tab w:leader="none" w:pos="1727"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Benefits</w:t>
      </w:r>
      <w:r>
        <w:rPr>
          <w:rFonts w:ascii="Arial" w:cs="Arial" w:eastAsia="Arial" w:hAnsi="Arial"/>
          <w:sz w:val="19"/>
          <w:szCs w:val="19"/>
          <w:color w:val="auto"/>
        </w:rPr>
        <w:t>. Subject to eligibility requirements and the Company’s polices, you shall have the right, on the same</w:t>
      </w:r>
      <w:r>
        <w:rPr>
          <w:rFonts w:ascii="Arial" w:cs="Arial" w:eastAsia="Arial" w:hAnsi="Arial"/>
          <w:sz w:val="19"/>
          <w:szCs w:val="19"/>
          <w:i w:val="1"/>
          <w:iCs w:val="1"/>
          <w:color w:val="auto"/>
        </w:rPr>
        <w:t xml:space="preserve"> </w:t>
      </w:r>
      <w:r>
        <w:rPr>
          <w:rFonts w:ascii="Arial" w:cs="Arial" w:eastAsia="Arial" w:hAnsi="Arial"/>
          <w:sz w:val="19"/>
          <w:szCs w:val="19"/>
          <w:color w:val="auto"/>
        </w:rPr>
        <w:t>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you elect to participate in such plans.</w:t>
      </w:r>
    </w:p>
    <w:p>
      <w:pPr>
        <w:spacing w:after="0" w:line="142" w:lineRule="exact"/>
        <w:rPr>
          <w:rFonts w:ascii="Arial" w:cs="Arial" w:eastAsia="Arial" w:hAnsi="Arial"/>
          <w:sz w:val="19"/>
          <w:szCs w:val="19"/>
          <w:color w:val="auto"/>
        </w:rPr>
      </w:pPr>
    </w:p>
    <w:p>
      <w:pPr>
        <w:ind w:left="1720" w:hanging="867"/>
        <w:spacing w:after="0"/>
        <w:tabs>
          <w:tab w:leader="none" w:pos="1720" w:val="left"/>
        </w:tabs>
        <w:numPr>
          <w:ilvl w:val="1"/>
          <w:numId w:val="64"/>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13" w:lineRule="exact"/>
        <w:rPr>
          <w:rFonts w:ascii="Arial" w:cs="Arial" w:eastAsia="Arial" w:hAnsi="Arial"/>
          <w:sz w:val="19"/>
          <w:szCs w:val="19"/>
          <w:color w:val="auto"/>
        </w:rPr>
      </w:pPr>
    </w:p>
    <w:p>
      <w:pPr>
        <w:ind w:right="520" w:firstLine="8"/>
        <w:spacing w:after="0" w:line="250" w:lineRule="auto"/>
        <w:tabs>
          <w:tab w:leader="none" w:pos="8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 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23" w:right="379" w:bottom="1440" w:gutter="0" w:footer="0" w:header="0"/>
        </w:sectPr>
      </w:pPr>
    </w:p>
    <w:bookmarkStart w:id="93" w:name="page94"/>
    <w:bookmarkEnd w:id="93"/>
    <w:p>
      <w:pPr>
        <w:jc w:val="both"/>
        <w:ind w:left="-8" w:right="700" w:firstLine="8"/>
        <w:spacing w:after="0"/>
        <w:tabs>
          <w:tab w:leader="none" w:pos="802"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Restrictive Covenants Agreement</w:t>
      </w:r>
      <w:r>
        <w:rPr>
          <w:rFonts w:ascii="Arial" w:cs="Arial" w:eastAsia="Arial" w:hAnsi="Arial"/>
          <w:sz w:val="22"/>
          <w:szCs w:val="22"/>
          <w:color w:val="auto"/>
        </w:rPr>
        <w:t>. The Executive hereby acknowledges that in connection with entering into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Executive shall be required to enter into a Employee Confidentiality and Assignment Agreement with the Company.</w:t>
      </w:r>
    </w:p>
    <w:p>
      <w:pPr>
        <w:spacing w:after="0" w:line="186" w:lineRule="exact"/>
        <w:rPr>
          <w:rFonts w:ascii="Arial" w:cs="Arial" w:eastAsia="Arial" w:hAnsi="Arial"/>
          <w:sz w:val="22"/>
          <w:szCs w:val="22"/>
          <w:color w:val="auto"/>
        </w:rPr>
      </w:pPr>
    </w:p>
    <w:p>
      <w:pPr>
        <w:ind w:left="-8" w:right="140" w:firstLine="8"/>
        <w:spacing w:after="0" w:line="250" w:lineRule="auto"/>
        <w:tabs>
          <w:tab w:leader="none" w:pos="802"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w:t>
      </w:r>
      <w:r>
        <w:rPr>
          <w:rFonts w:ascii="Arial" w:cs="Arial" w:eastAsia="Arial" w:hAnsi="Arial"/>
          <w:sz w:val="22"/>
          <w:szCs w:val="22"/>
          <w:i w:val="1"/>
          <w:iCs w:val="1"/>
          <w:color w:val="auto"/>
        </w:rPr>
        <w:t xml:space="preserve"> </w:t>
      </w:r>
      <w:r>
        <w:rPr>
          <w:rFonts w:ascii="Arial" w:cs="Arial" w:eastAsia="Arial" w:hAnsi="Arial"/>
          <w:sz w:val="22"/>
          <w:szCs w:val="22"/>
          <w:color w:val="auto"/>
        </w:rPr>
        <w:t>any of the following:</w:t>
      </w:r>
    </w:p>
    <w:p>
      <w:pPr>
        <w:spacing w:after="0" w:line="174" w:lineRule="exact"/>
        <w:rPr>
          <w:rFonts w:ascii="Arial" w:cs="Arial" w:eastAsia="Arial" w:hAnsi="Arial"/>
          <w:sz w:val="22"/>
          <w:szCs w:val="22"/>
          <w:color w:val="auto"/>
        </w:rPr>
      </w:pPr>
    </w:p>
    <w:p>
      <w:pPr>
        <w:ind w:left="-8" w:firstLine="853"/>
        <w:spacing w:after="0" w:line="287" w:lineRule="auto"/>
        <w:tabs>
          <w:tab w:leader="none" w:pos="1719" w:val="left"/>
        </w:tabs>
        <w:numPr>
          <w:ilvl w:val="2"/>
          <w:numId w:val="65"/>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42" w:lineRule="exact"/>
        <w:rPr>
          <w:rFonts w:ascii="Arial" w:cs="Arial" w:eastAsia="Arial" w:hAnsi="Arial"/>
          <w:sz w:val="19"/>
          <w:szCs w:val="19"/>
          <w:color w:val="auto"/>
        </w:rPr>
      </w:pPr>
    </w:p>
    <w:p>
      <w:pPr>
        <w:ind w:left="-8" w:right="160" w:firstLine="853"/>
        <w:spacing w:after="0" w:line="250" w:lineRule="auto"/>
        <w:tabs>
          <w:tab w:leader="none" w:pos="1731" w:val="left"/>
        </w:tabs>
        <w:numPr>
          <w:ilvl w:val="2"/>
          <w:numId w:val="65"/>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174" w:lineRule="exact"/>
        <w:rPr>
          <w:rFonts w:ascii="Arial" w:cs="Arial" w:eastAsia="Arial" w:hAnsi="Arial"/>
          <w:sz w:val="22"/>
          <w:szCs w:val="22"/>
          <w:color w:val="auto"/>
        </w:rPr>
      </w:pPr>
    </w:p>
    <w:p>
      <w:pPr>
        <w:ind w:left="1672" w:right="120" w:hanging="835"/>
        <w:spacing w:after="0" w:line="297" w:lineRule="auto"/>
        <w:tabs>
          <w:tab w:leader="none" w:pos="1672" w:val="left"/>
        </w:tabs>
        <w:numPr>
          <w:ilvl w:val="2"/>
          <w:numId w:val="66"/>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33" w:lineRule="exact"/>
        <w:rPr>
          <w:rFonts w:ascii="Arial" w:cs="Arial" w:eastAsia="Arial" w:hAnsi="Arial"/>
          <w:sz w:val="19"/>
          <w:szCs w:val="19"/>
          <w:color w:val="auto"/>
        </w:rPr>
      </w:pPr>
    </w:p>
    <w:p>
      <w:pPr>
        <w:ind w:left="1672" w:right="180" w:hanging="835"/>
        <w:spacing w:after="0" w:line="250" w:lineRule="auto"/>
        <w:tabs>
          <w:tab w:leader="none" w:pos="1672" w:val="left"/>
        </w:tabs>
        <w:numPr>
          <w:ilvl w:val="2"/>
          <w:numId w:val="67"/>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174" w:lineRule="exact"/>
        <w:rPr>
          <w:rFonts w:ascii="Arial" w:cs="Arial" w:eastAsia="Arial" w:hAnsi="Arial"/>
          <w:sz w:val="22"/>
          <w:szCs w:val="22"/>
          <w:color w:val="auto"/>
        </w:rPr>
      </w:pPr>
    </w:p>
    <w:p>
      <w:pPr>
        <w:ind w:left="1672" w:right="200" w:hanging="835"/>
        <w:spacing w:after="0" w:line="250" w:lineRule="auto"/>
        <w:tabs>
          <w:tab w:leader="none" w:pos="1672" w:val="left"/>
        </w:tabs>
        <w:numPr>
          <w:ilvl w:val="2"/>
          <w:numId w:val="68"/>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or</w:t>
      </w:r>
    </w:p>
    <w:p>
      <w:pPr>
        <w:spacing w:after="0" w:line="174" w:lineRule="exact"/>
        <w:rPr>
          <w:rFonts w:ascii="Arial" w:cs="Arial" w:eastAsia="Arial" w:hAnsi="Arial"/>
          <w:sz w:val="22"/>
          <w:szCs w:val="22"/>
          <w:color w:val="auto"/>
        </w:rPr>
      </w:pPr>
    </w:p>
    <w:p>
      <w:pPr>
        <w:ind w:left="1672" w:right="160" w:hanging="835"/>
        <w:spacing w:after="0" w:line="250" w:lineRule="auto"/>
        <w:tabs>
          <w:tab w:leader="none" w:pos="1672" w:val="left"/>
        </w:tabs>
        <w:numPr>
          <w:ilvl w:val="1"/>
          <w:numId w:val="69"/>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174" w:lineRule="exact"/>
        <w:rPr>
          <w:rFonts w:ascii="Arial" w:cs="Arial" w:eastAsia="Arial" w:hAnsi="Arial"/>
          <w:sz w:val="22"/>
          <w:szCs w:val="22"/>
          <w:color w:val="auto"/>
        </w:rPr>
      </w:pPr>
    </w:p>
    <w:p>
      <w:pPr>
        <w:ind w:left="-8" w:right="140" w:firstLine="853"/>
        <w:spacing w:after="0" w:line="297" w:lineRule="auto"/>
        <w:tabs>
          <w:tab w:leader="none" w:pos="1719" w:val="left"/>
        </w:tabs>
        <w:numPr>
          <w:ilvl w:val="2"/>
          <w:numId w:val="69"/>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134" w:lineRule="exact"/>
        <w:rPr>
          <w:sz w:val="20"/>
          <w:szCs w:val="20"/>
          <w:color w:val="auto"/>
        </w:rPr>
      </w:pPr>
    </w:p>
    <w:p>
      <w:pPr>
        <w:ind w:left="1672" w:right="180" w:hanging="835"/>
        <w:spacing w:after="0"/>
        <w:tabs>
          <w:tab w:leader="none" w:pos="16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145" w:lineRule="exact"/>
        <w:rPr>
          <w:rFonts w:ascii="Arial" w:cs="Arial" w:eastAsia="Arial" w:hAnsi="Arial"/>
          <w:sz w:val="22"/>
          <w:szCs w:val="22"/>
          <w:color w:val="auto"/>
        </w:rPr>
      </w:pPr>
    </w:p>
    <w:p>
      <w:pPr>
        <w:ind w:left="1672" w:hanging="835"/>
        <w:spacing w:after="0"/>
        <w:tabs>
          <w:tab w:leader="none" w:pos="16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06" w:lineRule="exact"/>
        <w:rPr>
          <w:rFonts w:ascii="Arial" w:cs="Arial" w:eastAsia="Arial" w:hAnsi="Arial"/>
          <w:sz w:val="22"/>
          <w:szCs w:val="22"/>
          <w:color w:val="auto"/>
        </w:rPr>
      </w:pPr>
    </w:p>
    <w:p>
      <w:pPr>
        <w:ind w:left="1672" w:right="140" w:hanging="835"/>
        <w:spacing w:after="0" w:line="250" w:lineRule="auto"/>
        <w:tabs>
          <w:tab w:leader="none" w:pos="167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577" w:right="359" w:bottom="1440" w:gutter="0" w:footer="0" w:header="0"/>
        </w:sectPr>
      </w:pPr>
    </w:p>
    <w:bookmarkStart w:id="94" w:name="page95"/>
    <w:bookmarkEnd w:id="94"/>
    <w:p>
      <w:pPr>
        <w:ind w:left="1680" w:hanging="835"/>
        <w:spacing w:after="0"/>
        <w:tabs>
          <w:tab w:leader="none" w:pos="16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material breach of this Agreement by the Company not otherwise covered by this paragraph;</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5" w:lineRule="exact"/>
        <w:rPr>
          <w:sz w:val="20"/>
          <w:szCs w:val="20"/>
          <w:color w:val="auto"/>
        </w:rPr>
      </w:pPr>
    </w:p>
    <w:p>
      <w:pPr>
        <w:ind w:left="820" w:hanging="812"/>
        <w:spacing w:after="0"/>
        <w:tabs>
          <w:tab w:leader="none" w:pos="82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853"/>
        <w:spacing w:after="0" w:line="272" w:lineRule="auto"/>
        <w:tabs>
          <w:tab w:leader="none" w:pos="1727" w:val="left"/>
        </w:tabs>
        <w:numPr>
          <w:ilvl w:val="1"/>
          <w:numId w:val="72"/>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60" w:lineRule="exact"/>
        <w:rPr>
          <w:rFonts w:ascii="Arial" w:cs="Arial" w:eastAsia="Arial" w:hAnsi="Arial"/>
          <w:sz w:val="19"/>
          <w:szCs w:val="19"/>
          <w:color w:val="auto"/>
        </w:rPr>
      </w:pPr>
    </w:p>
    <w:p>
      <w:pPr>
        <w:ind w:firstLine="853"/>
        <w:spacing w:after="0" w:line="273" w:lineRule="auto"/>
        <w:tabs>
          <w:tab w:leader="none" w:pos="1739" w:val="left"/>
        </w:tabs>
        <w:numPr>
          <w:ilvl w:val="1"/>
          <w:numId w:val="72"/>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ReasonPrior to or More Than Twelve Months Following a Change in Control. </w:t>
      </w:r>
      <w:r>
        <w:rPr>
          <w:rFonts w:ascii="Arial" w:cs="Arial" w:eastAsia="Arial" w:hAnsi="Arial"/>
          <w:sz w:val="19"/>
          <w:szCs w:val="19"/>
          <w:color w:val="auto"/>
        </w:rPr>
        <w:t>If the Executive’s employment is terminated by the Company without Cause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55" w:lineRule="exact"/>
        <w:rPr>
          <w:rFonts w:ascii="Arial" w:cs="Arial" w:eastAsia="Arial" w:hAnsi="Arial"/>
          <w:sz w:val="19"/>
          <w:szCs w:val="19"/>
          <w:color w:val="auto"/>
        </w:rPr>
      </w:pPr>
    </w:p>
    <w:p>
      <w:pPr>
        <w:ind w:right="100" w:firstLine="853"/>
        <w:spacing w:after="0" w:line="238" w:lineRule="auto"/>
        <w:tabs>
          <w:tab w:leader="none" w:pos="1727"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 xml:space="preserve">Termination by the Company Without Cause or by the Executive With Good Reason Within Twelve Months Following a Change in Control. </w:t>
      </w:r>
      <w:r>
        <w:rPr>
          <w:rFonts w:ascii="Arial" w:cs="Arial" w:eastAsia="Arial" w:hAnsi="Arial"/>
          <w:sz w:val="22"/>
          <w:szCs w:val="22"/>
          <w:color w:val="auto"/>
        </w:rPr>
        <w:t>If a Qualifying Termination occurs within twelve (12) months following a Change in Control, then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Executive shall be entitled to the Accrued Obligations. In addition, and subject to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the conditions of Section 8(d), the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95" w:name="page96"/>
    <w:bookmarkEnd w:id="95"/>
    <w:p>
      <w:pPr>
        <w:spacing w:after="0" w:line="272" w:lineRule="auto"/>
        <w:rPr>
          <w:sz w:val="20"/>
          <w:szCs w:val="20"/>
          <w:color w:val="auto"/>
        </w:rPr>
      </w:pPr>
      <w:r>
        <w:rPr>
          <w:rFonts w:ascii="Arial" w:cs="Arial" w:eastAsia="Arial" w:hAnsi="Arial"/>
          <w:sz w:val="19"/>
          <w:szCs w:val="19"/>
          <w:color w:val="auto"/>
        </w:rPr>
        <w:t>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 forfeitable as of the termination date (collectively, the “Change in Control Severance Benefits”).</w:t>
      </w:r>
    </w:p>
    <w:p>
      <w:pPr>
        <w:spacing w:after="0" w:line="161" w:lineRule="exact"/>
        <w:rPr>
          <w:sz w:val="20"/>
          <w:szCs w:val="20"/>
          <w:color w:val="auto"/>
        </w:rPr>
      </w:pPr>
    </w:p>
    <w:p>
      <w:pPr>
        <w:ind w:right="320" w:firstLine="853"/>
        <w:spacing w:after="0" w:line="272" w:lineRule="auto"/>
        <w:tabs>
          <w:tab w:leader="none" w:pos="1739"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Severance 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60" w:lineRule="exact"/>
        <w:rPr>
          <w:rFonts w:ascii="Arial" w:cs="Arial" w:eastAsia="Arial" w:hAnsi="Arial"/>
          <w:sz w:val="19"/>
          <w:szCs w:val="19"/>
          <w:color w:val="auto"/>
        </w:rPr>
      </w:pPr>
    </w:p>
    <w:p>
      <w:pPr>
        <w:ind w:right="60" w:firstLine="853"/>
        <w:spacing w:after="0" w:line="273" w:lineRule="auto"/>
        <w:tabs>
          <w:tab w:leader="none" w:pos="1727"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w:t>
      </w:r>
      <w:r>
        <w:rPr>
          <w:rFonts w:ascii="Arial" w:cs="Arial" w:eastAsia="Arial" w:hAnsi="Arial"/>
          <w:sz w:val="19"/>
          <w:szCs w:val="19"/>
          <w:i w:val="1"/>
          <w:iCs w:val="1"/>
          <w:color w:val="auto"/>
        </w:rPr>
        <w:t xml:space="preserve"> </w:t>
      </w:r>
      <w:r>
        <w:rPr>
          <w:rFonts w:ascii="Arial" w:cs="Arial" w:eastAsia="Arial" w:hAnsi="Arial"/>
          <w:sz w:val="19"/>
          <w:szCs w:val="19"/>
          <w:color w:val="auto"/>
        </w:rPr>
        <w:t>of any of the following events, provided that such event or occurrence constitutes a change in the ownership or effective control of the Company, or a change in the ownership of a substantial portion of the assets of the Company, as defined in Treasury Regulation</w:t>
      </w:r>
    </w:p>
    <w:p>
      <w:pPr>
        <w:spacing w:after="0" w:line="1" w:lineRule="exact"/>
        <w:rPr>
          <w:rFonts w:ascii="Arial" w:cs="Arial" w:eastAsia="Arial" w:hAnsi="Arial"/>
          <w:sz w:val="19"/>
          <w:szCs w:val="19"/>
          <w:color w:val="auto"/>
        </w:rPr>
      </w:pPr>
    </w:p>
    <w:p>
      <w:pPr>
        <w:ind w:right="40" w:firstLine="8"/>
        <w:spacing w:after="0" w:line="272" w:lineRule="auto"/>
        <w:tabs>
          <w:tab w:leader="none" w:pos="265" w:val="left"/>
        </w:tabs>
        <w:numPr>
          <w:ilvl w:val="0"/>
          <w:numId w:val="73"/>
        </w:numPr>
        <w:rPr>
          <w:rFonts w:ascii="Arial" w:cs="Arial" w:eastAsia="Arial" w:hAnsi="Arial"/>
          <w:sz w:val="19"/>
          <w:szCs w:val="19"/>
          <w:color w:val="auto"/>
        </w:rPr>
      </w:pPr>
      <w:r>
        <w:rPr>
          <w:rFonts w:ascii="Arial" w:cs="Arial" w:eastAsia="Arial" w:hAnsi="Arial"/>
          <w:sz w:val="19"/>
          <w:szCs w:val="19"/>
          <w:color w:val="auto"/>
        </w:rPr>
        <w:t>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96" w:name="page97"/>
    <w:bookmarkEnd w:id="96"/>
    <w:p>
      <w:pPr>
        <w:spacing w:after="0" w:line="269" w:lineRule="auto"/>
        <w:rPr>
          <w:sz w:val="20"/>
          <w:szCs w:val="20"/>
          <w:color w:val="auto"/>
        </w:rPr>
      </w:pPr>
      <w:r>
        <w:rPr>
          <w:rFonts w:ascii="Arial" w:cs="Arial" w:eastAsia="Arial" w:hAnsi="Arial"/>
          <w:sz w:val="19"/>
          <w:szCs w:val="19"/>
          <w:color w:val="auto"/>
        </w:rPr>
        <w:t>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69" w:lineRule="exact"/>
        <w:rPr>
          <w:sz w:val="20"/>
          <w:szCs w:val="20"/>
          <w:color w:val="auto"/>
        </w:rPr>
      </w:pPr>
    </w:p>
    <w:p>
      <w:pPr>
        <w:ind w:right="100" w:firstLine="8"/>
        <w:spacing w:after="0" w:line="238" w:lineRule="auto"/>
        <w:tabs>
          <w:tab w:leader="none" w:pos="81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48" w:right="479" w:bottom="1440" w:gutter="0" w:footer="0" w:header="0"/>
        </w:sectPr>
      </w:pPr>
    </w:p>
    <w:bookmarkStart w:id="97" w:name="page98"/>
    <w:bookmarkEnd w:id="97"/>
    <w:p>
      <w:pPr>
        <w:ind w:firstLine="8"/>
        <w:spacing w:after="0" w:line="238" w:lineRule="auto"/>
        <w:tabs>
          <w:tab w:leader="none" w:pos="918"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w:t>
      </w:r>
      <w:r>
        <w:rPr>
          <w:rFonts w:ascii="Arial" w:cs="Arial" w:eastAsia="Arial" w:hAnsi="Arial"/>
          <w:sz w:val="22"/>
          <w:szCs w:val="22"/>
          <w:i w:val="1"/>
          <w:iCs w:val="1"/>
          <w:color w:val="auto"/>
        </w:rPr>
        <w:t xml:space="preserve"> </w:t>
      </w:r>
      <w:r>
        <w:rPr>
          <w:rFonts w:ascii="Arial" w:cs="Arial" w:eastAsia="Arial" w:hAnsi="Arial"/>
          <w:sz w:val="22"/>
          <w:szCs w:val="22"/>
          <w:color w:val="auto"/>
        </w:rPr>
        <w:t>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Company:</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Fulcrum Therapeutics, Inc.</w:t>
      </w:r>
    </w:p>
    <w:p>
      <w:pPr>
        <w:ind w:left="860"/>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860"/>
        <w:spacing w:after="0"/>
        <w:rPr>
          <w:sz w:val="20"/>
          <w:szCs w:val="20"/>
          <w:color w:val="auto"/>
        </w:rPr>
      </w:pPr>
      <w:r>
        <w:rPr>
          <w:rFonts w:ascii="Arial" w:cs="Arial" w:eastAsia="Arial" w:hAnsi="Arial"/>
          <w:sz w:val="22"/>
          <w:szCs w:val="22"/>
          <w:color w:val="auto"/>
        </w:rPr>
        <w:t>Cambridge, MA 02139</w:t>
      </w:r>
    </w:p>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175" w:lineRule="exact"/>
        <w:rPr>
          <w:sz w:val="20"/>
          <w:szCs w:val="20"/>
          <w:color w:val="auto"/>
        </w:rPr>
      </w:pPr>
    </w:p>
    <w:p>
      <w:pPr>
        <w:ind w:right="20" w:firstLine="8"/>
        <w:spacing w:after="0" w:line="279" w:lineRule="auto"/>
        <w:tabs>
          <w:tab w:leader="none" w:pos="910"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Applicable Law; Jury Trial Waiver</w:t>
      </w:r>
      <w:r>
        <w:rPr>
          <w:rFonts w:ascii="Arial" w:cs="Arial" w:eastAsia="Arial" w:hAnsi="Arial"/>
          <w:sz w:val="19"/>
          <w:szCs w:val="19"/>
          <w:color w:val="auto"/>
        </w:rPr>
        <w:t>. This Agreement shall be governed by and construed in accordance with the laws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State of Massachusetts (without reference to the conflict of laws provisions thereof). Any action, suit or other legal proceeding arising under or relating to any provision of this Agreement shall be commenced only in a court of the State of Massachusetts (or, if appropriate, a federal court located within the State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50" w:lineRule="exact"/>
        <w:rPr>
          <w:rFonts w:ascii="Arial" w:cs="Arial" w:eastAsia="Arial" w:hAnsi="Arial"/>
          <w:sz w:val="19"/>
          <w:szCs w:val="19"/>
          <w:color w:val="auto"/>
        </w:rPr>
      </w:pPr>
    </w:p>
    <w:p>
      <w:pPr>
        <w:ind w:right="20" w:firstLine="8"/>
        <w:spacing w:after="0" w:line="238"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184" w:lineRule="exact"/>
        <w:rPr>
          <w:rFonts w:ascii="Arial" w:cs="Arial" w:eastAsia="Arial" w:hAnsi="Arial"/>
          <w:sz w:val="22"/>
          <w:szCs w:val="22"/>
          <w:color w:val="auto"/>
        </w:rPr>
      </w:pPr>
    </w:p>
    <w:p>
      <w:pPr>
        <w:ind w:right="20" w:firstLine="8"/>
        <w:spacing w:after="0" w:line="257" w:lineRule="auto"/>
        <w:tabs>
          <w:tab w:leader="none" w:pos="918" w:val="left"/>
        </w:tabs>
        <w:numPr>
          <w:ilvl w:val="0"/>
          <w:numId w:val="76"/>
        </w:numPr>
        <w:rPr>
          <w:rFonts w:ascii="Arial" w:cs="Arial" w:eastAsia="Arial" w:hAnsi="Arial"/>
          <w:sz w:val="21"/>
          <w:szCs w:val="21"/>
          <w:color w:val="auto"/>
        </w:rPr>
      </w:pPr>
      <w:r>
        <w:rPr>
          <w:rFonts w:ascii="Arial" w:cs="Arial" w:eastAsia="Arial" w:hAnsi="Arial"/>
          <w:sz w:val="21"/>
          <w:szCs w:val="21"/>
          <w:i w:val="1"/>
          <w:iCs w:val="1"/>
          <w:color w:val="auto"/>
        </w:rPr>
        <w:t>At-Will Employment</w:t>
      </w:r>
      <w:r>
        <w:rPr>
          <w:rFonts w:ascii="Arial" w:cs="Arial" w:eastAsia="Arial" w:hAnsi="Arial"/>
          <w:sz w:val="21"/>
          <w:szCs w:val="21"/>
          <w:color w:val="auto"/>
        </w:rPr>
        <w:t>. During the Term of Employment, the Executive will continue to be an at-will employee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which means that, notwithstanding any other provision set forth herein, the employment relationship can be terminated by either Party for any reason, at any time, with or without prior notice and with or without Cause.</w:t>
      </w:r>
    </w:p>
    <w:p>
      <w:pPr>
        <w:spacing w:after="0" w:line="169" w:lineRule="exact"/>
        <w:rPr>
          <w:rFonts w:ascii="Arial" w:cs="Arial" w:eastAsia="Arial" w:hAnsi="Arial"/>
          <w:sz w:val="21"/>
          <w:szCs w:val="21"/>
          <w:color w:val="auto"/>
        </w:rPr>
      </w:pPr>
    </w:p>
    <w:p>
      <w:pPr>
        <w:ind w:right="120" w:firstLine="8"/>
        <w:spacing w:after="0" w:line="238"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w:t>
      </w:r>
      <w:r>
        <w:rPr>
          <w:rFonts w:ascii="Arial" w:cs="Arial" w:eastAsia="Arial" w:hAnsi="Arial"/>
          <w:sz w:val="22"/>
          <w:szCs w:val="22"/>
          <w:i w:val="1"/>
          <w:iCs w:val="1"/>
          <w:color w:val="auto"/>
        </w:rPr>
        <w:t xml:space="preserve"> </w:t>
      </w:r>
      <w:r>
        <w:rPr>
          <w:rFonts w:ascii="Arial" w:cs="Arial" w:eastAsia="Arial" w:hAnsi="Arial"/>
          <w:sz w:val="22"/>
          <w:szCs w:val="22"/>
          <w:color w:val="auto"/>
        </w:rPr>
        <w:t>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44" w:lineRule="exact"/>
        <w:rPr>
          <w:rFonts w:ascii="Arial" w:cs="Arial" w:eastAsia="Arial" w:hAnsi="Arial"/>
          <w:sz w:val="22"/>
          <w:szCs w:val="22"/>
          <w:color w:val="auto"/>
        </w:rPr>
      </w:pPr>
    </w:p>
    <w:p>
      <w:pPr>
        <w:ind w:right="320" w:firstLine="8"/>
        <w:spacing w:after="0" w:line="297" w:lineRule="auto"/>
        <w:tabs>
          <w:tab w:leader="none" w:pos="918"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No Oral Modification, Waiver, Cancellation or Discharge</w:t>
      </w:r>
      <w:r>
        <w:rPr>
          <w:rFonts w:ascii="Arial" w:cs="Arial" w:eastAsia="Arial" w:hAnsi="Arial"/>
          <w:sz w:val="19"/>
          <w:szCs w:val="19"/>
          <w:color w:val="auto"/>
        </w:rPr>
        <w:t>. This Agreement may be amended or modified only by a</w:t>
      </w:r>
      <w:r>
        <w:rPr>
          <w:rFonts w:ascii="Arial" w:cs="Arial" w:eastAsia="Arial" w:hAnsi="Arial"/>
          <w:sz w:val="19"/>
          <w:szCs w:val="19"/>
          <w:i w:val="1"/>
          <w:iCs w:val="1"/>
          <w:color w:val="auto"/>
        </w:rPr>
        <w:t xml:space="preserve"> </w:t>
      </w:r>
      <w:r>
        <w:rPr>
          <w:rFonts w:ascii="Arial" w:cs="Arial" w:eastAsia="Arial" w:hAnsi="Arial"/>
          <w:sz w:val="19"/>
          <w:szCs w:val="19"/>
          <w:color w:val="auto"/>
        </w:rPr>
        <w:t>written instrument executed by both the Company and the Executive. No delay or omission by the Company in exercising any right under this Agreement shall operate as a waiver of that or any other right. A waiver or consent given by the Company 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98" w:name="page99"/>
    <w:bookmarkEnd w:id="98"/>
    <w:p>
      <w:pPr>
        <w:ind w:right="80"/>
        <w:spacing w:after="0" w:line="250" w:lineRule="auto"/>
        <w:rPr>
          <w:sz w:val="20"/>
          <w:szCs w:val="20"/>
          <w:color w:val="auto"/>
        </w:rPr>
      </w:pPr>
      <w:r>
        <w:rPr>
          <w:rFonts w:ascii="Arial" w:cs="Arial" w:eastAsia="Arial" w:hAnsi="Arial"/>
          <w:sz w:val="22"/>
          <w:szCs w:val="22"/>
          <w:color w:val="auto"/>
        </w:rPr>
        <w:t>any one occasion shall be effective only in that instance and shall not be construed as a bar to or waiver of any right on any other occasion.</w:t>
      </w:r>
    </w:p>
    <w:p>
      <w:pPr>
        <w:spacing w:after="0" w:line="175" w:lineRule="exact"/>
        <w:rPr>
          <w:sz w:val="20"/>
          <w:szCs w:val="20"/>
          <w:color w:val="auto"/>
        </w:rPr>
      </w:pPr>
    </w:p>
    <w:p>
      <w:pPr>
        <w:ind w:right="20" w:firstLine="8"/>
        <w:spacing w:after="0" w:line="238" w:lineRule="auto"/>
        <w:tabs>
          <w:tab w:leader="none" w:pos="918"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w:t>
      </w:r>
      <w:r>
        <w:rPr>
          <w:rFonts w:ascii="Arial" w:cs="Arial" w:eastAsia="Arial" w:hAnsi="Arial"/>
          <w:sz w:val="22"/>
          <w:szCs w:val="22"/>
          <w:i w:val="1"/>
          <w:iCs w:val="1"/>
          <w:color w:val="auto"/>
        </w:rPr>
        <w:t xml:space="preserve"> </w:t>
      </w:r>
      <w:r>
        <w:rPr>
          <w:rFonts w:ascii="Arial" w:cs="Arial" w:eastAsia="Arial" w:hAnsi="Arial"/>
          <w:sz w:val="22"/>
          <w:szCs w:val="22"/>
          <w:color w:val="auto"/>
        </w:rPr>
        <w:t>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57" w:lineRule="exact"/>
        <w:rPr>
          <w:rFonts w:ascii="Arial" w:cs="Arial" w:eastAsia="Arial" w:hAnsi="Arial"/>
          <w:sz w:val="22"/>
          <w:szCs w:val="22"/>
          <w:color w:val="auto"/>
        </w:rPr>
      </w:pPr>
    </w:p>
    <w:p>
      <w:pPr>
        <w:ind w:firstLine="8"/>
        <w:spacing w:after="0" w:line="238" w:lineRule="auto"/>
        <w:tabs>
          <w:tab w:leader="none" w:pos="918"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w:t>
      </w:r>
      <w:r>
        <w:rPr>
          <w:rFonts w:ascii="Arial" w:cs="Arial" w:eastAsia="Arial" w:hAnsi="Arial"/>
          <w:sz w:val="22"/>
          <w:szCs w:val="22"/>
          <w:i w:val="1"/>
          <w:iCs w:val="1"/>
          <w:color w:val="auto"/>
        </w:rPr>
        <w:t xml:space="preserve"> </w:t>
      </w:r>
      <w:r>
        <w:rPr>
          <w:rFonts w:ascii="Arial" w:cs="Arial" w:eastAsia="Arial" w:hAnsi="Arial"/>
          <w:sz w:val="22"/>
          <w:szCs w:val="22"/>
          <w:color w:val="auto"/>
        </w:rPr>
        <w:t>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4" w:lineRule="exact"/>
        <w:rPr>
          <w:rFonts w:ascii="Arial" w:cs="Arial" w:eastAsia="Arial" w:hAnsi="Arial"/>
          <w:sz w:val="22"/>
          <w:szCs w:val="22"/>
          <w:color w:val="auto"/>
        </w:rPr>
      </w:pPr>
    </w:p>
    <w:p>
      <w:pPr>
        <w:ind w:right="80" w:firstLine="8"/>
        <w:spacing w:after="0" w:line="277" w:lineRule="auto"/>
        <w:tabs>
          <w:tab w:leader="none" w:pos="918"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51" w:lineRule="exact"/>
        <w:rPr>
          <w:rFonts w:ascii="Arial" w:cs="Arial" w:eastAsia="Arial" w:hAnsi="Arial"/>
          <w:sz w:val="19"/>
          <w:szCs w:val="19"/>
          <w:color w:val="auto"/>
        </w:rPr>
      </w:pPr>
    </w:p>
    <w:p>
      <w:pPr>
        <w:ind w:right="520" w:firstLine="8"/>
        <w:spacing w:after="0"/>
        <w:tabs>
          <w:tab w:leader="none" w:pos="918"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understandings, whether written or oral, relating to the subject matter of this Agreement, including, without limitation, the Existing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Page Following]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23" w:right="359" w:bottom="1440" w:gutter="0" w:footer="0" w:header="0"/>
        </w:sectPr>
      </w:pPr>
    </w:p>
    <w:bookmarkStart w:id="99" w:name="page100"/>
    <w:bookmarkEnd w:id="99"/>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Kim Hazen</w:t>
            </w:r>
          </w:p>
        </w:tc>
      </w:tr>
      <w:tr>
        <w:trPr>
          <w:trHeight w:val="480"/>
        </w:trPr>
        <w:tc>
          <w:tcPr>
            <w:tcW w:w="760" w:type="dxa"/>
            <w:vAlign w:val="bottom"/>
          </w:tcPr>
          <w:p>
            <w:pPr>
              <w:spacing w:after="0"/>
              <w:rPr>
                <w:sz w:val="20"/>
                <w:szCs w:val="20"/>
                <w:color w:val="auto"/>
              </w:rPr>
            </w:pPr>
            <w:r>
              <w:rPr>
                <w:rFonts w:ascii="Arial" w:cs="Arial" w:eastAsia="Arial" w:hAnsi="Arial"/>
                <w:sz w:val="22"/>
                <w:szCs w:val="22"/>
                <w:color w:val="auto"/>
              </w:rPr>
              <w:t>Name:</w:t>
            </w:r>
          </w:p>
        </w:tc>
        <w:tc>
          <w:tcPr>
            <w:tcW w:w="4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Kim Hazen</w:t>
            </w:r>
          </w:p>
        </w:tc>
      </w:tr>
      <w:tr>
        <w:trPr>
          <w:trHeight w:val="479"/>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SVP, Human Resources</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Judith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Judith Dunn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12" w:lineRule="exact"/>
        <w:rPr>
          <w:sz w:val="20"/>
          <w:szCs w:val="20"/>
          <w:color w:val="auto"/>
        </w:rPr>
      </w:pPr>
    </w:p>
    <w:p>
      <w:pPr>
        <w:ind w:left="-20" w:right="60" w:firstLine="853"/>
        <w:spacing w:after="0" w:line="238" w:lineRule="auto"/>
        <w:tabs>
          <w:tab w:leader="none" w:pos="1635"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184" w:lineRule="exact"/>
        <w:rPr>
          <w:rFonts w:ascii="Arial" w:cs="Arial" w:eastAsia="Arial" w:hAnsi="Arial"/>
          <w:sz w:val="22"/>
          <w:szCs w:val="22"/>
          <w:color w:val="auto"/>
        </w:rPr>
      </w:pPr>
    </w:p>
    <w:p>
      <w:pPr>
        <w:ind w:left="-20" w:right="140" w:firstLine="1700"/>
        <w:spacing w:after="0" w:line="238" w:lineRule="auto"/>
        <w:tabs>
          <w:tab w:leader="none" w:pos="2554" w:val="left"/>
        </w:tabs>
        <w:numPr>
          <w:ilvl w:val="2"/>
          <w:numId w:val="78"/>
        </w:numPr>
        <w:rPr>
          <w:rFonts w:ascii="Arial" w:cs="Arial" w:eastAsia="Arial" w:hAnsi="Arial"/>
          <w:sz w:val="22"/>
          <w:szCs w:val="22"/>
          <w:color w:val="auto"/>
        </w:rPr>
      </w:pPr>
      <w:r>
        <w:rPr>
          <w:rFonts w:ascii="Arial" w:cs="Arial" w:eastAsia="Arial" w:hAnsi="Arial"/>
          <w:sz w:val="22"/>
          <w:szCs w:val="22"/>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184" w:lineRule="exact"/>
        <w:rPr>
          <w:rFonts w:ascii="Arial" w:cs="Arial" w:eastAsia="Arial" w:hAnsi="Arial"/>
          <w:sz w:val="22"/>
          <w:szCs w:val="22"/>
          <w:color w:val="auto"/>
        </w:rPr>
      </w:pPr>
    </w:p>
    <w:p>
      <w:pPr>
        <w:ind w:left="-20" w:right="40" w:firstLine="1700"/>
        <w:spacing w:after="0"/>
        <w:tabs>
          <w:tab w:leader="none" w:pos="2566" w:val="left"/>
        </w:tabs>
        <w:numPr>
          <w:ilvl w:val="2"/>
          <w:numId w:val="78"/>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186" w:lineRule="exact"/>
        <w:rPr>
          <w:rFonts w:ascii="Arial" w:cs="Arial" w:eastAsia="Arial" w:hAnsi="Arial"/>
          <w:sz w:val="22"/>
          <w:szCs w:val="22"/>
          <w:color w:val="auto"/>
        </w:rPr>
      </w:pPr>
    </w:p>
    <w:p>
      <w:pPr>
        <w:ind w:left="-20" w:right="280" w:firstLine="1700"/>
        <w:spacing w:after="0" w:line="250" w:lineRule="auto"/>
        <w:tabs>
          <w:tab w:leader="none" w:pos="2554" w:val="left"/>
        </w:tabs>
        <w:numPr>
          <w:ilvl w:val="2"/>
          <w:numId w:val="78"/>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theCompany, the Executive is a “specified employee” (within the meaning of Section 409A), then:</w:t>
      </w:r>
    </w:p>
    <w:p>
      <w:pPr>
        <w:spacing w:after="0" w:line="174" w:lineRule="exact"/>
        <w:rPr>
          <w:rFonts w:ascii="Arial" w:cs="Arial" w:eastAsia="Arial" w:hAnsi="Arial"/>
          <w:sz w:val="22"/>
          <w:szCs w:val="22"/>
          <w:color w:val="auto"/>
        </w:rPr>
      </w:pPr>
    </w:p>
    <w:p>
      <w:pPr>
        <w:ind w:left="840" w:right="240" w:firstLine="776"/>
        <w:spacing w:after="0" w:line="282" w:lineRule="auto"/>
        <w:tabs>
          <w:tab w:leader="none" w:pos="2474" w:val="left"/>
        </w:tabs>
        <w:numPr>
          <w:ilvl w:val="1"/>
          <w:numId w:val="78"/>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147" w:lineRule="exact"/>
        <w:rPr>
          <w:rFonts w:ascii="Arial" w:cs="Arial" w:eastAsia="Arial" w:hAnsi="Arial"/>
          <w:sz w:val="19"/>
          <w:szCs w:val="19"/>
          <w:color w:val="auto"/>
        </w:rPr>
      </w:pPr>
    </w:p>
    <w:p>
      <w:pPr>
        <w:ind w:left="840" w:firstLine="776"/>
        <w:spacing w:after="0" w:line="276" w:lineRule="auto"/>
        <w:tabs>
          <w:tab w:leader="none" w:pos="2534"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your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w:t>
      </w:r>
      <w:r>
        <w:rPr>
          <w:rFonts w:ascii="Arial" w:cs="Arial" w:eastAsia="Arial" w:hAnsi="Arial"/>
          <w:sz w:val="17"/>
          <w:szCs w:val="17"/>
          <w:color w:val="auto"/>
        </w:rPr>
        <w:t>payments if and to the maximum extent that that such installment is deemed to be paid under a separation pay</w:t>
      </w:r>
      <w:r>
        <w:rPr>
          <w:rFonts w:ascii="Arial" w:cs="Arial" w:eastAsia="Arial" w:hAnsi="Arial"/>
          <w:sz w:val="19"/>
          <w:szCs w:val="19"/>
          <w:color w:val="auto"/>
        </w:rPr>
        <w:t xml:space="preserve"> </w:t>
      </w:r>
      <w:r>
        <w:rPr>
          <w:rFonts w:ascii="Arial" w:cs="Arial" w:eastAsia="Arial" w:hAnsi="Arial"/>
          <w:sz w:val="17"/>
          <w:szCs w:val="17"/>
          <w:color w:val="auto"/>
        </w:rPr>
        <w:t>plan that does not provide for a deferral of compensation by reason of the application of Treasury Regulation 1.409A- 1(b)(9)(iii) (relating to separation pay upon an involuntary separation from service). Any installments that qualify for the exception under Treasury Regulation Section 1.409A-1(b)(9)(iii) must be paid no later than the last dayof the Executive’s second taxable year following the taxable year in which the separation from service occurs.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787" w:right="359" w:bottom="1440" w:gutter="0" w:footer="0" w:header="0"/>
        </w:sectPr>
      </w:pPr>
    </w:p>
    <w:bookmarkStart w:id="101" w:name="page102"/>
    <w:bookmarkEnd w:id="101"/>
    <w:p>
      <w:pPr>
        <w:ind w:right="40" w:firstLine="853"/>
        <w:spacing w:after="0" w:line="252" w:lineRule="auto"/>
        <w:tabs>
          <w:tab w:leader="none" w:pos="1655"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173" w:lineRule="exact"/>
        <w:rPr>
          <w:rFonts w:ascii="Arial" w:cs="Arial" w:eastAsia="Arial" w:hAnsi="Arial"/>
          <w:sz w:val="21"/>
          <w:szCs w:val="21"/>
          <w:color w:val="auto"/>
        </w:rPr>
      </w:pPr>
    </w:p>
    <w:p>
      <w:pPr>
        <w:ind w:firstLine="853"/>
        <w:spacing w:after="0" w:line="277" w:lineRule="auto"/>
        <w:tabs>
          <w:tab w:leader="none" w:pos="1655"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1" w:lineRule="exact"/>
        <w:rPr>
          <w:rFonts w:ascii="Arial" w:cs="Arial" w:eastAsia="Arial" w:hAnsi="Arial"/>
          <w:sz w:val="19"/>
          <w:szCs w:val="19"/>
          <w:color w:val="auto"/>
        </w:rPr>
      </w:pPr>
    </w:p>
    <w:p>
      <w:pPr>
        <w:ind w:firstLine="853"/>
        <w:spacing w:after="0" w:line="297" w:lineRule="auto"/>
        <w:tabs>
          <w:tab w:leader="none" w:pos="1655"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33" w:lineRule="exact"/>
        <w:rPr>
          <w:rFonts w:ascii="Arial" w:cs="Arial" w:eastAsia="Arial" w:hAnsi="Arial"/>
          <w:sz w:val="19"/>
          <w:szCs w:val="19"/>
          <w:color w:val="auto"/>
        </w:rPr>
      </w:pPr>
    </w:p>
    <w:p>
      <w:pPr>
        <w:ind w:left="1660" w:hanging="807"/>
        <w:spacing w:after="0"/>
        <w:tabs>
          <w:tab w:leader="none" w:pos="166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20"/>
          </w:cols>
          <w:pgMar w:left="320" w:top="564" w:right="4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FULCRUM THERAPEUTICS, INC. CONSULTING AGREEMENT</w:t>
      </w:r>
    </w:p>
    <w:p>
      <w:pPr>
        <w:spacing w:after="0" w:line="166" w:lineRule="exact"/>
        <w:rPr>
          <w:sz w:val="20"/>
          <w:szCs w:val="20"/>
          <w:color w:val="auto"/>
        </w:rPr>
      </w:pPr>
    </w:p>
    <w:p>
      <w:pPr>
        <w:ind w:right="840" w:firstLine="803"/>
        <w:spacing w:after="0" w:line="243" w:lineRule="auto"/>
        <w:rPr>
          <w:sz w:val="20"/>
          <w:szCs w:val="20"/>
          <w:color w:val="auto"/>
        </w:rPr>
      </w:pPr>
      <w:r>
        <w:rPr>
          <w:rFonts w:ascii="Arial" w:cs="Arial" w:eastAsia="Arial" w:hAnsi="Arial"/>
          <w:sz w:val="22"/>
          <w:szCs w:val="22"/>
          <w:color w:val="auto"/>
        </w:rPr>
        <w:t>This Consulting Agreement (the “</w:t>
      </w:r>
      <w:r>
        <w:rPr>
          <w:rFonts w:ascii="Arial" w:cs="Arial" w:eastAsia="Arial" w:hAnsi="Arial"/>
          <w:sz w:val="22"/>
          <w:szCs w:val="22"/>
          <w:b w:val="1"/>
          <w:bCs w:val="1"/>
          <w:color w:val="auto"/>
        </w:rPr>
        <w:t>Agreement</w:t>
      </w:r>
      <w:r>
        <w:rPr>
          <w:rFonts w:ascii="Arial" w:cs="Arial" w:eastAsia="Arial" w:hAnsi="Arial"/>
          <w:sz w:val="22"/>
          <w:szCs w:val="22"/>
          <w:color w:val="auto"/>
        </w:rPr>
        <w:t>”), made this 31st day of March, 2021, is entered into by Fulcrum Therapeutics,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Robert J. Gould, an individual residing at [**] (the “</w:t>
      </w:r>
      <w:r>
        <w:rPr>
          <w:rFonts w:ascii="Arial" w:cs="Arial" w:eastAsia="Arial" w:hAnsi="Arial"/>
          <w:sz w:val="22"/>
          <w:szCs w:val="22"/>
          <w:b w:val="1"/>
          <w:bCs w:val="1"/>
          <w:color w:val="auto"/>
        </w:rPr>
        <w:t>Consultant</w:t>
      </w:r>
      <w:r>
        <w:rPr>
          <w:rFonts w:ascii="Arial" w:cs="Arial" w:eastAsia="Arial" w:hAnsi="Arial"/>
          <w:sz w:val="22"/>
          <w:szCs w:val="22"/>
          <w:color w:val="auto"/>
        </w:rPr>
        <w:t>”).</w:t>
      </w:r>
    </w:p>
    <w:p>
      <w:pPr>
        <w:spacing w:after="0" w:line="210" w:lineRule="exact"/>
        <w:rPr>
          <w:sz w:val="20"/>
          <w:szCs w:val="20"/>
          <w:color w:val="auto"/>
        </w:rPr>
      </w:pPr>
    </w:p>
    <w:p>
      <w:pPr>
        <w:ind w:right="140" w:firstLine="803"/>
        <w:spacing w:after="0" w:line="250" w:lineRule="auto"/>
        <w:rPr>
          <w:sz w:val="20"/>
          <w:szCs w:val="20"/>
          <w:color w:val="auto"/>
        </w:rPr>
      </w:pPr>
      <w:r>
        <w:rPr>
          <w:rFonts w:ascii="Arial" w:cs="Arial" w:eastAsia="Arial" w:hAnsi="Arial"/>
          <w:sz w:val="22"/>
          <w:szCs w:val="22"/>
          <w:color w:val="auto"/>
        </w:rPr>
        <w:t>WHEREAS, the Company desires to retain the services of the Consultant and the Consultant desires to perform certain services for the Company.</w:t>
      </w:r>
    </w:p>
    <w:p>
      <w:pPr>
        <w:spacing w:after="0" w:line="202" w:lineRule="exact"/>
        <w:rPr>
          <w:sz w:val="20"/>
          <w:szCs w:val="20"/>
          <w:color w:val="auto"/>
        </w:rPr>
      </w:pPr>
    </w:p>
    <w:p>
      <w:pPr>
        <w:ind w:right="380" w:firstLine="803"/>
        <w:spacing w:after="0"/>
        <w:rPr>
          <w:sz w:val="20"/>
          <w:szCs w:val="20"/>
          <w:color w:val="auto"/>
        </w:rPr>
      </w:pPr>
      <w:r>
        <w:rPr>
          <w:rFonts w:ascii="Arial" w:cs="Arial" w:eastAsia="Arial" w:hAnsi="Arial"/>
          <w:sz w:val="22"/>
          <w:szCs w:val="22"/>
          <w:color w:val="auto"/>
        </w:rPr>
        <w:t>NOW, THEREFORE, in consideration of the mutual covenants and promises contained herein and other good and valuable consideration, the receipt and sufficiency of which is hereby acknowledged by the parties hereto, the parties agree as follows:</w:t>
      </w:r>
    </w:p>
    <w:p>
      <w:pPr>
        <w:spacing w:after="0" w:line="213" w:lineRule="exact"/>
        <w:rPr>
          <w:sz w:val="20"/>
          <w:szCs w:val="20"/>
          <w:color w:val="auto"/>
        </w:rPr>
      </w:pPr>
    </w:p>
    <w:p>
      <w:pPr>
        <w:ind w:right="80" w:firstLine="811"/>
        <w:spacing w:after="0" w:line="238" w:lineRule="auto"/>
        <w:tabs>
          <w:tab w:leader="none" w:pos="155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 xml:space="preserve">. The Consultant agrees to perform such consulting, advisory and related services to and for the Company as may be reasonably requested from time to time by the Company, including, but not limited to, the services specified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to this Agreement (the “</w:t>
      </w:r>
      <w:r>
        <w:rPr>
          <w:rFonts w:ascii="Arial" w:cs="Arial" w:eastAsia="Arial" w:hAnsi="Arial"/>
          <w:sz w:val="22"/>
          <w:szCs w:val="22"/>
          <w:b w:val="1"/>
          <w:bCs w:val="1"/>
          <w:color w:val="auto"/>
        </w:rPr>
        <w:t>Services</w:t>
      </w:r>
      <w:r>
        <w:rPr>
          <w:rFonts w:ascii="Arial" w:cs="Arial" w:eastAsia="Arial" w:hAnsi="Arial"/>
          <w:sz w:val="22"/>
          <w:szCs w:val="22"/>
          <w:color w:val="auto"/>
        </w:rPr>
        <w:t>”). The Consultant also agrees to provide the Company with related services that may be requested from time to time by the Company.</w:t>
      </w:r>
    </w:p>
    <w:p>
      <w:pPr>
        <w:spacing w:after="0" w:line="212" w:lineRule="exact"/>
        <w:rPr>
          <w:sz w:val="20"/>
          <w:szCs w:val="20"/>
          <w:color w:val="auto"/>
        </w:rPr>
      </w:pPr>
    </w:p>
    <w:p>
      <w:pPr>
        <w:jc w:val="both"/>
        <w:ind w:firstLine="811"/>
        <w:spacing w:after="0" w:line="257" w:lineRule="auto"/>
        <w:tabs>
          <w:tab w:leader="none" w:pos="1559"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commence on March 31, 2021 and shall continue until March 31, 2022, unless extended by mutual consent of the parties hereto or terminated earlier pursuant to the provisions of Section 4 (such period, as it may be extended or sooner terminated, being referred to as the “</w:t>
      </w:r>
      <w:r>
        <w:rPr>
          <w:rFonts w:ascii="Arial" w:cs="Arial" w:eastAsia="Arial" w:hAnsi="Arial"/>
          <w:sz w:val="21"/>
          <w:szCs w:val="21"/>
          <w:b w:val="1"/>
          <w:bCs w:val="1"/>
          <w:color w:val="auto"/>
        </w:rPr>
        <w:t>Consultation Period</w:t>
      </w:r>
      <w:r>
        <w:rPr>
          <w:rFonts w:ascii="Arial" w:cs="Arial" w:eastAsia="Arial" w:hAnsi="Arial"/>
          <w:sz w:val="21"/>
          <w:szCs w:val="21"/>
          <w:color w:val="auto"/>
        </w:rPr>
        <w:t>”).</w:t>
      </w:r>
    </w:p>
    <w:p>
      <w:pPr>
        <w:spacing w:after="0" w:line="196" w:lineRule="exact"/>
        <w:rPr>
          <w:sz w:val="20"/>
          <w:szCs w:val="20"/>
          <w:color w:val="auto"/>
        </w:rPr>
      </w:pPr>
    </w:p>
    <w:p>
      <w:pPr>
        <w:ind w:left="1560" w:hanging="749"/>
        <w:spacing w:after="0"/>
        <w:tabs>
          <w:tab w:leader="none" w:pos="156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w:t>
      </w:r>
    </w:p>
    <w:p>
      <w:pPr>
        <w:spacing w:after="0" w:line="233" w:lineRule="exact"/>
        <w:rPr>
          <w:sz w:val="20"/>
          <w:szCs w:val="20"/>
          <w:color w:val="auto"/>
        </w:rPr>
      </w:pPr>
    </w:p>
    <w:p>
      <w:pPr>
        <w:ind w:right="60" w:firstLine="1606"/>
        <w:spacing w:after="0" w:line="23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Continued Vesting</w:t>
      </w:r>
      <w:r>
        <w:rPr>
          <w:rFonts w:ascii="Arial" w:cs="Arial" w:eastAsia="Arial" w:hAnsi="Arial"/>
          <w:sz w:val="22"/>
          <w:szCs w:val="22"/>
          <w:color w:val="auto"/>
        </w:rPr>
        <w:t>. In full consideration of the Services performed and rights granted by the Consultant under this Agreement, and for so long as the Consultant provides Services to the Company pursuant to this Agreement, any and all outstanding and unvested equity awards granted to the Consultant by the Company will continue to vest and be exercisable in accordance with the applicable equity plan and award agreement.</w:t>
      </w:r>
    </w:p>
    <w:p>
      <w:pPr>
        <w:spacing w:after="0" w:line="212" w:lineRule="exact"/>
        <w:rPr>
          <w:sz w:val="20"/>
          <w:szCs w:val="20"/>
          <w:color w:val="auto"/>
        </w:rPr>
      </w:pPr>
    </w:p>
    <w:p>
      <w:pPr>
        <w:ind w:right="80" w:firstLine="1606"/>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Benefits</w:t>
      </w:r>
      <w:r>
        <w:rPr>
          <w:rFonts w:ascii="Arial" w:cs="Arial" w:eastAsia="Arial" w:hAnsi="Arial"/>
          <w:sz w:val="22"/>
          <w:szCs w:val="22"/>
          <w:color w:val="auto"/>
        </w:rPr>
        <w:t>. The Consultant shall not be entitled to any benefits, coverages or privileges, including, without limitation, health insurance, social security, unemployment, medical or pension payments, made available to employees of the Company.</w:t>
      </w:r>
    </w:p>
    <w:p>
      <w:pPr>
        <w:spacing w:after="0" w:line="213" w:lineRule="exact"/>
        <w:rPr>
          <w:sz w:val="20"/>
          <w:szCs w:val="20"/>
          <w:color w:val="auto"/>
        </w:rPr>
      </w:pPr>
    </w:p>
    <w:p>
      <w:pPr>
        <w:ind w:right="40" w:firstLine="811"/>
        <w:spacing w:after="0" w:line="275" w:lineRule="auto"/>
        <w:tabs>
          <w:tab w:leader="none" w:pos="155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prior to March 31, 2022 in the following manner: (a) by either the Company or the Consultant upon not less than thirty (30) days prior written notice to the other party; (b) by the non-breaching party, upon twenty-four (24) hours prior written notice to the breaching party if one party has materially breached this Agreement; or (c) at any time upon the mutual written consent of the parties hereto. In the event of termination, the Consultant shall be entitled to payment for services performed prior to the effective date of termination that have not been previously paid. Such payment shall constitute full settlement of any and all claims of the Consultant of every description against the Company. Notwithstanding the foregoing, the Company may terminate this Agreement effective immediately by giving written notice to the Consultant if the Consultant breaches or threatens to breach any provision of Section 6.</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5560" w:hanging="105"/>
        <w:spacing w:after="0"/>
        <w:tabs>
          <w:tab w:leader="none" w:pos="5560" w:val="left"/>
        </w:tabs>
        <w:numPr>
          <w:ilvl w:val="1"/>
          <w:numId w:val="83"/>
        </w:numPr>
        <w:rPr>
          <w:rFonts w:ascii="Arial" w:cs="Arial" w:eastAsia="Arial" w:hAnsi="Arial"/>
          <w:sz w:val="20"/>
          <w:szCs w:val="20"/>
          <w:color w:val="auto"/>
        </w:rPr>
      </w:pPr>
      <w:r>
        <w:rPr>
          <w:rFonts w:ascii="Arial" w:cs="Arial" w:eastAsia="Arial" w:hAnsi="Arial"/>
          <w:sz w:val="22"/>
          <w:szCs w:val="22"/>
          <w:color w:val="auto"/>
        </w:rPr>
        <w:t xml:space="preserve">1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ind w:left="-811" w:firstLine="811"/>
        <w:spacing w:after="0" w:line="249" w:lineRule="auto"/>
        <w:tabs>
          <w:tab w:leader="none" w:pos="748"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The Consultant shall use Consultant’s best efforts in the performance of Consultant’s obligations under this Agreement. The Company shall provide such access to its information and property as may be reasonably required in order to permit the Consultant to perform Consultant’s obligations hereunder. The Consultant shall cooperate with the Company’s personnel, shall not interfere with the conduct of the Company’s business and shall observe all rules, regulations and security requirements of the Company concerning the safety of persons and property.</w:t>
      </w:r>
    </w:p>
    <w:p>
      <w:pPr>
        <w:spacing w:after="0" w:line="205" w:lineRule="exact"/>
        <w:rPr>
          <w:sz w:val="20"/>
          <w:szCs w:val="20"/>
          <w:color w:val="auto"/>
        </w:rPr>
      </w:pPr>
    </w:p>
    <w:p>
      <w:pPr>
        <w:ind w:left="749" w:hanging="749"/>
        <w:spacing w:after="0"/>
        <w:tabs>
          <w:tab w:leader="none" w:pos="749"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Proprietary Information and Inventions</w:t>
      </w:r>
      <w:r>
        <w:rPr>
          <w:rFonts w:ascii="Arial" w:cs="Arial" w:eastAsia="Arial" w:hAnsi="Arial"/>
          <w:sz w:val="22"/>
          <w:szCs w:val="22"/>
          <w:color w:val="auto"/>
        </w:rPr>
        <w:t>.</w:t>
      </w:r>
    </w:p>
    <w:p>
      <w:pPr>
        <w:spacing w:after="0" w:line="233" w:lineRule="exact"/>
        <w:rPr>
          <w:sz w:val="20"/>
          <w:szCs w:val="20"/>
          <w:color w:val="auto"/>
        </w:rPr>
      </w:pPr>
    </w:p>
    <w:p>
      <w:pPr>
        <w:ind w:left="809"/>
        <w:spacing w:after="0"/>
        <w:tabs>
          <w:tab w:leader="none" w:pos="1709"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w:t>
      </w:r>
    </w:p>
    <w:p>
      <w:pPr>
        <w:spacing w:after="0" w:line="233" w:lineRule="exact"/>
        <w:rPr>
          <w:sz w:val="20"/>
          <w:szCs w:val="20"/>
          <w:color w:val="auto"/>
        </w:rPr>
      </w:pPr>
    </w:p>
    <w:p>
      <w:pPr>
        <w:ind w:left="-811" w:firstLine="2486"/>
        <w:spacing w:after="0" w:line="279" w:lineRule="auto"/>
        <w:tabs>
          <w:tab w:leader="none" w:pos="25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Consultant acknowledges that Consultant’s relationship with the Company is one of high trust and confidence and that in the course of Consultant’s service to the Company, Consultant will have access to and contact with Proprietary Information (as definedbelow). The Consultant will not disclose any Proprietary Information to any person or entity other than employees of the Company or use the same for any purposes (other than in the performance of the Services) without written approval by an officer of the Company, either during or after the Consultation Period, unless and until such Proprietary Information has become public knowledge without fault by the Consultant.</w:t>
      </w:r>
    </w:p>
    <w:p>
      <w:pPr>
        <w:spacing w:after="0" w:line="177" w:lineRule="exact"/>
        <w:rPr>
          <w:rFonts w:ascii="Arial" w:cs="Arial" w:eastAsia="Arial" w:hAnsi="Arial"/>
          <w:sz w:val="19"/>
          <w:szCs w:val="19"/>
          <w:color w:val="auto"/>
        </w:rPr>
      </w:pPr>
    </w:p>
    <w:p>
      <w:pPr>
        <w:ind w:left="-811" w:right="40" w:firstLine="2486"/>
        <w:spacing w:after="0" w:line="274" w:lineRule="auto"/>
        <w:tabs>
          <w:tab w:leader="none" w:pos="2561" w:val="left"/>
        </w:tabs>
        <w:numPr>
          <w:ilvl w:val="0"/>
          <w:numId w:val="86"/>
        </w:numPr>
        <w:rPr>
          <w:rFonts w:ascii="Arial" w:cs="Arial" w:eastAsia="Arial" w:hAnsi="Arial"/>
          <w:sz w:val="19"/>
          <w:szCs w:val="19"/>
          <w:color w:val="auto"/>
        </w:rPr>
      </w:pPr>
      <w:r>
        <w:rPr>
          <w:rFonts w:ascii="Arial" w:cs="Arial" w:eastAsia="Arial" w:hAnsi="Arial"/>
          <w:sz w:val="19"/>
          <w:szCs w:val="19"/>
          <w:color w:val="auto"/>
        </w:rPr>
        <w:t>For purposes of this Agreement, Proprietary Information shall mean, by way of illustration and not limitation, all information, whether or not in writing, whether or not patentable and whether or not copyrightable, of a private, secret or confidential nature, owned, possessed or used by the Company, concerning the Company’s business, business relationships or financial affairs, including, without limitation, any Invention, formula, vendor information, customer information, apparatus, equipment, trade secret, process, research, report, technical or research data, clinical data, know-how, computer program, software, software documentation, hardware design, technology, product, processes, methods, techniques, formulas, compounds, projects, developments, marketing or business plan, forecast, unpublished financial statement, budget, license, price, cost, customer, supplier or personnel information or employee list that is communicated to, learned of, developed or otherwise acquired by the Consultant in the course of Consultant’s service as a consultant to the Company.</w:t>
      </w:r>
    </w:p>
    <w:p>
      <w:pPr>
        <w:spacing w:after="0" w:line="185" w:lineRule="exact"/>
        <w:rPr>
          <w:rFonts w:ascii="Arial" w:cs="Arial" w:eastAsia="Arial" w:hAnsi="Arial"/>
          <w:sz w:val="19"/>
          <w:szCs w:val="19"/>
          <w:color w:val="auto"/>
        </w:rPr>
      </w:pPr>
    </w:p>
    <w:p>
      <w:pPr>
        <w:ind w:left="-811" w:right="120" w:firstLine="2486"/>
        <w:spacing w:after="0" w:line="274" w:lineRule="auto"/>
        <w:tabs>
          <w:tab w:leader="none" w:pos="25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Consultant agrees that all files, documents, letters, memoranda,reports, records, data sketches, drawings, models, laboratory notebooks, program listings, computer equipment or devices, computer programs or other written, photographic, or other tangible material containing Proprietary Information, whether created by the Consultant or others, which shall come into Consultant’s custody or possession, shall be and are the exclusive property of the Company to be used by the Consultant only in the performance of Consultant’s duties for the Company and shall not be copied or removed from the Company premises except in the pursuit of the business of the Company. All such materials or copies thereof and all tangible property of the Company in the custody or possession of the Consultant shall be delivered to the Company, upon the earlier of (i) a request by the Company or (ii) the termination of this Agreement. After such delivery, the Consultant shall not retain any such materials or copies thereof or any such tangible property.</w:t>
      </w:r>
    </w:p>
    <w:p>
      <w:pPr>
        <w:spacing w:after="0" w:line="185" w:lineRule="exact"/>
        <w:rPr>
          <w:rFonts w:ascii="Arial" w:cs="Arial" w:eastAsia="Arial" w:hAnsi="Arial"/>
          <w:sz w:val="19"/>
          <w:szCs w:val="19"/>
          <w:color w:val="auto"/>
        </w:rPr>
      </w:pPr>
    </w:p>
    <w:p>
      <w:pPr>
        <w:jc w:val="both"/>
        <w:ind w:left="-811" w:right="40" w:firstLine="2486"/>
        <w:spacing w:after="0" w:line="238" w:lineRule="auto"/>
        <w:tabs>
          <w:tab w:leader="none" w:pos="256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Consultant agrees that Consultant’s obligation not to disclose or to use information and materials of the types set forth in paragraphs (b) and (c) above, and Consultant’s obligation to return materials and tangible property set forth in paragraph (c) above extends to such types of information, materials and tangible property of customers of the Company or suppliers to the Company</w:t>
      </w: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4749" w:hanging="105"/>
        <w:spacing w:after="0"/>
        <w:tabs>
          <w:tab w:leader="none" w:pos="4749" w:val="left"/>
        </w:tabs>
        <w:numPr>
          <w:ilvl w:val="1"/>
          <w:numId w:val="86"/>
        </w:numPr>
        <w:rPr>
          <w:rFonts w:ascii="Arial" w:cs="Arial" w:eastAsia="Arial" w:hAnsi="Arial"/>
          <w:sz w:val="20"/>
          <w:szCs w:val="20"/>
          <w:color w:val="auto"/>
        </w:rPr>
      </w:pPr>
      <w:r>
        <w:rPr>
          <w:rFonts w:ascii="Arial" w:cs="Arial" w:eastAsia="Arial" w:hAnsi="Arial"/>
          <w:sz w:val="22"/>
          <w:szCs w:val="22"/>
          <w:color w:val="auto"/>
        </w:rPr>
        <w:t xml:space="preserve">2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62865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09"/>
          </w:cols>
          <w:pgMar w:left="1131" w:top="591" w:right="35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or other third parties who may have disclosed or entrusted the same to the Company or to the Consultant.</w:t>
      </w:r>
    </w:p>
    <w:p>
      <w:pPr>
        <w:spacing w:after="0" w:line="233" w:lineRule="exact"/>
        <w:rPr>
          <w:sz w:val="20"/>
          <w:szCs w:val="20"/>
          <w:color w:val="auto"/>
        </w:rPr>
      </w:pPr>
    </w:p>
    <w:p>
      <w:pPr>
        <w:ind w:right="200" w:firstLine="2486"/>
        <w:spacing w:after="0" w:line="282" w:lineRule="auto"/>
        <w:tabs>
          <w:tab w:leader="none" w:pos="33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Consultant acknowledges that the Company from time to time may have agreements with other persons or with the United States Government, or agencies thereof, that impose obligations or restrictions on the Company regarding inventions made during the course of work under such agreements or regarding the confidential nature of such work. TheConsultant agrees to be bound by all such obligations and restrictions that are known to Consultant and to take all action necessary to discharge the obligations of the Company under such agreements.</w:t>
      </w:r>
    </w:p>
    <w:p>
      <w:pPr>
        <w:spacing w:after="0" w:line="174" w:lineRule="exact"/>
        <w:rPr>
          <w:rFonts w:ascii="Arial" w:cs="Arial" w:eastAsia="Arial" w:hAnsi="Arial"/>
          <w:sz w:val="19"/>
          <w:szCs w:val="19"/>
          <w:color w:val="auto"/>
        </w:rPr>
      </w:pPr>
    </w:p>
    <w:p>
      <w:pPr>
        <w:ind w:right="20" w:firstLine="2486"/>
        <w:spacing w:after="0" w:line="271" w:lineRule="auto"/>
        <w:tabs>
          <w:tab w:leader="none" w:pos="3336"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Consultant’s obligations under this Section 6.1 shall not apply to any information that (i) is or becomes known to the general public under circumstances involving no breach by the Consultant or others of the terms of this Section 6.1, (ii) is generally disclosed to third parties by the Company without restriction on such third parties, or (iii) is approved for release by written authorization of an officer of the Company. Further, nothing herein prohibits the Consultant from communicating with government agencies about possible violationsof federal, state, or local laws or otherwise providing information to government agencies or participating in government agency investigations or proceedings. In addition, notwithstanding the Consultant’s confidentiality and nondisclosure obligations, the Consultant is hereby advised asfollows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(A)files any document containing the trade secret under seal; and (B) does not disclose the trade secret, except pursuant to court order.”</w:t>
      </w:r>
    </w:p>
    <w:p>
      <w:pPr>
        <w:spacing w:after="0" w:line="191" w:lineRule="exact"/>
        <w:rPr>
          <w:sz w:val="20"/>
          <w:szCs w:val="20"/>
          <w:color w:val="auto"/>
        </w:rPr>
      </w:pPr>
    </w:p>
    <w:p>
      <w:pPr>
        <w:ind w:left="1620"/>
        <w:spacing w:after="0"/>
        <w:tabs>
          <w:tab w:leader="none" w:pos="25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Inventions</w:t>
      </w:r>
      <w:r>
        <w:rPr>
          <w:rFonts w:ascii="Arial" w:cs="Arial" w:eastAsia="Arial" w:hAnsi="Arial"/>
          <w:sz w:val="19"/>
          <w:szCs w:val="19"/>
          <w:color w:val="auto"/>
        </w:rPr>
        <w:t>.</w:t>
      </w:r>
    </w:p>
    <w:p>
      <w:pPr>
        <w:spacing w:after="0" w:line="233" w:lineRule="exact"/>
        <w:rPr>
          <w:sz w:val="20"/>
          <w:szCs w:val="20"/>
          <w:color w:val="auto"/>
        </w:rPr>
      </w:pPr>
    </w:p>
    <w:p>
      <w:pPr>
        <w:ind w:firstLine="2486"/>
        <w:spacing w:after="0" w:line="271" w:lineRule="auto"/>
        <w:tabs>
          <w:tab w:leader="none" w:pos="33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Consultant will make full and prompt disclosure to the Company of all inventions, creations, improvements, enhancements, designs, innovations, discoveries, processes, methods, techniques, developments, software, computer programs, and works of authorship, whether or not patentable and whether or not copyrightable, that are created,made, conceived or reduced to practice by the Consultant or under the Consultant’s direction or jointly with others (i) during the Consultation Period or (ii) after the Consultation Period if resulting or directly derived from Proprietary Information, in each case, whether or not during normal working hours or on the premises of the Company (all of which are collectively referred to in this Agreement as “</w:t>
      </w:r>
      <w:r>
        <w:rPr>
          <w:rFonts w:ascii="Arial" w:cs="Arial" w:eastAsia="Arial" w:hAnsi="Arial"/>
          <w:sz w:val="19"/>
          <w:szCs w:val="19"/>
          <w:b w:val="1"/>
          <w:bCs w:val="1"/>
          <w:color w:val="auto"/>
        </w:rPr>
        <w:t>Inventions</w:t>
      </w:r>
      <w:r>
        <w:rPr>
          <w:rFonts w:ascii="Arial" w:cs="Arial" w:eastAsia="Arial" w:hAnsi="Arial"/>
          <w:sz w:val="19"/>
          <w:szCs w:val="19"/>
          <w:color w:val="auto"/>
        </w:rPr>
        <w:t>”). The Consultant agrees to assign and does hereby assign to the Company (or any person or entity designated by the Company) all of the Consultant’s right, title and interest in and to all Inventions and all related patents, patent applications, copyrights created in the work(s) of authorship, trademarks, trade names, and other industrial and intellectualproperty rights and applications therefor in the United States and elsewhere. However, the previous sentence shall not apply to Inventions that do not relate to the present or planned business or research and development of the Company and that are made and conceived by the Consultant not during normal working hours, not on the Company’s premises and not using the Company’s tools, devices, equipment or Proprietary Information. The Consultant understands that, to the extent this Agreement shall be construed in accordance with the laws of any state that precludes a</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5560" w:hanging="105"/>
        <w:spacing w:after="0"/>
        <w:tabs>
          <w:tab w:leader="none" w:pos="5560" w:val="left"/>
        </w:tabs>
        <w:numPr>
          <w:ilvl w:val="1"/>
          <w:numId w:val="88"/>
        </w:numPr>
        <w:rPr>
          <w:rFonts w:ascii="Arial" w:cs="Arial" w:eastAsia="Arial" w:hAnsi="Arial"/>
          <w:sz w:val="20"/>
          <w:szCs w:val="20"/>
          <w:color w:val="auto"/>
        </w:rPr>
      </w:pPr>
      <w:r>
        <w:rPr>
          <w:rFonts w:ascii="Arial" w:cs="Arial" w:eastAsia="Arial" w:hAnsi="Arial"/>
          <w:sz w:val="22"/>
          <w:szCs w:val="22"/>
          <w:color w:val="auto"/>
        </w:rPr>
        <w:t xml:space="preserve">3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spacing w:after="0" w:line="249" w:lineRule="auto"/>
        <w:rPr>
          <w:sz w:val="20"/>
          <w:szCs w:val="20"/>
          <w:color w:val="auto"/>
        </w:rPr>
      </w:pPr>
      <w:r>
        <w:rPr>
          <w:rFonts w:ascii="Arial" w:cs="Arial" w:eastAsia="Arial" w:hAnsi="Arial"/>
          <w:sz w:val="21"/>
          <w:szCs w:val="21"/>
          <w:color w:val="auto"/>
        </w:rPr>
        <w:t>requirement that an individual assign certain classes of inventions, this Section 6.2(a) shall be interpreted not to apply to any invention that a court rules and/or the Company agrees falls withinsuch classes. The Consultant further acknowledges that each original work of authorship that is made by the Consultant (solely or jointly with others) within the scope of the Agreement and which is protectable by copyright is a “work made for hire,” as that term is defined in the United States Copyright Act. The Consultant hereby waives all claims to moral rights in any Inventions.</w:t>
      </w:r>
    </w:p>
    <w:p>
      <w:pPr>
        <w:spacing w:after="0" w:line="205" w:lineRule="exact"/>
        <w:rPr>
          <w:sz w:val="20"/>
          <w:szCs w:val="20"/>
          <w:color w:val="auto"/>
        </w:rPr>
      </w:pPr>
    </w:p>
    <w:p>
      <w:pPr>
        <w:ind w:right="60" w:firstLine="2486"/>
        <w:spacing w:after="0" w:line="273" w:lineRule="auto"/>
        <w:tabs>
          <w:tab w:leader="none" w:pos="337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Consultant agrees that if, in the course of performing the Services, the Consultant incorporates into any Invention developed under this Agreement any preexisting invention, improvement, development, concept, discovery or other proprietary information owned by the Consultant or in which the Consultant has an interest (“</w:t>
      </w:r>
      <w:r>
        <w:rPr>
          <w:rFonts w:ascii="Arial" w:cs="Arial" w:eastAsia="Arial" w:hAnsi="Arial"/>
          <w:sz w:val="19"/>
          <w:szCs w:val="19"/>
          <w:b w:val="1"/>
          <w:b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color w:val="auto"/>
        </w:rPr>
        <w:t>Inventions</w:t>
      </w:r>
      <w:r>
        <w:rPr>
          <w:rFonts w:ascii="Arial" w:cs="Arial" w:eastAsia="Arial" w:hAnsi="Arial"/>
          <w:sz w:val="19"/>
          <w:szCs w:val="19"/>
          <w:color w:val="auto"/>
        </w:rPr>
        <w:t>”), (i) the Consultant will inform the Company, in writing before incorporating such Prior Inventions into any Invention,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(ii) the Company is hereby granted a nonexclusive, royalty-free, perpetual, irrevocable, transferable worldwide license with the right to grant and authorize sublicenses, to make, have made, modify, use, import, offer for sale, sell, reproduce, distribute, modify, adapt, prepare derivative works of, display, perform, and otherwise exploit suchPrior Inventions, without restriction, including, without limitation, as part of or in connection withsuch Invention, and to practice any method related thereto. The Consultant will not incorporate any invention, improvement, development, concept, discovery or other proprietary information owned by any third party into any Invention without the Company’s prior written permission.</w:t>
      </w:r>
    </w:p>
    <w:p>
      <w:pPr>
        <w:spacing w:after="0" w:line="187" w:lineRule="exact"/>
        <w:rPr>
          <w:rFonts w:ascii="Arial" w:cs="Arial" w:eastAsia="Arial" w:hAnsi="Arial"/>
          <w:sz w:val="19"/>
          <w:szCs w:val="19"/>
          <w:color w:val="auto"/>
        </w:rPr>
      </w:pPr>
    </w:p>
    <w:p>
      <w:pPr>
        <w:ind w:right="20" w:firstLine="2486"/>
        <w:spacing w:after="0" w:line="273" w:lineRule="auto"/>
        <w:tabs>
          <w:tab w:leader="none" w:pos="33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Consultant agrees to cooperate fully with the Company, both during and after the Consultation Period, with respect to the procurement, maintenance, and enforcement of copyrights, patents and other intellectual property rights (both in the United Statesand foreign countries) relating to Inventions. The Consultant shall sign all papers, including, without limitation, copyright applications, patent applications, declarations, oaths, formal assignments, assignments of priority rights, and powers of attorney, which the Company may deemnecessary or desirable in order to protect its rights and interests in any Invention. The Consultant further agrees that if the Company is unable, after reasonable effort, to secure the signature of the Consultant on any such papers, any executive officer of the Company shall be entitled to execute any such papers as the agent and the attorney-in-fact of the Consultant, and the Consultant hereby irrevocably designates and appoints each executive officer of the Company as the Consultant’s agent and attorney-in-fact to execute any such papers on the Consultant’s behalf, and to take any and all actions as the Company may deem necessary or desirable in order to protect its rights and interests in any Invention, under the conditions described in this sentence.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5560" w:hanging="105"/>
        <w:spacing w:after="0"/>
        <w:tabs>
          <w:tab w:leader="none" w:pos="5560" w:val="left"/>
        </w:tabs>
        <w:numPr>
          <w:ilvl w:val="1"/>
          <w:numId w:val="89"/>
        </w:numPr>
        <w:rPr>
          <w:rFonts w:ascii="Arial" w:cs="Arial" w:eastAsia="Arial" w:hAnsi="Arial"/>
          <w:sz w:val="20"/>
          <w:szCs w:val="20"/>
          <w:color w:val="auto"/>
        </w:rPr>
      </w:pPr>
      <w:r>
        <w:rPr>
          <w:rFonts w:ascii="Arial" w:cs="Arial" w:eastAsia="Arial" w:hAnsi="Arial"/>
          <w:sz w:val="22"/>
          <w:szCs w:val="22"/>
          <w:color w:val="auto"/>
        </w:rPr>
        <w:t xml:space="preserve">4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06" w:name="page107"/>
    <w:bookmarkEnd w:id="106"/>
    <w:p>
      <w:pPr>
        <w:ind w:right="100" w:firstLine="2486"/>
        <w:spacing w:after="0" w:line="297" w:lineRule="auto"/>
        <w:tabs>
          <w:tab w:leader="none" w:pos="3372"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Consultant shall maintain adequate and current written records (in the form of notes, sketches, drawings and as may be specified by the Company) to document the conception and/or first actual reduction to practice of any Invention. Such written records shallbe available to and remain the sole property of the Company at all times.</w:t>
      </w:r>
    </w:p>
    <w:p>
      <w:pPr>
        <w:spacing w:after="0" w:line="161" w:lineRule="exact"/>
        <w:rPr>
          <w:sz w:val="20"/>
          <w:szCs w:val="20"/>
          <w:color w:val="auto"/>
        </w:rPr>
      </w:pPr>
    </w:p>
    <w:p>
      <w:pPr>
        <w:ind w:right="180" w:firstLine="811"/>
        <w:spacing w:after="0"/>
        <w:tabs>
          <w:tab w:leader="none" w:pos="1559"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Non-Exclusivity</w:t>
      </w:r>
      <w:r>
        <w:rPr>
          <w:rFonts w:ascii="Arial" w:cs="Arial" w:eastAsia="Arial" w:hAnsi="Arial"/>
          <w:sz w:val="22"/>
          <w:szCs w:val="22"/>
          <w:color w:val="auto"/>
        </w:rPr>
        <w:t>. The Company retains the right to contract with other companies and/or individuals for consulting services without restriction. Similarly, the Consultant retains the right to contract with other companies or entities for the Consultant’s consulting services without restriction.</w:t>
      </w:r>
    </w:p>
    <w:p>
      <w:pPr>
        <w:spacing w:after="0" w:line="213" w:lineRule="exact"/>
        <w:rPr>
          <w:sz w:val="20"/>
          <w:szCs w:val="20"/>
          <w:color w:val="auto"/>
        </w:rPr>
      </w:pPr>
    </w:p>
    <w:p>
      <w:pPr>
        <w:ind w:left="1560" w:hanging="749"/>
        <w:spacing w:after="0"/>
        <w:tabs>
          <w:tab w:leader="none" w:pos="156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Other Agreements; Warranty</w:t>
      </w:r>
      <w:r>
        <w:rPr>
          <w:rFonts w:ascii="Arial" w:cs="Arial" w:eastAsia="Arial" w:hAnsi="Arial"/>
          <w:sz w:val="22"/>
          <w:szCs w:val="22"/>
          <w:color w:val="auto"/>
        </w:rPr>
        <w:t>.</w:t>
      </w:r>
    </w:p>
    <w:p>
      <w:pPr>
        <w:spacing w:after="0" w:line="233" w:lineRule="exact"/>
        <w:rPr>
          <w:sz w:val="20"/>
          <w:szCs w:val="20"/>
          <w:color w:val="auto"/>
        </w:rPr>
      </w:pPr>
    </w:p>
    <w:p>
      <w:pPr>
        <w:ind w:firstLine="1606"/>
        <w:spacing w:after="0" w:line="274" w:lineRule="auto"/>
        <w:rPr>
          <w:sz w:val="20"/>
          <w:szCs w:val="20"/>
          <w:color w:val="auto"/>
        </w:rPr>
      </w:pPr>
      <w:r>
        <w:rPr>
          <w:rFonts w:ascii="Arial" w:cs="Arial" w:eastAsia="Arial" w:hAnsi="Arial"/>
          <w:sz w:val="19"/>
          <w:szCs w:val="19"/>
          <w:color w:val="auto"/>
        </w:rPr>
        <w:t>8.1 The Consultant hereby represents that, except as the Consultant has disclosed in writing to the Company, the Consultant is not bound by the terms of any agreement with any third party to refrain from using or disclosing any trade secret or confidential or proprietary information in the course of Consultant’s consultancy with the Company, to refrain from competing, directly or indirectly, with the business of such third party or to refrain from soliciting employees, customers or suppliers of such third party. The Consultant further represents that Consultant’s performance of all the terms of this Agreement and the performance of the services as a consultant of the Company do not and will not breach any agreement with any third party to which the Consultant is a party (including, without limitation, any nondisclosure or non- competition agreement), and that the Consultant will not disclose to the Company or induce the Company to use any confidential or proprietary information or material belonging to any current or previous employer or others.</w:t>
      </w:r>
    </w:p>
    <w:p>
      <w:pPr>
        <w:spacing w:after="0" w:line="185" w:lineRule="exact"/>
        <w:rPr>
          <w:sz w:val="20"/>
          <w:szCs w:val="20"/>
          <w:color w:val="auto"/>
        </w:rPr>
      </w:pPr>
    </w:p>
    <w:p>
      <w:pPr>
        <w:ind w:right="60" w:firstLine="1606"/>
        <w:spacing w:after="0" w:line="252" w:lineRule="auto"/>
        <w:rPr>
          <w:sz w:val="20"/>
          <w:szCs w:val="20"/>
          <w:color w:val="auto"/>
        </w:rPr>
      </w:pPr>
      <w:r>
        <w:rPr>
          <w:rFonts w:ascii="Arial" w:cs="Arial" w:eastAsia="Arial" w:hAnsi="Arial"/>
          <w:sz w:val="21"/>
          <w:szCs w:val="21"/>
          <w:color w:val="auto"/>
        </w:rPr>
        <w:t>8.2 The Consultant hereby represents, warrants and covenants that Consultant has the skills and experience necessary to perform the Services, that Consultant will perform said services in a professional, competent and timely manner, that Consultant has the power to enter into this Agreement and that Consultant’s performance hereunder will not infringe upon or violate the rights of any third party or violate any federal, state or municipal laws.</w:t>
      </w:r>
    </w:p>
    <w:p>
      <w:pPr>
        <w:spacing w:after="0" w:line="201" w:lineRule="exact"/>
        <w:rPr>
          <w:sz w:val="20"/>
          <w:szCs w:val="20"/>
          <w:color w:val="auto"/>
        </w:rPr>
      </w:pPr>
    </w:p>
    <w:p>
      <w:pPr>
        <w:ind w:left="1560" w:hanging="749"/>
        <w:spacing w:after="0"/>
        <w:tabs>
          <w:tab w:leader="none" w:pos="15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Independent Contractor Status</w:t>
      </w:r>
      <w:r>
        <w:rPr>
          <w:rFonts w:ascii="Arial" w:cs="Arial" w:eastAsia="Arial" w:hAnsi="Arial"/>
          <w:sz w:val="22"/>
          <w:szCs w:val="22"/>
          <w:color w:val="auto"/>
        </w:rPr>
        <w:t>.</w:t>
      </w:r>
    </w:p>
    <w:p>
      <w:pPr>
        <w:spacing w:after="0" w:line="233" w:lineRule="exact"/>
        <w:rPr>
          <w:sz w:val="20"/>
          <w:szCs w:val="20"/>
          <w:color w:val="auto"/>
        </w:rPr>
      </w:pPr>
    </w:p>
    <w:p>
      <w:pPr>
        <w:ind w:right="100" w:firstLine="1606"/>
        <w:spacing w:after="0" w:line="297" w:lineRule="auto"/>
        <w:rPr>
          <w:sz w:val="20"/>
          <w:szCs w:val="20"/>
          <w:color w:val="auto"/>
        </w:rPr>
      </w:pPr>
      <w:r>
        <w:rPr>
          <w:rFonts w:ascii="Arial" w:cs="Arial" w:eastAsia="Arial" w:hAnsi="Arial"/>
          <w:sz w:val="19"/>
          <w:szCs w:val="19"/>
          <w:color w:val="auto"/>
        </w:rPr>
        <w:t>9.1 The Consultant shall perform all services under this Agreement as an “independent contractor” and not as an employee or agent of the Company. The Consultant is not authorized to assume or create any obligation or responsibility, express or implied, on behalf of, or in the name of, the Company or to bind the Company in any manner.</w:t>
      </w:r>
    </w:p>
    <w:p>
      <w:pPr>
        <w:spacing w:after="0" w:line="161" w:lineRule="exact"/>
        <w:rPr>
          <w:sz w:val="20"/>
          <w:szCs w:val="20"/>
          <w:color w:val="auto"/>
        </w:rPr>
      </w:pPr>
    </w:p>
    <w:p>
      <w:pPr>
        <w:ind w:firstLine="1606"/>
        <w:spacing w:after="0" w:line="279" w:lineRule="auto"/>
        <w:rPr>
          <w:sz w:val="20"/>
          <w:szCs w:val="20"/>
          <w:color w:val="auto"/>
        </w:rPr>
      </w:pPr>
      <w:r>
        <w:rPr>
          <w:rFonts w:ascii="Arial" w:cs="Arial" w:eastAsia="Arial" w:hAnsi="Arial"/>
          <w:sz w:val="19"/>
          <w:szCs w:val="19"/>
          <w:color w:val="auto"/>
        </w:rPr>
        <w:t>9.2 The Consultant shall have the right to control and determine the time, place, methods, manner and means of performing the Services. In performing the Services, the amount of time devoted by the Consultant on any given day will be entirely within the Consultant’s control, and the Company will rely on the Consultant to put in the amount of time necessary to fulfill the requirements of this Agreement. The Consultant will provide all equipment and supplies required to perform the Services. The Consultant is not required to attend regular meetings at the Company. However, upon reasonable notice, the Consultant shall meet with representatives of the Company at a location to be designated by the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5</w:t>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34" w:right="379" w:bottom="1440" w:gutter="0" w:footer="0" w:header="0"/>
        </w:sectPr>
      </w:pPr>
    </w:p>
    <w:bookmarkStart w:id="107" w:name="page108"/>
    <w:bookmarkEnd w:id="107"/>
    <w:p>
      <w:pPr>
        <w:ind w:right="40" w:firstLine="1606"/>
        <w:spacing w:after="0" w:line="238" w:lineRule="auto"/>
        <w:rPr>
          <w:sz w:val="20"/>
          <w:szCs w:val="20"/>
          <w:color w:val="auto"/>
        </w:rPr>
      </w:pPr>
      <w:r>
        <w:rPr>
          <w:rFonts w:ascii="Arial" w:cs="Arial" w:eastAsia="Arial" w:hAnsi="Arial"/>
          <w:sz w:val="22"/>
          <w:szCs w:val="22"/>
          <w:color w:val="auto"/>
        </w:rPr>
        <w:t>9.3 In the performance of the Services, the Consultant has the authority to control and direct the performance of the details of the Services, the Company being interested only in the results obtained. However, the Services contemplated by the Agreement must meet the Company’s standards and approval and shall be subject to the Company’s general right of inspection and supervision to secure their satisfactory completion.</w:t>
      </w:r>
    </w:p>
    <w:p>
      <w:pPr>
        <w:spacing w:after="0" w:line="212" w:lineRule="exact"/>
        <w:rPr>
          <w:sz w:val="20"/>
          <w:szCs w:val="20"/>
          <w:color w:val="auto"/>
        </w:rPr>
      </w:pPr>
    </w:p>
    <w:p>
      <w:pPr>
        <w:ind w:right="460" w:firstLine="1606"/>
        <w:spacing w:after="0" w:line="250" w:lineRule="auto"/>
        <w:rPr>
          <w:sz w:val="20"/>
          <w:szCs w:val="20"/>
          <w:color w:val="auto"/>
        </w:rPr>
      </w:pPr>
      <w:r>
        <w:rPr>
          <w:rFonts w:ascii="Arial" w:cs="Arial" w:eastAsia="Arial" w:hAnsi="Arial"/>
          <w:sz w:val="22"/>
          <w:szCs w:val="22"/>
          <w:color w:val="auto"/>
        </w:rPr>
        <w:t>9.4 The Consultant shall not use the Company’s trade names, trademarks, service names or service marks without the prior approval of the Company.</w:t>
      </w:r>
    </w:p>
    <w:p>
      <w:pPr>
        <w:spacing w:after="0" w:line="202" w:lineRule="exact"/>
        <w:rPr>
          <w:sz w:val="20"/>
          <w:szCs w:val="20"/>
          <w:color w:val="auto"/>
        </w:rPr>
      </w:pPr>
    </w:p>
    <w:p>
      <w:pPr>
        <w:ind w:right="360" w:firstLine="1606"/>
        <w:spacing w:after="0"/>
        <w:rPr>
          <w:sz w:val="20"/>
          <w:szCs w:val="20"/>
          <w:color w:val="auto"/>
        </w:rPr>
      </w:pPr>
      <w:r>
        <w:rPr>
          <w:rFonts w:ascii="Arial" w:cs="Arial" w:eastAsia="Arial" w:hAnsi="Arial"/>
          <w:sz w:val="22"/>
          <w:szCs w:val="22"/>
          <w:color w:val="auto"/>
        </w:rPr>
        <w:t>9.5 The Consultant shall be solely responsible for all state and federal income taxes, unemployment insurance and social security taxes in connection with this Agreement and for maintaining adequate workers’ compensation insurance coverage.</w:t>
      </w:r>
    </w:p>
    <w:p>
      <w:pPr>
        <w:spacing w:after="0" w:line="213" w:lineRule="exact"/>
        <w:rPr>
          <w:sz w:val="20"/>
          <w:szCs w:val="20"/>
          <w:color w:val="auto"/>
        </w:rPr>
      </w:pPr>
    </w:p>
    <w:p>
      <w:pPr>
        <w:ind w:right="260" w:firstLine="811"/>
        <w:spacing w:after="0" w:line="235" w:lineRule="auto"/>
        <w:tabs>
          <w:tab w:leader="none" w:pos="1667"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The Consultant acknowledges that any breach of the provisions of Section 6 of this Agreement shall result in serious and irreparable injury to the Company for which the Company cannot be adequately compensated by monetary damages alone. The Consultant agrees, therefore, that, in addition to any other remedy the Company may have, the Company shall be entitled to enforce the specific performance of this Agreement by the Consultant and to seek both temporary and permanent injunctive relief (to the extent permitted by law) without the necessity of proving actual damages or posting a bond.</w:t>
      </w:r>
    </w:p>
    <w:p>
      <w:pPr>
        <w:spacing w:after="0" w:line="214" w:lineRule="exact"/>
        <w:rPr>
          <w:rFonts w:ascii="Arial" w:cs="Arial" w:eastAsia="Arial" w:hAnsi="Arial"/>
          <w:sz w:val="22"/>
          <w:szCs w:val="22"/>
          <w:color w:val="auto"/>
        </w:rPr>
      </w:pPr>
    </w:p>
    <w:p>
      <w:pPr>
        <w:ind w:right="60" w:firstLine="811"/>
        <w:spacing w:after="0" w:line="273" w:lineRule="auto"/>
        <w:tabs>
          <w:tab w:leader="none" w:pos="165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The Consultant shall be solely liable for, and shall indemnify, defend and hold harmless the Company and its successors and assigns from any claims, suits, judgments or causes of action initiated by any third party against the Company where such actions result from or arise out of the services performed by the Consultant under this Agreement. The Consultant shall further be solely liable for, and shall indemnify, defend and hold harmless the Company and its successors and assigns from and against any claim or liability of any kind (including penalties, fees or charges) resulting from the Consultant’s failure to pay the taxes, penalties, and payments referenced in Section 9 of this Agreement. The Consultant shall further indemnify, defend and hold harmless the Company and its successors and assigns from and against any and all loss or damage resulting from any misrepresentation, or any non-fulfillment of any representation, responsibility, covenant or agreement on Consultant’s part, as well as any and all acts, suits, proceedings, demands, assessments, penalties, judgments of or against the Company relating to or arising out of the activities of the Consultant and the Consultant shall pay reasonable attorneys’ fees, costs and expenses incident thereto.</w:t>
      </w:r>
    </w:p>
    <w:p>
      <w:pPr>
        <w:spacing w:after="0" w:line="182" w:lineRule="exact"/>
        <w:rPr>
          <w:rFonts w:ascii="Arial" w:cs="Arial" w:eastAsia="Arial" w:hAnsi="Arial"/>
          <w:sz w:val="19"/>
          <w:szCs w:val="19"/>
          <w:color w:val="auto"/>
        </w:rPr>
      </w:pPr>
    </w:p>
    <w:p>
      <w:pPr>
        <w:ind w:firstLine="811"/>
        <w:spacing w:after="0" w:line="238" w:lineRule="auto"/>
        <w:tabs>
          <w:tab w:leader="none" w:pos="1667"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shall be in writing and shall be deemed effective upon personal delivery or upon deposit in the United States Post Office, by registered or certified mail, postage prepaid, addressed to the other party at the address shown above, or at such other address or addresses as either party shall designate to the other in accordance with this Section 12.</w:t>
      </w:r>
    </w:p>
    <w:p>
      <w:pPr>
        <w:spacing w:after="0" w:line="211" w:lineRule="exact"/>
        <w:rPr>
          <w:rFonts w:ascii="Arial" w:cs="Arial" w:eastAsia="Arial" w:hAnsi="Arial"/>
          <w:sz w:val="22"/>
          <w:szCs w:val="22"/>
          <w:color w:val="auto"/>
        </w:rPr>
      </w:pPr>
    </w:p>
    <w:p>
      <w:pPr>
        <w:ind w:right="280" w:firstLine="811"/>
        <w:spacing w:after="0"/>
        <w:tabs>
          <w:tab w:leader="none" w:pos="1667"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Pronouns</w:t>
      </w:r>
      <w:r>
        <w:rPr>
          <w:rFonts w:ascii="Arial" w:cs="Arial" w:eastAsia="Arial" w:hAnsi="Arial"/>
          <w:sz w:val="22"/>
          <w:szCs w:val="22"/>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213" w:lineRule="exact"/>
        <w:rPr>
          <w:rFonts w:ascii="Arial" w:cs="Arial" w:eastAsia="Arial" w:hAnsi="Arial"/>
          <w:sz w:val="22"/>
          <w:szCs w:val="22"/>
          <w:color w:val="auto"/>
        </w:rPr>
      </w:pPr>
    </w:p>
    <w:p>
      <w:pPr>
        <w:ind w:right="320" w:firstLine="811"/>
        <w:spacing w:after="0" w:line="250" w:lineRule="auto"/>
        <w:tabs>
          <w:tab w:leader="none" w:pos="1667"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and supersedes all prior agreements and understandings, whether written or oral, relating to the subject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5560" w:hanging="105"/>
        <w:spacing w:after="0"/>
        <w:tabs>
          <w:tab w:leader="none" w:pos="5560" w:val="left"/>
        </w:tabs>
        <w:numPr>
          <w:ilvl w:val="1"/>
          <w:numId w:val="94"/>
        </w:numPr>
        <w:rPr>
          <w:rFonts w:ascii="Arial" w:cs="Arial" w:eastAsia="Arial" w:hAnsi="Arial"/>
          <w:sz w:val="20"/>
          <w:szCs w:val="20"/>
          <w:color w:val="auto"/>
        </w:rPr>
      </w:pPr>
      <w:r>
        <w:rPr>
          <w:rFonts w:ascii="Arial" w:cs="Arial" w:eastAsia="Arial" w:hAnsi="Arial"/>
          <w:sz w:val="22"/>
          <w:szCs w:val="22"/>
          <w:color w:val="auto"/>
        </w:rPr>
        <w:t xml:space="preserve">6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91" w:right="399" w:bottom="1440" w:gutter="0" w:footer="0" w:header="0"/>
        </w:sectPr>
      </w:pPr>
    </w:p>
    <w:bookmarkStart w:id="108" w:name="page109"/>
    <w:bookmarkEnd w:id="108"/>
    <w:p>
      <w:pPr>
        <w:ind w:right="180"/>
        <w:spacing w:after="0" w:line="236" w:lineRule="auto"/>
        <w:rPr>
          <w:sz w:val="20"/>
          <w:szCs w:val="20"/>
          <w:color w:val="auto"/>
        </w:rPr>
      </w:pPr>
      <w:r>
        <w:rPr>
          <w:rFonts w:ascii="Arial" w:cs="Arial" w:eastAsia="Arial" w:hAnsi="Arial"/>
          <w:sz w:val="22"/>
          <w:szCs w:val="22"/>
          <w:color w:val="auto"/>
        </w:rPr>
        <w:t xml:space="preserve">matter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Agreement does not supersede any continuing obligation by any individual who was formerly employed by the Company. For clarification, but not limitation, this means that if there is a conflict between Section 6 of this Agreement, on the one hand, and any agreement regarding confidentiality, inventions assignment, non-solicitation, and/or non-competition obligations for a former employee of the Company, on the other hand, such conflict will be resolved in the manner most protective of the Company.</w:t>
      </w:r>
    </w:p>
    <w:p>
      <w:pPr>
        <w:spacing w:after="0" w:line="214" w:lineRule="exact"/>
        <w:rPr>
          <w:sz w:val="20"/>
          <w:szCs w:val="20"/>
          <w:color w:val="auto"/>
        </w:rPr>
      </w:pPr>
    </w:p>
    <w:p>
      <w:pPr>
        <w:ind w:right="40" w:firstLine="811"/>
        <w:spacing w:after="0" w:line="250" w:lineRule="auto"/>
        <w:tabs>
          <w:tab w:leader="none" w:pos="166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executed by both the Company and the Consultant.</w:t>
      </w:r>
    </w:p>
    <w:p>
      <w:pPr>
        <w:spacing w:after="0" w:line="201" w:lineRule="exact"/>
        <w:rPr>
          <w:rFonts w:ascii="Arial" w:cs="Arial" w:eastAsia="Arial" w:hAnsi="Arial"/>
          <w:sz w:val="22"/>
          <w:szCs w:val="22"/>
          <w:color w:val="auto"/>
        </w:rPr>
      </w:pPr>
    </w:p>
    <w:p>
      <w:pPr>
        <w:ind w:right="200" w:firstLine="811"/>
        <w:spacing w:after="0" w:line="238" w:lineRule="auto"/>
        <w:tabs>
          <w:tab w:leader="none" w:pos="166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Non-Assignability of Contract</w:t>
      </w:r>
      <w:r>
        <w:rPr>
          <w:rFonts w:ascii="Arial" w:cs="Arial" w:eastAsia="Arial" w:hAnsi="Arial"/>
          <w:sz w:val="22"/>
          <w:szCs w:val="22"/>
          <w:color w:val="auto"/>
        </w:rPr>
        <w:t>. This Agreement is personal to the Consultant and the Consultant shall not have the right to assign any of Consultant’s rights or delegate any of Consultant’s duties without the express written consent of the Company. Any non-consented-to assignment or delegation, whether express or implied or by operation of law, shall be void and shall constitute a breach and a default by the Consultant.</w:t>
      </w:r>
    </w:p>
    <w:p>
      <w:pPr>
        <w:spacing w:after="0" w:line="211" w:lineRule="exact"/>
        <w:rPr>
          <w:rFonts w:ascii="Arial" w:cs="Arial" w:eastAsia="Arial" w:hAnsi="Arial"/>
          <w:sz w:val="22"/>
          <w:szCs w:val="22"/>
          <w:color w:val="auto"/>
        </w:rPr>
      </w:pPr>
    </w:p>
    <w:p>
      <w:pPr>
        <w:ind w:right="400" w:firstLine="811"/>
        <w:spacing w:after="0"/>
        <w:tabs>
          <w:tab w:leader="none" w:pos="166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Commonwealth of Massachusetts without giving effect to any choice or conflict of law provision or rule that would cause the application of laws of any other jurisdiction.</w:t>
      </w:r>
    </w:p>
    <w:p>
      <w:pPr>
        <w:spacing w:after="0" w:line="213" w:lineRule="exact"/>
        <w:rPr>
          <w:rFonts w:ascii="Arial" w:cs="Arial" w:eastAsia="Arial" w:hAnsi="Arial"/>
          <w:sz w:val="22"/>
          <w:szCs w:val="22"/>
          <w:color w:val="auto"/>
        </w:rPr>
      </w:pPr>
    </w:p>
    <w:p>
      <w:pPr>
        <w:ind w:right="120" w:firstLine="811"/>
        <w:spacing w:after="0" w:line="238" w:lineRule="auto"/>
        <w:tabs>
          <w:tab w:leader="none" w:pos="166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are personal and shall not be assigned by Consultant.</w:t>
      </w:r>
    </w:p>
    <w:p>
      <w:pPr>
        <w:spacing w:after="0" w:line="211" w:lineRule="exact"/>
        <w:rPr>
          <w:rFonts w:ascii="Arial" w:cs="Arial" w:eastAsia="Arial" w:hAnsi="Arial"/>
          <w:sz w:val="22"/>
          <w:szCs w:val="22"/>
          <w:color w:val="auto"/>
        </w:rPr>
      </w:pPr>
    </w:p>
    <w:p>
      <w:pPr>
        <w:ind w:right="140" w:firstLine="811"/>
        <w:spacing w:after="0" w:line="238" w:lineRule="auto"/>
        <w:tabs>
          <w:tab w:leader="none" w:pos="166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If any restriction set forth in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211" w:lineRule="exact"/>
        <w:rPr>
          <w:rFonts w:ascii="Arial" w:cs="Arial" w:eastAsia="Arial" w:hAnsi="Arial"/>
          <w:sz w:val="22"/>
          <w:szCs w:val="22"/>
          <w:color w:val="auto"/>
        </w:rPr>
      </w:pPr>
    </w:p>
    <w:p>
      <w:pPr>
        <w:ind w:left="1680" w:hanging="869"/>
        <w:spacing w:after="0"/>
        <w:tabs>
          <w:tab w:leader="none" w:pos="16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Sections 4 through 21 shall survive the expiration or termination of this Agreement.</w:t>
      </w:r>
    </w:p>
    <w:p>
      <w:pPr>
        <w:spacing w:after="0" w:line="233" w:lineRule="exact"/>
        <w:rPr>
          <w:rFonts w:ascii="Arial" w:cs="Arial" w:eastAsia="Arial" w:hAnsi="Arial"/>
          <w:sz w:val="22"/>
          <w:szCs w:val="22"/>
          <w:color w:val="auto"/>
        </w:rPr>
      </w:pPr>
    </w:p>
    <w:p>
      <w:pPr>
        <w:ind w:left="1680" w:hanging="869"/>
        <w:spacing w:after="0"/>
        <w:tabs>
          <w:tab w:leader="none" w:pos="16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right="180" w:firstLine="1606"/>
        <w:spacing w:after="0" w:line="257" w:lineRule="auto"/>
        <w:rPr>
          <w:sz w:val="20"/>
          <w:szCs w:val="20"/>
          <w:color w:val="auto"/>
        </w:rPr>
      </w:pPr>
      <w:r>
        <w:rPr>
          <w:rFonts w:ascii="Arial" w:cs="Arial" w:eastAsia="Arial" w:hAnsi="Arial"/>
          <w:sz w:val="21"/>
          <w:szCs w:val="21"/>
          <w:color w:val="auto"/>
        </w:rPr>
        <w:t>21.1 No delay or omission by the Company in exercising any right under this Agreement shall operate as a waiver of that or any other right. A waiver or consent given by the Company on any one occasion shall be effective only in that instance and shall not be construed as a bar or waiver of any right on any other occasion.</w:t>
      </w:r>
    </w:p>
    <w:p>
      <w:pPr>
        <w:spacing w:after="0" w:line="196" w:lineRule="exact"/>
        <w:rPr>
          <w:sz w:val="20"/>
          <w:szCs w:val="20"/>
          <w:color w:val="auto"/>
        </w:rPr>
      </w:pPr>
    </w:p>
    <w:p>
      <w:pPr>
        <w:ind w:firstLine="1606"/>
        <w:spacing w:after="0" w:line="250" w:lineRule="auto"/>
        <w:rPr>
          <w:sz w:val="20"/>
          <w:szCs w:val="20"/>
          <w:color w:val="auto"/>
        </w:rPr>
      </w:pPr>
      <w:r>
        <w:rPr>
          <w:rFonts w:ascii="Arial" w:cs="Arial" w:eastAsia="Arial" w:hAnsi="Arial"/>
          <w:sz w:val="22"/>
          <w:szCs w:val="22"/>
          <w:color w:val="auto"/>
        </w:rPr>
        <w:t>21.2 The captions of the sections of this Agreement are for convenience of reference only and in no way define, limit or affect the scope or substance of any section of this Agreement.</w:t>
      </w:r>
    </w:p>
    <w:p>
      <w:pPr>
        <w:spacing w:after="0" w:line="202" w:lineRule="exact"/>
        <w:rPr>
          <w:sz w:val="20"/>
          <w:szCs w:val="20"/>
          <w:color w:val="auto"/>
        </w:rPr>
      </w:pPr>
    </w:p>
    <w:p>
      <w:pPr>
        <w:ind w:right="60" w:firstLine="1606"/>
        <w:spacing w:after="0" w:line="328" w:lineRule="auto"/>
        <w:rPr>
          <w:sz w:val="20"/>
          <w:szCs w:val="20"/>
          <w:color w:val="auto"/>
        </w:rPr>
      </w:pPr>
      <w:r>
        <w:rPr>
          <w:rFonts w:ascii="Arial" w:cs="Arial" w:eastAsia="Arial" w:hAnsi="Arial"/>
          <w:sz w:val="19"/>
          <w:szCs w:val="19"/>
          <w:color w:val="auto"/>
        </w:rPr>
        <w:t>21.3 In the event that any provision of this Agreement shall be invalid, illegal or otherwise unenforceable, the validity, legality and enforceability of the remaining provisions shall in no way be affected or impaired thereby.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1"/>
          <w:szCs w:val="21"/>
          <w:color w:val="auto"/>
        </w:rPr>
        <w:t>7</w:t>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9" w:name="page110"/>
    <w:bookmarkEnd w:id="109"/>
    <w:p>
      <w:pPr>
        <w:ind w:left="820"/>
        <w:spacing w:after="0"/>
        <w:rPr>
          <w:sz w:val="20"/>
          <w:szCs w:val="20"/>
          <w:color w:val="auto"/>
        </w:rPr>
      </w:pPr>
      <w:r>
        <w:rPr>
          <w:rFonts w:ascii="Arial" w:cs="Arial" w:eastAsia="Arial" w:hAnsi="Arial"/>
          <w:sz w:val="19"/>
          <w:szCs w:val="19"/>
          <w:color w:val="auto"/>
        </w:rPr>
        <w:t>IN WITNESS WHEREOF, the parties hereto have executed this Consulting Agreement as of the date and year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FULCRUM THERAPEUTICS, INC.</w:t>
      </w:r>
    </w:p>
    <w:p>
      <w:pPr>
        <w:spacing w:after="0" w:line="200" w:lineRule="exact"/>
        <w:rPr>
          <w:sz w:val="20"/>
          <w:szCs w:val="20"/>
          <w:color w:val="auto"/>
        </w:rPr>
      </w:pPr>
    </w:p>
    <w:p>
      <w:pPr>
        <w:spacing w:after="0" w:line="28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2"/>
          <w:szCs w:val="22"/>
          <w:color w:val="auto"/>
        </w:rPr>
        <w:t>By:</w:t>
        <w:tab/>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3197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6200"/>
        <w:spacing w:after="0"/>
        <w:tabs>
          <w:tab w:leader="none" w:pos="69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Curt Oltmans</w:t>
      </w:r>
    </w:p>
    <w:p>
      <w:pPr>
        <w:ind w:left="6200"/>
        <w:spacing w:after="0"/>
        <w:tabs>
          <w:tab w:leader="none" w:pos="6960" w:val="left"/>
        </w:tabs>
        <w:rPr>
          <w:sz w:val="20"/>
          <w:szCs w:val="20"/>
          <w:color w:val="auto"/>
        </w:rPr>
      </w:pPr>
      <w:r>
        <w:rPr>
          <w:rFonts w:ascii="Arial" w:cs="Arial" w:eastAsia="Arial" w:hAnsi="Arial"/>
          <w:sz w:val="22"/>
          <w:szCs w:val="22"/>
          <w:color w:val="auto"/>
        </w:rPr>
        <w:t>Title:</w:t>
        <w:tab/>
        <w:t>General Counsel</w:t>
      </w:r>
    </w:p>
    <w:p>
      <w:pPr>
        <w:spacing w:after="0" w:line="200" w:lineRule="exact"/>
        <w:rPr>
          <w:sz w:val="20"/>
          <w:szCs w:val="20"/>
          <w:color w:val="auto"/>
        </w:r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CONSULTANT</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6985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Name:Robert J. Gould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TO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110" w:name="page111"/>
    <w:bookmarkEnd w:id="110"/>
    <w:p>
      <w:pPr>
        <w:jc w:val="center"/>
        <w:ind w:right="-259"/>
        <w:spacing w:after="0"/>
        <w:rPr>
          <w:sz w:val="20"/>
          <w:szCs w:val="20"/>
          <w:color w:val="auto"/>
        </w:rPr>
      </w:pPr>
      <w:r>
        <w:rPr>
          <w:rFonts w:ascii="Arial" w:cs="Arial" w:eastAsia="Arial" w:hAnsi="Arial"/>
          <w:sz w:val="22"/>
          <w:szCs w:val="22"/>
          <w:b w:val="1"/>
          <w:bCs w:val="1"/>
          <w:color w:val="auto"/>
        </w:rPr>
        <w:t>SCHEDULE 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SERVICES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Certain consulting and transition services as requested by the Company from time to time, including working with the Company’s Chief Executive Officer and Executive Chairman. Consultant agrees to serve as an ad hoc member of the Scientific Advisory Board and provide input and consulting services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Consultant shall devote up to 8 hours per week to providing Services.</w:t>
      </w:r>
    </w:p>
    <w:p>
      <w:pPr>
        <w:sectPr>
          <w:pgSz w:w="11900" w:h="16838" w:orient="portrait"/>
          <w:cols w:equalWidth="0" w:num="1">
            <w:col w:w="11000"/>
          </w:cols>
          <w:pgMar w:left="320" w:top="558" w:right="57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ind w:right="500" w:firstLine="845"/>
        <w:spacing w:after="0" w:line="274" w:lineRule="auto"/>
        <w:rPr>
          <w:sz w:val="20"/>
          <w:szCs w:val="20"/>
          <w:color w:val="auto"/>
        </w:rPr>
      </w:pPr>
      <w:r>
        <w:rPr>
          <w:rFonts w:ascii="Arial" w:cs="Arial" w:eastAsia="Arial" w:hAnsi="Arial"/>
          <w:sz w:val="21"/>
          <w:szCs w:val="21"/>
          <w:color w:val="auto"/>
        </w:rPr>
        <w:t>THIS EMPLOYMENT AGREEMENT (the “Agreement”), is made as of March 31, 2021 by and between Fulcrum Therapeutics, Inc. (the “Company”), and Bryan Stuart (the “Executive”) (together, the “Parties”).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Company desires to continue to employ the Executive as its President and Chief Executive Officer; and</w:t>
      </w:r>
    </w:p>
    <w:p>
      <w:pPr>
        <w:spacing w:after="0" w:line="268" w:lineRule="exact"/>
        <w:rPr>
          <w:sz w:val="20"/>
          <w:szCs w:val="20"/>
          <w:color w:val="auto"/>
        </w:rPr>
      </w:pPr>
    </w:p>
    <w:p>
      <w:pPr>
        <w:ind w:right="1000" w:firstLine="845"/>
        <w:spacing w:after="0" w:line="250" w:lineRule="auto"/>
        <w:rPr>
          <w:sz w:val="20"/>
          <w:szCs w:val="20"/>
          <w:color w:val="auto"/>
        </w:rPr>
      </w:pPr>
      <w:r>
        <w:rPr>
          <w:rFonts w:ascii="Arial" w:cs="Arial" w:eastAsia="Arial" w:hAnsi="Arial"/>
          <w:sz w:val="22"/>
          <w:szCs w:val="22"/>
          <w:color w:val="auto"/>
        </w:rPr>
        <w:t>WHEREAS, the Company and the Executive are party to a letter agreement dated July 3, 2019 (the “Existing Agreement”) and desire to amend and restate the Existing Agreement in its entirety; and</w:t>
      </w:r>
    </w:p>
    <w:p>
      <w:pPr>
        <w:spacing w:after="0" w:line="202" w:lineRule="exact"/>
        <w:rPr>
          <w:sz w:val="20"/>
          <w:szCs w:val="20"/>
          <w:color w:val="auto"/>
        </w:rPr>
      </w:pPr>
    </w:p>
    <w:p>
      <w:pPr>
        <w:ind w:right="20" w:firstLine="845"/>
        <w:spacing w:after="0" w:line="250" w:lineRule="auto"/>
        <w:rPr>
          <w:sz w:val="20"/>
          <w:szCs w:val="20"/>
          <w:color w:val="auto"/>
        </w:rPr>
      </w:pPr>
      <w:r>
        <w:rPr>
          <w:rFonts w:ascii="Arial" w:cs="Arial" w:eastAsia="Arial" w:hAnsi="Arial"/>
          <w:sz w:val="22"/>
          <w:szCs w:val="22"/>
          <w:color w:val="auto"/>
        </w:rPr>
        <w:t>WHEREAS, the Executive has agreed to accept such continued employment on the terms and conditions set forth in this Agreement;</w:t>
      </w:r>
    </w:p>
    <w:p>
      <w:pPr>
        <w:spacing w:after="0" w:line="202" w:lineRule="exact"/>
        <w:rPr>
          <w:sz w:val="20"/>
          <w:szCs w:val="20"/>
          <w:color w:val="auto"/>
        </w:rPr>
      </w:pPr>
    </w:p>
    <w:p>
      <w:pPr>
        <w:ind w:right="300" w:firstLine="845"/>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202" w:lineRule="exact"/>
        <w:rPr>
          <w:sz w:val="20"/>
          <w:szCs w:val="20"/>
          <w:color w:val="auto"/>
        </w:rPr>
      </w:pPr>
    </w:p>
    <w:p>
      <w:pPr>
        <w:ind w:right="40" w:firstLine="8"/>
        <w:spacing w:after="0" w:line="238" w:lineRule="auto"/>
        <w:tabs>
          <w:tab w:leader="none" w:pos="486"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date on which the registration statement relating to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initial public offering (the “Offering”) is effective (the “Effective Date”). Following the Effective Date, the Executive shall continue to be an employee of the Company until such employment relationship is terminated in accordance with Section 7 hereof (the “Term of Employment”).</w:t>
      </w:r>
    </w:p>
    <w:p>
      <w:pPr>
        <w:spacing w:after="0" w:line="211" w:lineRule="exact"/>
        <w:rPr>
          <w:rFonts w:ascii="Arial" w:cs="Arial" w:eastAsia="Arial" w:hAnsi="Arial"/>
          <w:sz w:val="22"/>
          <w:szCs w:val="22"/>
          <w:color w:val="auto"/>
        </w:rPr>
      </w:pPr>
    </w:p>
    <w:p>
      <w:pPr>
        <w:ind w:right="140" w:firstLine="8"/>
        <w:spacing w:after="0" w:line="238" w:lineRule="auto"/>
        <w:tabs>
          <w:tab w:leader="none" w:pos="486"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Position</w:t>
      </w:r>
      <w:r>
        <w:rPr>
          <w:rFonts w:ascii="Arial" w:cs="Arial" w:eastAsia="Arial" w:hAnsi="Arial"/>
          <w:sz w:val="22"/>
          <w:szCs w:val="22"/>
          <w:color w:val="auto"/>
        </w:rPr>
        <w:t>. During the Term of Employment, the Executive shall serve as the President and Chief Executive Officer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shall serve on the Company’s board of directors (the “Board”), subject to his reelection thereto from time to time by the Company’s stockholders, working out of the Company’s office in Cambridge, Massachusetts, and travelling as reasonably required by the Executive’s job duties.</w:t>
      </w:r>
    </w:p>
    <w:p>
      <w:pPr>
        <w:spacing w:after="0" w:line="211" w:lineRule="exact"/>
        <w:rPr>
          <w:rFonts w:ascii="Arial" w:cs="Arial" w:eastAsia="Arial" w:hAnsi="Arial"/>
          <w:sz w:val="22"/>
          <w:szCs w:val="22"/>
          <w:color w:val="auto"/>
        </w:rPr>
      </w:pPr>
    </w:p>
    <w:p>
      <w:pPr>
        <w:ind w:firstLine="8"/>
        <w:spacing w:after="0" w:line="244" w:lineRule="auto"/>
        <w:tabs>
          <w:tab w:leader="none" w:pos="486" w:val="left"/>
        </w:tabs>
        <w:numPr>
          <w:ilvl w:val="0"/>
          <w:numId w:val="96"/>
        </w:numPr>
        <w:rPr>
          <w:rFonts w:ascii="Arial" w:cs="Arial" w:eastAsia="Arial" w:hAnsi="Arial"/>
          <w:sz w:val="21"/>
          <w:szCs w:val="21"/>
          <w:color w:val="auto"/>
        </w:rPr>
      </w:pPr>
      <w:r>
        <w:rPr>
          <w:rFonts w:ascii="Arial" w:cs="Arial" w:eastAsia="Arial" w:hAnsi="Arial"/>
          <w:sz w:val="21"/>
          <w:szCs w:val="21"/>
          <w:i w:val="1"/>
          <w:iCs w:val="1"/>
          <w:color w:val="auto"/>
        </w:rPr>
        <w:t>Scope of Employment</w:t>
      </w:r>
      <w:r>
        <w:rPr>
          <w:rFonts w:ascii="Arial" w:cs="Arial" w:eastAsia="Arial" w:hAnsi="Arial"/>
          <w:sz w:val="21"/>
          <w:szCs w:val="21"/>
          <w:color w:val="auto"/>
        </w:rPr>
        <w:t>. During the Term of Employment, the Executive shall be responsible for the performance of those</w:t>
      </w:r>
      <w:r>
        <w:rPr>
          <w:rFonts w:ascii="Arial" w:cs="Arial" w:eastAsia="Arial" w:hAnsi="Arial"/>
          <w:sz w:val="21"/>
          <w:szCs w:val="21"/>
          <w:i w:val="1"/>
          <w:iCs w:val="1"/>
          <w:color w:val="auto"/>
        </w:rPr>
        <w:t xml:space="preserve"> </w:t>
      </w:r>
      <w:r>
        <w:rPr>
          <w:rFonts w:ascii="Arial" w:cs="Arial" w:eastAsia="Arial" w:hAnsi="Arial"/>
          <w:sz w:val="21"/>
          <w:szCs w:val="21"/>
          <w:color w:val="auto"/>
        </w:rPr>
        <w:t>duties consistent with the Executive’s position as President and Chief Executive Officer. The Executive shall report to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2" w:name="page113"/>
    <w:bookmarkEnd w:id="112"/>
    <w:p>
      <w:pPr>
        <w:ind w:left="-8" w:right="260" w:firstLine="8"/>
        <w:spacing w:after="0" w:line="250" w:lineRule="auto"/>
        <w:tabs>
          <w:tab w:leader="none" w:pos="478"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Term of Employment, the Company will provide to the Executive the following:</w:t>
      </w:r>
    </w:p>
    <w:p>
      <w:pPr>
        <w:spacing w:after="0" w:line="201" w:lineRule="exact"/>
        <w:rPr>
          <w:rFonts w:ascii="Arial" w:cs="Arial" w:eastAsia="Arial" w:hAnsi="Arial"/>
          <w:sz w:val="22"/>
          <w:szCs w:val="22"/>
          <w:color w:val="auto"/>
        </w:rPr>
      </w:pPr>
    </w:p>
    <w:p>
      <w:pPr>
        <w:jc w:val="both"/>
        <w:ind w:left="-8" w:right="140" w:firstLine="853"/>
        <w:spacing w:after="0" w:line="252" w:lineRule="auto"/>
        <w:tabs>
          <w:tab w:leader="none" w:pos="1395" w:val="left"/>
        </w:tabs>
        <w:numPr>
          <w:ilvl w:val="1"/>
          <w:numId w:val="97"/>
        </w:numPr>
        <w:rPr>
          <w:rFonts w:ascii="Arial" w:cs="Arial" w:eastAsia="Arial" w:hAnsi="Arial"/>
          <w:sz w:val="21"/>
          <w:szCs w:val="21"/>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Effective as of the Effective Date, the Executive shall receive a base salary at the annualized rate of</w:t>
      </w:r>
      <w:r>
        <w:rPr>
          <w:rFonts w:ascii="Arial" w:cs="Arial" w:eastAsia="Arial" w:hAnsi="Arial"/>
          <w:sz w:val="21"/>
          <w:szCs w:val="21"/>
          <w:i w:val="1"/>
          <w:iCs w:val="1"/>
          <w:color w:val="auto"/>
        </w:rPr>
        <w:t xml:space="preserve"> </w:t>
      </w:r>
      <w:r>
        <w:rPr>
          <w:rFonts w:ascii="Arial" w:cs="Arial" w:eastAsia="Arial" w:hAnsi="Arial"/>
          <w:sz w:val="21"/>
          <w:szCs w:val="21"/>
          <w:color w:val="auto"/>
        </w:rPr>
        <w:t>$535,000 (the “Base Salary”). 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200" w:lineRule="exact"/>
        <w:rPr>
          <w:rFonts w:ascii="Arial" w:cs="Arial" w:eastAsia="Arial" w:hAnsi="Arial"/>
          <w:sz w:val="21"/>
          <w:szCs w:val="21"/>
          <w:color w:val="auto"/>
        </w:rPr>
      </w:pPr>
    </w:p>
    <w:p>
      <w:pPr>
        <w:ind w:left="-8" w:firstLine="853"/>
        <w:spacing w:after="0" w:line="272" w:lineRule="auto"/>
        <w:tabs>
          <w:tab w:leader="none" w:pos="1407" w:val="left"/>
        </w:tabs>
        <w:numPr>
          <w:ilvl w:val="1"/>
          <w:numId w:val="97"/>
        </w:numPr>
        <w:rPr>
          <w:rFonts w:ascii="Arial" w:cs="Arial" w:eastAsia="Arial" w:hAnsi="Arial"/>
          <w:sz w:val="19"/>
          <w:szCs w:val="19"/>
          <w:color w:val="auto"/>
        </w:rPr>
      </w:pP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Effective Date, the Executive will be eligible to earn an annual</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bonus of up to 50%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82" w:lineRule="exact"/>
        <w:rPr>
          <w:rFonts w:ascii="Arial" w:cs="Arial" w:eastAsia="Arial" w:hAnsi="Arial"/>
          <w:sz w:val="19"/>
          <w:szCs w:val="19"/>
          <w:color w:val="auto"/>
        </w:rPr>
      </w:pPr>
    </w:p>
    <w:p>
      <w:pPr>
        <w:ind w:left="-8" w:right="120" w:firstLine="853"/>
        <w:spacing w:after="0" w:line="250" w:lineRule="auto"/>
        <w:tabs>
          <w:tab w:leader="none" w:pos="1395"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as the Board shall, in its sole discretion, determine.</w:t>
      </w:r>
    </w:p>
    <w:p>
      <w:pPr>
        <w:spacing w:after="0" w:line="201" w:lineRule="exact"/>
        <w:rPr>
          <w:rFonts w:ascii="Arial" w:cs="Arial" w:eastAsia="Arial" w:hAnsi="Arial"/>
          <w:sz w:val="22"/>
          <w:szCs w:val="22"/>
          <w:color w:val="auto"/>
        </w:rPr>
      </w:pPr>
    </w:p>
    <w:p>
      <w:pPr>
        <w:ind w:left="-8" w:right="380" w:firstLine="853"/>
        <w:spacing w:after="0" w:line="250" w:lineRule="auto"/>
        <w:tabs>
          <w:tab w:leader="none" w:pos="1407"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201" w:lineRule="exact"/>
        <w:rPr>
          <w:rFonts w:ascii="Arial" w:cs="Arial" w:eastAsia="Arial" w:hAnsi="Arial"/>
          <w:sz w:val="22"/>
          <w:szCs w:val="22"/>
          <w:color w:val="auto"/>
        </w:rPr>
      </w:pPr>
    </w:p>
    <w:p>
      <w:pPr>
        <w:ind w:left="-8" w:firstLine="853"/>
        <w:spacing w:after="0" w:line="236" w:lineRule="auto"/>
        <w:tabs>
          <w:tab w:leader="none" w:pos="1395" w:val="left"/>
        </w:tabs>
        <w:numPr>
          <w:ilvl w:val="1"/>
          <w:numId w:val="97"/>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the Executive shall have the right, on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214" w:lineRule="exact"/>
        <w:rPr>
          <w:rFonts w:ascii="Arial" w:cs="Arial" w:eastAsia="Arial" w:hAnsi="Arial"/>
          <w:sz w:val="22"/>
          <w:szCs w:val="22"/>
          <w:color w:val="auto"/>
        </w:rPr>
      </w:pPr>
    </w:p>
    <w:p>
      <w:pPr>
        <w:ind w:left="1372" w:hanging="527"/>
        <w:spacing w:after="0"/>
        <w:tabs>
          <w:tab w:leader="none" w:pos="1372" w:val="left"/>
        </w:tabs>
        <w:numPr>
          <w:ilvl w:val="1"/>
          <w:numId w:val="97"/>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00" w:lineRule="exact"/>
        <w:rPr>
          <w:sz w:val="20"/>
          <w:szCs w:val="20"/>
          <w:color w:val="auto"/>
        </w:rPr>
      </w:pPr>
    </w:p>
    <w:p>
      <w:pPr>
        <w:spacing w:after="0" w:line="284"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537" w:right="379" w:bottom="1440" w:gutter="0" w:footer="0" w:header="0"/>
        </w:sectPr>
      </w:pPr>
    </w:p>
    <w:bookmarkStart w:id="113" w:name="page114"/>
    <w:bookmarkEnd w:id="113"/>
    <w:p>
      <w:pPr>
        <w:ind w:left="-8" w:right="860" w:firstLine="8"/>
        <w:spacing w:after="0" w:line="250" w:lineRule="auto"/>
        <w:tabs>
          <w:tab w:leader="none" w:pos="478"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 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1" w:lineRule="exact"/>
        <w:rPr>
          <w:rFonts w:ascii="Arial" w:cs="Arial" w:eastAsia="Arial" w:hAnsi="Arial"/>
          <w:sz w:val="22"/>
          <w:szCs w:val="22"/>
          <w:color w:val="auto"/>
        </w:rPr>
      </w:pPr>
    </w:p>
    <w:p>
      <w:pPr>
        <w:ind w:left="-8" w:right="20" w:firstLine="8"/>
        <w:spacing w:after="0" w:line="328" w:lineRule="auto"/>
        <w:tabs>
          <w:tab w:leader="none" w:pos="478"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Restrictive Covenants Agreement</w:t>
      </w:r>
      <w:r>
        <w:rPr>
          <w:rFonts w:ascii="Arial" w:cs="Arial" w:eastAsia="Arial" w:hAnsi="Arial"/>
          <w:sz w:val="19"/>
          <w:szCs w:val="19"/>
          <w:color w:val="auto"/>
        </w:rPr>
        <w:t>. The Executive hereby acknowledges that in connection with entering into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Executive shall be required to enter into a new Employee Confidentiality and Assignment Agreement with the Company.</w:t>
      </w:r>
    </w:p>
    <w:p>
      <w:pPr>
        <w:spacing w:after="0" w:line="131" w:lineRule="exact"/>
        <w:rPr>
          <w:rFonts w:ascii="Arial" w:cs="Arial" w:eastAsia="Arial" w:hAnsi="Arial"/>
          <w:sz w:val="19"/>
          <w:szCs w:val="19"/>
          <w:color w:val="auto"/>
        </w:rPr>
      </w:pPr>
    </w:p>
    <w:p>
      <w:pPr>
        <w:ind w:left="-8" w:right="100" w:firstLine="8"/>
        <w:spacing w:after="0" w:line="250" w:lineRule="auto"/>
        <w:tabs>
          <w:tab w:leader="none" w:pos="478"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 any</w:t>
      </w:r>
      <w:r>
        <w:rPr>
          <w:rFonts w:ascii="Arial" w:cs="Arial" w:eastAsia="Arial" w:hAnsi="Arial"/>
          <w:sz w:val="22"/>
          <w:szCs w:val="22"/>
          <w:i w:val="1"/>
          <w:iCs w:val="1"/>
          <w:color w:val="auto"/>
        </w:rPr>
        <w:t xml:space="preserve"> </w:t>
      </w:r>
      <w:r>
        <w:rPr>
          <w:rFonts w:ascii="Arial" w:cs="Arial" w:eastAsia="Arial" w:hAnsi="Arial"/>
          <w:sz w:val="22"/>
          <w:szCs w:val="22"/>
          <w:color w:val="auto"/>
        </w:rPr>
        <w:t>of the following:</w:t>
      </w:r>
    </w:p>
    <w:p>
      <w:pPr>
        <w:spacing w:after="0" w:line="201" w:lineRule="exact"/>
        <w:rPr>
          <w:rFonts w:ascii="Arial" w:cs="Arial" w:eastAsia="Arial" w:hAnsi="Arial"/>
          <w:sz w:val="22"/>
          <w:szCs w:val="22"/>
          <w:color w:val="auto"/>
        </w:rPr>
      </w:pPr>
    </w:p>
    <w:p>
      <w:pPr>
        <w:ind w:left="-8" w:right="20" w:firstLine="853"/>
        <w:spacing w:after="0" w:line="287" w:lineRule="auto"/>
        <w:tabs>
          <w:tab w:leader="none" w:pos="1395" w:val="left"/>
        </w:tabs>
        <w:numPr>
          <w:ilvl w:val="2"/>
          <w:numId w:val="98"/>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69" w:lineRule="exact"/>
        <w:rPr>
          <w:rFonts w:ascii="Arial" w:cs="Arial" w:eastAsia="Arial" w:hAnsi="Arial"/>
          <w:sz w:val="19"/>
          <w:szCs w:val="19"/>
          <w:color w:val="auto"/>
        </w:rPr>
      </w:pPr>
    </w:p>
    <w:p>
      <w:pPr>
        <w:ind w:left="-8" w:right="240" w:firstLine="853"/>
        <w:spacing w:after="0" w:line="250" w:lineRule="auto"/>
        <w:tabs>
          <w:tab w:leader="none" w:pos="1407" w:val="left"/>
        </w:tabs>
        <w:numPr>
          <w:ilvl w:val="2"/>
          <w:numId w:val="98"/>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201" w:lineRule="exact"/>
        <w:rPr>
          <w:rFonts w:ascii="Arial" w:cs="Arial" w:eastAsia="Arial" w:hAnsi="Arial"/>
          <w:sz w:val="22"/>
          <w:szCs w:val="22"/>
          <w:color w:val="auto"/>
        </w:rPr>
      </w:pPr>
    </w:p>
    <w:p>
      <w:pPr>
        <w:ind w:left="1672" w:right="140" w:hanging="835"/>
        <w:spacing w:after="0" w:line="297" w:lineRule="auto"/>
        <w:tabs>
          <w:tab w:leader="none" w:pos="1672" w:val="left"/>
        </w:tabs>
        <w:numPr>
          <w:ilvl w:val="2"/>
          <w:numId w:val="99"/>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60" w:lineRule="exact"/>
        <w:rPr>
          <w:rFonts w:ascii="Arial" w:cs="Arial" w:eastAsia="Arial" w:hAnsi="Arial"/>
          <w:sz w:val="19"/>
          <w:szCs w:val="19"/>
          <w:color w:val="auto"/>
        </w:rPr>
      </w:pPr>
    </w:p>
    <w:p>
      <w:pPr>
        <w:ind w:left="1672" w:right="220" w:hanging="835"/>
        <w:spacing w:after="0" w:line="250" w:lineRule="auto"/>
        <w:tabs>
          <w:tab w:leader="none" w:pos="1672" w:val="left"/>
        </w:tabs>
        <w:numPr>
          <w:ilvl w:val="2"/>
          <w:numId w:val="100"/>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201" w:lineRule="exact"/>
        <w:rPr>
          <w:rFonts w:ascii="Arial" w:cs="Arial" w:eastAsia="Arial" w:hAnsi="Arial"/>
          <w:sz w:val="22"/>
          <w:szCs w:val="22"/>
          <w:color w:val="auto"/>
        </w:rPr>
      </w:pPr>
    </w:p>
    <w:p>
      <w:pPr>
        <w:ind w:left="1672" w:hanging="835"/>
        <w:spacing w:after="0" w:line="236" w:lineRule="auto"/>
        <w:tabs>
          <w:tab w:leader="none" w:pos="1672" w:val="left"/>
        </w:tabs>
        <w:numPr>
          <w:ilvl w:val="2"/>
          <w:numId w:val="101"/>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214" w:lineRule="exact"/>
        <w:rPr>
          <w:rFonts w:ascii="Arial" w:cs="Arial" w:eastAsia="Arial" w:hAnsi="Arial"/>
          <w:sz w:val="22"/>
          <w:szCs w:val="22"/>
          <w:color w:val="auto"/>
        </w:rPr>
      </w:pPr>
    </w:p>
    <w:p>
      <w:pPr>
        <w:ind w:left="1672" w:right="200" w:hanging="835"/>
        <w:spacing w:after="0" w:line="250" w:lineRule="auto"/>
        <w:tabs>
          <w:tab w:leader="none" w:pos="1672"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201" w:lineRule="exact"/>
        <w:rPr>
          <w:rFonts w:ascii="Arial" w:cs="Arial" w:eastAsia="Arial" w:hAnsi="Arial"/>
          <w:sz w:val="22"/>
          <w:szCs w:val="22"/>
          <w:color w:val="auto"/>
        </w:rPr>
      </w:pPr>
    </w:p>
    <w:p>
      <w:pPr>
        <w:ind w:left="-8" w:right="380" w:firstLine="853"/>
        <w:spacing w:after="0" w:line="297" w:lineRule="auto"/>
        <w:tabs>
          <w:tab w:leader="none" w:pos="1395" w:val="left"/>
        </w:tabs>
        <w:numPr>
          <w:ilvl w:val="2"/>
          <w:numId w:val="102"/>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114" w:name="page115"/>
    <w:bookmarkEnd w:id="114"/>
    <w:p>
      <w:pPr>
        <w:ind w:left="1680" w:right="160" w:hanging="835"/>
        <w:spacing w:after="0"/>
        <w:tabs>
          <w:tab w:leader="none" w:pos="16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213" w:lineRule="exact"/>
        <w:rPr>
          <w:rFonts w:ascii="Arial" w:cs="Arial" w:eastAsia="Arial" w:hAnsi="Arial"/>
          <w:sz w:val="22"/>
          <w:szCs w:val="22"/>
          <w:color w:val="auto"/>
        </w:rPr>
      </w:pPr>
    </w:p>
    <w:p>
      <w:pPr>
        <w:ind w:left="1680" w:hanging="835"/>
        <w:spacing w:after="0"/>
        <w:tabs>
          <w:tab w:leader="none" w:pos="16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33" w:lineRule="exact"/>
        <w:rPr>
          <w:rFonts w:ascii="Arial" w:cs="Arial" w:eastAsia="Arial" w:hAnsi="Arial"/>
          <w:sz w:val="22"/>
          <w:szCs w:val="22"/>
          <w:color w:val="auto"/>
        </w:rPr>
      </w:pPr>
    </w:p>
    <w:p>
      <w:pPr>
        <w:ind w:left="1680" w:right="160" w:hanging="835"/>
        <w:spacing w:after="0" w:line="250" w:lineRule="auto"/>
        <w:tabs>
          <w:tab w:leader="none" w:pos="16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201" w:lineRule="exact"/>
        <w:rPr>
          <w:rFonts w:ascii="Arial" w:cs="Arial" w:eastAsia="Arial" w:hAnsi="Arial"/>
          <w:sz w:val="22"/>
          <w:szCs w:val="22"/>
          <w:color w:val="auto"/>
        </w:rPr>
      </w:pPr>
    </w:p>
    <w:p>
      <w:pPr>
        <w:ind w:left="1680" w:hanging="835"/>
        <w:spacing w:after="0" w:line="250" w:lineRule="auto"/>
        <w:tabs>
          <w:tab w:leader="none" w:pos="16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material breach of this Agreement or any other agreement between the Company and the Executive by the Company not otherwise covered by this paragraph;</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12" w:lineRule="exact"/>
        <w:rPr>
          <w:sz w:val="20"/>
          <w:szCs w:val="20"/>
          <w:color w:val="auto"/>
        </w:rPr>
      </w:pPr>
    </w:p>
    <w:p>
      <w:pPr>
        <w:ind w:left="420" w:hanging="412"/>
        <w:spacing w:after="0"/>
        <w:tabs>
          <w:tab w:leader="none" w:pos="420"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53"/>
        <w:spacing w:after="0" w:line="272" w:lineRule="auto"/>
        <w:tabs>
          <w:tab w:leader="none" w:pos="1403"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87" w:lineRule="exact"/>
        <w:rPr>
          <w:rFonts w:ascii="Arial" w:cs="Arial" w:eastAsia="Arial" w:hAnsi="Arial"/>
          <w:sz w:val="19"/>
          <w:szCs w:val="19"/>
          <w:color w:val="auto"/>
        </w:rPr>
      </w:pPr>
    </w:p>
    <w:p>
      <w:pPr>
        <w:ind w:right="100" w:firstLine="853"/>
        <w:spacing w:after="0" w:line="277" w:lineRule="auto"/>
        <w:tabs>
          <w:tab w:leader="none" w:pos="1415"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19"/>
          <w:szCs w:val="19"/>
          <w:color w:val="auto"/>
        </w:rPr>
        <w:t>If the Executive’s employment is terminated by the Company without Cause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for a period of twelve (12) months and (ii) provided the Executive iseligible for and timely elects 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115" w:name="page116"/>
    <w:bookmarkEnd w:id="115"/>
    <w:p>
      <w:pPr>
        <w:spacing w:after="0" w:line="236" w:lineRule="auto"/>
        <w:rPr>
          <w:sz w:val="20"/>
          <w:szCs w:val="20"/>
          <w:color w:val="auto"/>
        </w:rPr>
      </w:pPr>
      <w:r>
        <w:rPr>
          <w:rFonts w:ascii="Arial" w:cs="Arial" w:eastAsia="Arial" w:hAnsi="Arial"/>
          <w:sz w:val="22"/>
          <w:szCs w:val="22"/>
          <w:color w:val="auto"/>
        </w:rPr>
        <w:t>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14" w:lineRule="exact"/>
        <w:rPr>
          <w:sz w:val="20"/>
          <w:szCs w:val="20"/>
          <w:color w:val="auto"/>
        </w:rPr>
      </w:pPr>
    </w:p>
    <w:p>
      <w:pPr>
        <w:ind w:right="20" w:firstLine="853"/>
        <w:spacing w:after="0" w:line="271" w:lineRule="auto"/>
        <w:tabs>
          <w:tab w:leader="none" w:pos="1403" w:val="left"/>
        </w:tabs>
        <w:numPr>
          <w:ilvl w:val="0"/>
          <w:numId w:val="105"/>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 then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eighteen (18)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eighteen (18)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 forfeitable as of the termination date (collectively, the “Change in Control Severance Benefits”).</w:t>
      </w:r>
    </w:p>
    <w:p>
      <w:pPr>
        <w:spacing w:after="0" w:line="187" w:lineRule="exact"/>
        <w:rPr>
          <w:rFonts w:ascii="Arial" w:cs="Arial" w:eastAsia="Arial" w:hAnsi="Arial"/>
          <w:sz w:val="19"/>
          <w:szCs w:val="19"/>
          <w:color w:val="auto"/>
        </w:rPr>
      </w:pPr>
    </w:p>
    <w:p>
      <w:pPr>
        <w:ind w:right="140" w:firstLine="853"/>
        <w:spacing w:after="0" w:line="272" w:lineRule="auto"/>
        <w:tabs>
          <w:tab w:leader="none" w:pos="1415" w:val="left"/>
        </w:tabs>
        <w:numPr>
          <w:ilvl w:val="0"/>
          <w:numId w:val="105"/>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 Severance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187" w:lineRule="exact"/>
        <w:rPr>
          <w:rFonts w:ascii="Arial" w:cs="Arial" w:eastAsia="Arial" w:hAnsi="Arial"/>
          <w:sz w:val="19"/>
          <w:szCs w:val="19"/>
          <w:color w:val="auto"/>
        </w:rPr>
      </w:pPr>
    </w:p>
    <w:p>
      <w:pPr>
        <w:ind w:right="140" w:firstLine="853"/>
        <w:spacing w:after="0" w:line="250" w:lineRule="auto"/>
        <w:tabs>
          <w:tab w:leader="none" w:pos="1403"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Change in Control Definition</w:t>
      </w:r>
      <w:r>
        <w:rPr>
          <w:rFonts w:ascii="Arial" w:cs="Arial" w:eastAsia="Arial" w:hAnsi="Arial"/>
          <w:sz w:val="22"/>
          <w:szCs w:val="22"/>
          <w:color w:val="auto"/>
        </w:rPr>
        <w:t>. For purposes of this Agreement, “Change in Control” shall mean the occurrence of</w:t>
      </w:r>
      <w:r>
        <w:rPr>
          <w:rFonts w:ascii="Arial" w:cs="Arial" w:eastAsia="Arial" w:hAnsi="Arial"/>
          <w:sz w:val="22"/>
          <w:szCs w:val="22"/>
          <w:i w:val="1"/>
          <w:iCs w:val="1"/>
          <w:color w:val="auto"/>
        </w:rPr>
        <w:t xml:space="preserve"> </w:t>
      </w:r>
      <w:r>
        <w:rPr>
          <w:rFonts w:ascii="Arial" w:cs="Arial" w:eastAsia="Arial" w:hAnsi="Arial"/>
          <w:sz w:val="22"/>
          <w:szCs w:val="22"/>
          <w:color w:val="auto"/>
        </w:rPr>
        <w:t>any of the following events, provided that such event or occurrence</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16" w:name="page117"/>
    <w:bookmarkEnd w:id="116"/>
    <w:p>
      <w:pPr>
        <w:spacing w:after="0" w:line="268" w:lineRule="auto"/>
        <w:rPr>
          <w:sz w:val="20"/>
          <w:szCs w:val="20"/>
          <w:color w:val="auto"/>
        </w:rPr>
      </w:pPr>
      <w:r>
        <w:rPr>
          <w:rFonts w:ascii="Arial" w:cs="Arial" w:eastAsia="Arial" w:hAnsi="Arial"/>
          <w:sz w:val="19"/>
          <w:szCs w:val="19"/>
          <w:color w:val="auto"/>
        </w:rPr>
        <w:t>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10" w:lineRule="exact"/>
        <w:rPr>
          <w:sz w:val="20"/>
          <w:szCs w:val="20"/>
          <w:color w:val="auto"/>
        </w:rPr>
      </w:pPr>
    </w:p>
    <w:p>
      <w:pPr>
        <w:ind w:right="200" w:firstLine="8"/>
        <w:spacing w:after="0" w:line="238" w:lineRule="auto"/>
        <w:tabs>
          <w:tab w:leader="none" w:pos="486"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17" w:name="page118"/>
    <w:bookmarkEnd w:id="117"/>
    <w:p>
      <w:pPr>
        <w:ind w:right="40" w:firstLine="8"/>
        <w:spacing w:after="0" w:line="238" w:lineRule="auto"/>
        <w:tabs>
          <w:tab w:leader="none" w:pos="594"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Executive: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To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202" w:lineRule="exact"/>
        <w:rPr>
          <w:sz w:val="20"/>
          <w:szCs w:val="20"/>
          <w:color w:val="auto"/>
        </w:rPr>
      </w:pPr>
    </w:p>
    <w:p>
      <w:pPr>
        <w:ind w:firstLine="8"/>
        <w:spacing w:after="0" w:line="234" w:lineRule="auto"/>
        <w:tabs>
          <w:tab w:leader="none" w:pos="586"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17" w:lineRule="exact"/>
        <w:rPr>
          <w:rFonts w:ascii="Arial" w:cs="Arial" w:eastAsia="Arial" w:hAnsi="Arial"/>
          <w:sz w:val="22"/>
          <w:szCs w:val="22"/>
          <w:color w:val="auto"/>
        </w:rPr>
      </w:pPr>
    </w:p>
    <w:p>
      <w:pPr>
        <w:ind w:right="60" w:firstLine="8"/>
        <w:spacing w:after="0" w:line="238" w:lineRule="auto"/>
        <w:tabs>
          <w:tab w:leader="none" w:pos="594"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211" w:lineRule="exact"/>
        <w:rPr>
          <w:rFonts w:ascii="Arial" w:cs="Arial" w:eastAsia="Arial" w:hAnsi="Arial"/>
          <w:sz w:val="22"/>
          <w:szCs w:val="22"/>
          <w:color w:val="auto"/>
        </w:rPr>
      </w:pPr>
    </w:p>
    <w:p>
      <w:pPr>
        <w:ind w:right="20" w:firstLine="8"/>
        <w:spacing w:after="0" w:line="257" w:lineRule="auto"/>
        <w:tabs>
          <w:tab w:leader="none" w:pos="594" w:val="left"/>
        </w:tabs>
        <w:numPr>
          <w:ilvl w:val="0"/>
          <w:numId w:val="108"/>
        </w:numPr>
        <w:rPr>
          <w:rFonts w:ascii="Arial" w:cs="Arial" w:eastAsia="Arial" w:hAnsi="Arial"/>
          <w:sz w:val="21"/>
          <w:szCs w:val="21"/>
          <w:color w:val="auto"/>
        </w:rPr>
      </w:pPr>
      <w:r>
        <w:rPr>
          <w:rFonts w:ascii="Arial" w:cs="Arial" w:eastAsia="Arial" w:hAnsi="Arial"/>
          <w:sz w:val="21"/>
          <w:szCs w:val="21"/>
          <w:i w:val="1"/>
          <w:iCs w:val="1"/>
          <w:color w:val="auto"/>
        </w:rPr>
        <w:t>At-Will Employment</w:t>
      </w:r>
      <w:r>
        <w:rPr>
          <w:rFonts w:ascii="Arial" w:cs="Arial" w:eastAsia="Arial" w:hAnsi="Arial"/>
          <w:sz w:val="21"/>
          <w:szCs w:val="21"/>
          <w:color w:val="auto"/>
        </w:rPr>
        <w:t>. During the Term of Employment, the Executive will continue to be an at-will employee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which means that, notwithstanding any other provision set forth herein, the employment relationship can be terminated by either Party for any reason, at any time, with or without prior notice and with or without Cause.</w:t>
      </w:r>
    </w:p>
    <w:p>
      <w:pPr>
        <w:spacing w:after="0" w:line="169" w:lineRule="exact"/>
        <w:rPr>
          <w:rFonts w:ascii="Arial" w:cs="Arial" w:eastAsia="Arial" w:hAnsi="Arial"/>
          <w:sz w:val="21"/>
          <w:szCs w:val="21"/>
          <w:color w:val="auto"/>
        </w:rPr>
      </w:pPr>
    </w:p>
    <w:p>
      <w:pPr>
        <w:ind w:right="120" w:firstLine="8"/>
        <w:spacing w:after="0"/>
        <w:tabs>
          <w:tab w:leader="none" w:pos="594"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w:t>
      </w:r>
      <w:r>
        <w:rPr>
          <w:rFonts w:ascii="Arial" w:cs="Arial" w:eastAsia="Arial" w:hAnsi="Arial"/>
          <w:sz w:val="22"/>
          <w:szCs w:val="22"/>
          <w:i w:val="1"/>
          <w:iCs w:val="1"/>
          <w:color w:val="auto"/>
        </w:rPr>
        <w:t xml:space="preserve"> </w:t>
      </w:r>
      <w:r>
        <w:rPr>
          <w:rFonts w:ascii="Arial" w:cs="Arial" w:eastAsia="Arial" w:hAnsi="Arial"/>
          <w:sz w:val="22"/>
          <w:szCs w:val="22"/>
          <w:color w:val="auto"/>
        </w:rPr>
        <w:t>review the terms of this Agreement with an attorney. The Executive further states and represents that the Executive has carefully read this Agreement,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8" w:name="page119"/>
    <w:bookmarkEnd w:id="118"/>
    <w:p>
      <w:pPr>
        <w:ind w:right="120"/>
        <w:spacing w:after="0" w:line="250" w:lineRule="auto"/>
        <w:rPr>
          <w:sz w:val="20"/>
          <w:szCs w:val="20"/>
          <w:color w:val="auto"/>
        </w:rPr>
      </w:pPr>
      <w:r>
        <w:rPr>
          <w:rFonts w:ascii="Arial" w:cs="Arial" w:eastAsia="Arial" w:hAnsi="Arial"/>
          <w:sz w:val="22"/>
          <w:szCs w:val="22"/>
          <w:color w:val="auto"/>
        </w:rPr>
        <w:t>understands the contents herein, freely and voluntarily assents to all of the terms and conditions hereof, and signs the Executive’s name of the Executive’s own free act.</w:t>
      </w:r>
    </w:p>
    <w:p>
      <w:pPr>
        <w:spacing w:after="0" w:line="202" w:lineRule="exact"/>
        <w:rPr>
          <w:sz w:val="20"/>
          <w:szCs w:val="20"/>
          <w:color w:val="auto"/>
        </w:rPr>
      </w:pPr>
    </w:p>
    <w:p>
      <w:pPr>
        <w:ind w:right="80" w:firstLine="8"/>
        <w:spacing w:after="0" w:line="236" w:lineRule="auto"/>
        <w:tabs>
          <w:tab w:leader="none" w:pos="594"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14" w:lineRule="exact"/>
        <w:rPr>
          <w:rFonts w:ascii="Arial" w:cs="Arial" w:eastAsia="Arial" w:hAnsi="Arial"/>
          <w:sz w:val="22"/>
          <w:szCs w:val="22"/>
          <w:color w:val="auto"/>
        </w:rPr>
      </w:pPr>
    </w:p>
    <w:p>
      <w:pPr>
        <w:ind w:right="140" w:firstLine="8"/>
        <w:spacing w:after="0" w:line="238" w:lineRule="auto"/>
        <w:tabs>
          <w:tab w:leader="none" w:pos="594"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w:t>
      </w:r>
      <w:r>
        <w:rPr>
          <w:rFonts w:ascii="Arial" w:cs="Arial" w:eastAsia="Arial" w:hAnsi="Arial"/>
          <w:sz w:val="22"/>
          <w:szCs w:val="22"/>
          <w:i w:val="1"/>
          <w:iCs w:val="1"/>
          <w:color w:val="auto"/>
        </w:rPr>
        <w:t xml:space="preserve"> </w:t>
      </w:r>
      <w:r>
        <w:rPr>
          <w:rFonts w:ascii="Arial" w:cs="Arial" w:eastAsia="Arial" w:hAnsi="Arial"/>
          <w:sz w:val="22"/>
          <w:szCs w:val="22"/>
          <w:color w:val="auto"/>
        </w:rPr>
        <w:t>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211" w:lineRule="exact"/>
        <w:rPr>
          <w:rFonts w:ascii="Arial" w:cs="Arial" w:eastAsia="Arial" w:hAnsi="Arial"/>
          <w:sz w:val="22"/>
          <w:szCs w:val="22"/>
          <w:color w:val="auto"/>
        </w:rPr>
      </w:pPr>
    </w:p>
    <w:p>
      <w:pPr>
        <w:ind w:firstLine="8"/>
        <w:spacing w:after="0" w:line="238" w:lineRule="auto"/>
        <w:tabs>
          <w:tab w:leader="none" w:pos="594"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11" w:lineRule="exact"/>
        <w:rPr>
          <w:rFonts w:ascii="Arial" w:cs="Arial" w:eastAsia="Arial" w:hAnsi="Arial"/>
          <w:sz w:val="22"/>
          <w:szCs w:val="22"/>
          <w:color w:val="auto"/>
        </w:rPr>
      </w:pPr>
    </w:p>
    <w:p>
      <w:pPr>
        <w:ind w:right="80" w:firstLine="8"/>
        <w:spacing w:after="0" w:line="277" w:lineRule="auto"/>
        <w:tabs>
          <w:tab w:leader="none" w:pos="594"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9"/>
          <w:szCs w:val="19"/>
          <w:color w:val="auto"/>
        </w:rPr>
      </w:pPr>
    </w:p>
    <w:p>
      <w:pPr>
        <w:ind w:firstLine="8"/>
        <w:spacing w:after="0"/>
        <w:tabs>
          <w:tab w:leader="none" w:pos="594" w:val="left"/>
        </w:tabs>
        <w:numPr>
          <w:ilvl w:val="0"/>
          <w:numId w:val="109"/>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 agreements</w:t>
      </w:r>
      <w:r>
        <w:rPr>
          <w:rFonts w:ascii="Arial" w:cs="Arial" w:eastAsia="Arial" w:hAnsi="Arial"/>
          <w:sz w:val="22"/>
          <w:szCs w:val="22"/>
          <w:i w:val="1"/>
          <w:iCs w:val="1"/>
          <w:color w:val="auto"/>
        </w:rPr>
        <w:t xml:space="preserve"> </w:t>
      </w:r>
      <w:r>
        <w:rPr>
          <w:rFonts w:ascii="Arial" w:cs="Arial" w:eastAsia="Arial" w:hAnsi="Arial"/>
          <w:sz w:val="22"/>
          <w:szCs w:val="22"/>
          <w:color w:val="auto"/>
        </w:rPr>
        <w:t>and understandings, whether written or oral, relating to the subject matter of this Agreement, including, without limitation, the Existing Agreement.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Page Following]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Pr>
          <w:p>
            <w:pPr>
              <w:ind w:left="220"/>
              <w:spacing w:after="0"/>
              <w:rPr>
                <w:sz w:val="20"/>
                <w:szCs w:val="20"/>
                <w:color w:val="auto"/>
              </w:rPr>
            </w:pPr>
            <w:r>
              <w:rPr>
                <w:rFonts w:ascii="Arial" w:cs="Arial" w:eastAsia="Arial" w:hAnsi="Arial"/>
                <w:sz w:val="22"/>
                <w:szCs w:val="22"/>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Kim Hazen</w:t>
            </w:r>
          </w:p>
        </w:tc>
      </w:tr>
      <w:tr>
        <w:trPr>
          <w:trHeight w:val="237"/>
        </w:trPr>
        <w:tc>
          <w:tcPr>
            <w:tcW w:w="1840" w:type="dxa"/>
            <w:vAlign w:val="bottom"/>
          </w:tcPr>
          <w:p>
            <w:pPr>
              <w:ind w:left="220"/>
              <w:spacing w:after="0" w:line="237" w:lineRule="exact"/>
              <w:rPr>
                <w:sz w:val="20"/>
                <w:szCs w:val="20"/>
                <w:color w:val="auto"/>
              </w:rPr>
            </w:pPr>
            <w:r>
              <w:rPr>
                <w:rFonts w:ascii="Arial" w:cs="Arial" w:eastAsia="Arial" w:hAnsi="Arial"/>
                <w:sz w:val="22"/>
                <w:szCs w:val="22"/>
                <w:color w:val="auto"/>
              </w:rPr>
              <w:t>Name:</w:t>
            </w:r>
          </w:p>
        </w:tc>
        <w:tc>
          <w:tcPr>
            <w:tcW w:w="37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Kim Hazen</w:t>
            </w:r>
          </w:p>
        </w:tc>
      </w:tr>
      <w:tr>
        <w:trPr>
          <w:trHeight w:val="237"/>
        </w:trPr>
        <w:tc>
          <w:tcPr>
            <w:tcW w:w="1840" w:type="dxa"/>
            <w:vAlign w:val="bottom"/>
          </w:tcPr>
          <w:p>
            <w:pPr>
              <w:ind w:left="220"/>
              <w:spacing w:after="0" w:line="237" w:lineRule="exact"/>
              <w:rPr>
                <w:sz w:val="20"/>
                <w:szCs w:val="20"/>
                <w:color w:val="auto"/>
              </w:rPr>
            </w:pPr>
            <w:r>
              <w:rPr>
                <w:rFonts w:ascii="Arial" w:cs="Arial" w:eastAsia="Arial" w:hAnsi="Arial"/>
                <w:sz w:val="22"/>
                <w:szCs w:val="22"/>
                <w:color w:val="auto"/>
              </w:rPr>
              <w:t>Title:</w:t>
            </w:r>
          </w:p>
        </w:tc>
        <w:tc>
          <w:tcPr>
            <w:tcW w:w="378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SVP, Human Resources</w:t>
            </w:r>
          </w:p>
        </w:tc>
      </w:tr>
      <w:tr>
        <w:trPr>
          <w:trHeight w:val="489"/>
        </w:trPr>
        <w:tc>
          <w:tcPr>
            <w:tcW w:w="1840" w:type="dxa"/>
            <w:vAlign w:val="bottom"/>
          </w:tcPr>
          <w:p>
            <w:pPr>
              <w:spacing w:after="0"/>
              <w:rPr>
                <w:sz w:val="20"/>
                <w:szCs w:val="20"/>
                <w:color w:val="auto"/>
              </w:rPr>
            </w:pPr>
            <w:r>
              <w:rPr>
                <w:rFonts w:ascii="Arial" w:cs="Arial" w:eastAsia="Arial" w:hAnsi="Arial"/>
                <w:sz w:val="22"/>
                <w:szCs w:val="22"/>
                <w:color w:val="auto"/>
              </w:rPr>
              <w:t>EXECUTIVE:</w:t>
            </w:r>
          </w:p>
        </w:tc>
        <w:tc>
          <w:tcPr>
            <w:tcW w:w="3780" w:type="dxa"/>
            <w:vAlign w:val="bottom"/>
          </w:tcPr>
          <w:p>
            <w:pPr>
              <w:spacing w:after="0"/>
              <w:rPr>
                <w:sz w:val="24"/>
                <w:szCs w:val="24"/>
                <w:color w:val="auto"/>
              </w:rPr>
            </w:pPr>
          </w:p>
        </w:tc>
      </w:tr>
      <w:tr>
        <w:trPr>
          <w:trHeight w:val="476"/>
        </w:trPr>
        <w:tc>
          <w:tcPr>
            <w:tcW w:w="1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Bryan Stuart</w:t>
            </w:r>
          </w:p>
        </w:tc>
        <w:tc>
          <w:tcPr>
            <w:tcW w:w="3780" w:type="dxa"/>
            <w:vAlign w:val="bottom"/>
            <w:tcBorders>
              <w:bottom w:val="single" w:sz="8" w:color="auto"/>
            </w:tcBorders>
          </w:tcPr>
          <w:p>
            <w:pPr>
              <w:spacing w:after="0"/>
              <w:rPr>
                <w:sz w:val="24"/>
                <w:szCs w:val="24"/>
                <w:color w:val="auto"/>
              </w:rPr>
            </w:pPr>
          </w:p>
        </w:tc>
      </w:tr>
      <w:tr>
        <w:trPr>
          <w:trHeight w:val="268"/>
        </w:trPr>
        <w:tc>
          <w:tcPr>
            <w:tcW w:w="1840" w:type="dxa"/>
            <w:vAlign w:val="bottom"/>
          </w:tcPr>
          <w:p>
            <w:pPr>
              <w:spacing w:after="0"/>
              <w:rPr>
                <w:sz w:val="20"/>
                <w:szCs w:val="20"/>
                <w:color w:val="auto"/>
              </w:rPr>
            </w:pPr>
            <w:r>
              <w:rPr>
                <w:rFonts w:ascii="Arial" w:cs="Arial" w:eastAsia="Arial" w:hAnsi="Arial"/>
                <w:sz w:val="22"/>
                <w:szCs w:val="22"/>
                <w:color w:val="auto"/>
              </w:rPr>
              <w:t>Bryan Stuart</w:t>
            </w:r>
          </w:p>
        </w:tc>
        <w:tc>
          <w:tcPr>
            <w:tcW w:w="37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91"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39" w:lineRule="exact"/>
        <w:rPr>
          <w:sz w:val="20"/>
          <w:szCs w:val="20"/>
          <w:color w:val="auto"/>
        </w:rPr>
      </w:pPr>
    </w:p>
    <w:p>
      <w:pPr>
        <w:ind w:left="-20" w:right="100" w:firstLine="853"/>
        <w:spacing w:after="0" w:line="238" w:lineRule="auto"/>
        <w:tabs>
          <w:tab w:leader="none" w:pos="131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11" w:lineRule="exact"/>
        <w:rPr>
          <w:rFonts w:ascii="Arial" w:cs="Arial" w:eastAsia="Arial" w:hAnsi="Arial"/>
          <w:sz w:val="22"/>
          <w:szCs w:val="22"/>
          <w:color w:val="auto"/>
        </w:rPr>
      </w:pPr>
    </w:p>
    <w:p>
      <w:pPr>
        <w:ind w:left="840" w:firstLine="383"/>
        <w:spacing w:after="0" w:line="238" w:lineRule="auto"/>
        <w:tabs>
          <w:tab w:leader="none" w:pos="178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11" w:lineRule="exact"/>
        <w:rPr>
          <w:rFonts w:ascii="Arial" w:cs="Arial" w:eastAsia="Arial" w:hAnsi="Arial"/>
          <w:sz w:val="22"/>
          <w:szCs w:val="22"/>
          <w:color w:val="auto"/>
        </w:rPr>
      </w:pPr>
    </w:p>
    <w:p>
      <w:pPr>
        <w:ind w:left="840" w:right="380" w:firstLine="383"/>
        <w:spacing w:after="0"/>
        <w:tabs>
          <w:tab w:leader="none" w:pos="1801"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13" w:lineRule="exact"/>
        <w:rPr>
          <w:rFonts w:ascii="Arial" w:cs="Arial" w:eastAsia="Arial" w:hAnsi="Arial"/>
          <w:sz w:val="22"/>
          <w:szCs w:val="22"/>
          <w:color w:val="auto"/>
        </w:rPr>
      </w:pPr>
    </w:p>
    <w:p>
      <w:pPr>
        <w:ind w:left="840" w:right="160" w:firstLine="383"/>
        <w:spacing w:after="0" w:line="250" w:lineRule="auto"/>
        <w:tabs>
          <w:tab w:leader="none" w:pos="178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theCompany, the Executive is a “specified employee” (within the meaning of Section 409A), then:</w:t>
      </w:r>
    </w:p>
    <w:p>
      <w:pPr>
        <w:spacing w:after="0" w:line="201" w:lineRule="exact"/>
        <w:rPr>
          <w:rFonts w:ascii="Arial" w:cs="Arial" w:eastAsia="Arial" w:hAnsi="Arial"/>
          <w:sz w:val="22"/>
          <w:szCs w:val="22"/>
          <w:color w:val="auto"/>
        </w:rPr>
      </w:pPr>
    </w:p>
    <w:p>
      <w:pPr>
        <w:ind w:left="2140" w:right="100" w:hanging="843"/>
        <w:spacing w:after="0" w:line="235" w:lineRule="auto"/>
        <w:tabs>
          <w:tab w:leader="none" w:pos="2140" w:val="left"/>
        </w:tabs>
        <w:numPr>
          <w:ilvl w:val="2"/>
          <w:numId w:val="110"/>
        </w:numPr>
        <w:rPr>
          <w:rFonts w:ascii="Arial" w:cs="Arial" w:eastAsia="Arial" w:hAnsi="Arial"/>
          <w:sz w:val="22"/>
          <w:szCs w:val="22"/>
          <w:color w:val="auto"/>
        </w:rPr>
      </w:pPr>
      <w:r>
        <w:rPr>
          <w:rFonts w:ascii="Arial" w:cs="Arial" w:eastAsia="Arial" w:hAnsi="Arial"/>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14" w:lineRule="exact"/>
        <w:rPr>
          <w:rFonts w:ascii="Arial" w:cs="Arial" w:eastAsia="Arial" w:hAnsi="Arial"/>
          <w:sz w:val="22"/>
          <w:szCs w:val="22"/>
          <w:color w:val="auto"/>
        </w:rPr>
      </w:pPr>
    </w:p>
    <w:p>
      <w:pPr>
        <w:ind w:left="2140" w:right="20" w:hanging="843"/>
        <w:spacing w:after="0" w:line="273" w:lineRule="auto"/>
        <w:tabs>
          <w:tab w:leader="none" w:pos="214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 1.409A-1(b)(9)(iii) (relating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85" w:right="339" w:bottom="1440" w:gutter="0" w:footer="0" w:header="0"/>
        </w:sectPr>
      </w:pPr>
    </w:p>
    <w:bookmarkStart w:id="121" w:name="page122"/>
    <w:bookmarkEnd w:id="121"/>
    <w:p>
      <w:pPr>
        <w:ind w:left="2080" w:right="60"/>
        <w:spacing w:after="0" w:line="238" w:lineRule="auto"/>
        <w:rPr>
          <w:sz w:val="20"/>
          <w:szCs w:val="20"/>
          <w:color w:val="auto"/>
        </w:rPr>
      </w:pPr>
      <w:r>
        <w:rPr>
          <w:rFonts w:ascii="Arial" w:cs="Arial" w:eastAsia="Arial" w:hAnsi="Arial"/>
          <w:sz w:val="22"/>
          <w:szCs w:val="22"/>
          <w:color w:val="auto"/>
        </w:rPr>
        <w:t>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12" w:lineRule="exact"/>
        <w:rPr>
          <w:sz w:val="20"/>
          <w:szCs w:val="20"/>
          <w:color w:val="auto"/>
        </w:rPr>
      </w:pPr>
    </w:p>
    <w:p>
      <w:pPr>
        <w:jc w:val="both"/>
        <w:ind w:left="-80" w:right="60" w:firstLine="853"/>
        <w:spacing w:after="0" w:line="252" w:lineRule="auto"/>
        <w:tabs>
          <w:tab w:leader="none" w:pos="125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0" w:lineRule="exact"/>
        <w:rPr>
          <w:rFonts w:ascii="Arial" w:cs="Arial" w:eastAsia="Arial" w:hAnsi="Arial"/>
          <w:sz w:val="21"/>
          <w:szCs w:val="21"/>
          <w:color w:val="auto"/>
        </w:rPr>
      </w:pPr>
    </w:p>
    <w:p>
      <w:pPr>
        <w:ind w:left="-80" w:right="80" w:firstLine="853"/>
        <w:spacing w:after="0" w:line="277" w:lineRule="auto"/>
        <w:tabs>
          <w:tab w:leader="none" w:pos="125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rFonts w:ascii="Arial" w:cs="Arial" w:eastAsia="Arial" w:hAnsi="Arial"/>
          <w:sz w:val="19"/>
          <w:szCs w:val="19"/>
          <w:color w:val="auto"/>
        </w:rPr>
      </w:pPr>
    </w:p>
    <w:p>
      <w:pPr>
        <w:ind w:left="-80" w:right="180" w:firstLine="853"/>
        <w:spacing w:after="0" w:line="257" w:lineRule="auto"/>
        <w:tabs>
          <w:tab w:leader="none" w:pos="125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96" w:lineRule="exact"/>
        <w:rPr>
          <w:rFonts w:ascii="Arial" w:cs="Arial" w:eastAsia="Arial" w:hAnsi="Arial"/>
          <w:sz w:val="21"/>
          <w:szCs w:val="21"/>
          <w:color w:val="auto"/>
        </w:rPr>
      </w:pPr>
    </w:p>
    <w:p>
      <w:pPr>
        <w:ind w:left="3620" w:hanging="2847"/>
        <w:spacing w:after="0" w:line="481" w:lineRule="auto"/>
        <w:tabs>
          <w:tab w:leader="none" w:pos="126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Agreement is intended to comply with, or be exempt from, Section 409A and shall be interpreted accordingly. [Remainder of page intentionally left blank.]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80"/>
          </w:cols>
          <w:pgMar w:left="400" w:top="361" w:right="4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6, 2021</w:t>
            </w:r>
          </w:p>
        </w:tc>
        <w:tc>
          <w:tcPr>
            <w:tcW w:w="7180" w:type="dxa"/>
            <w:vAlign w:val="bottom"/>
            <w:gridSpan w:val="2"/>
          </w:tcPr>
          <w:p>
            <w:pPr>
              <w:ind w:left="2700"/>
              <w:spacing w:after="0"/>
              <w:rPr>
                <w:sz w:val="20"/>
                <w:szCs w:val="20"/>
                <w:color w:val="auto"/>
              </w:rPr>
            </w:pPr>
            <w:r>
              <w:rPr>
                <w:rFonts w:ascii="Arial" w:cs="Arial" w:eastAsia="Arial" w:hAnsi="Arial"/>
                <w:sz w:val="18"/>
                <w:szCs w:val="18"/>
                <w:color w:val="auto"/>
              </w:rPr>
              <w:t>By: /s/ Bryan Stuart</w:t>
            </w:r>
          </w:p>
        </w:tc>
      </w:tr>
      <w:tr>
        <w:trPr>
          <w:trHeight w:val="195"/>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Peter Thomson, certify that:</w:t>
      </w:r>
    </w:p>
    <w:p>
      <w:pPr>
        <w:spacing w:after="0" w:line="117" w:lineRule="exact"/>
        <w:rPr>
          <w:sz w:val="20"/>
          <w:szCs w:val="20"/>
          <w:color w:val="auto"/>
        </w:rPr>
      </w:pPr>
    </w:p>
    <w:p>
      <w:pPr>
        <w:ind w:left="800" w:hanging="182"/>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160" w:firstLine="618"/>
        <w:spacing w:after="0" w:line="263" w:lineRule="auto"/>
        <w:tabs>
          <w:tab w:leader="none" w:pos="79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20" w:right="260" w:firstLine="575"/>
        <w:spacing w:after="0" w:line="263" w:lineRule="auto"/>
        <w:tabs>
          <w:tab w:leader="none" w:pos="145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6, 2021</w:t>
            </w:r>
          </w:p>
        </w:tc>
        <w:tc>
          <w:tcPr>
            <w:tcW w:w="7180" w:type="dxa"/>
            <w:vAlign w:val="bottom"/>
            <w:gridSpan w:val="2"/>
          </w:tcPr>
          <w:p>
            <w:pPr>
              <w:ind w:left="2700"/>
              <w:spacing w:after="0"/>
              <w:rPr>
                <w:sz w:val="20"/>
                <w:szCs w:val="20"/>
                <w:color w:val="auto"/>
              </w:rPr>
            </w:pPr>
            <w:r>
              <w:rPr>
                <w:rFonts w:ascii="Arial" w:cs="Arial" w:eastAsia="Arial" w:hAnsi="Arial"/>
                <w:sz w:val="18"/>
                <w:szCs w:val="18"/>
                <w:color w:val="auto"/>
              </w:rPr>
              <w:t>By: /s/ Peter Thomson</w:t>
            </w:r>
          </w:p>
        </w:tc>
      </w:tr>
      <w:tr>
        <w:trPr>
          <w:trHeight w:val="195"/>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Thomson</w:t>
            </w:r>
          </w:p>
        </w:tc>
      </w:tr>
      <w:tr>
        <w:trPr>
          <w:trHeight w:val="216"/>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Vice President, Finance and Accounting</w:t>
            </w: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March 31, 2021,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March 31, 2021, as filed with the Securities and Exchange Commission on the date hereof (the “Report”), the undersigned, Peter Thomson, Vice President, Finance and Accounting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Thomson</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Peter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Finance and Accounting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1)"/>
      <w:numFmt w:val="decimal"/>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decimal"/>
      <w:start w:val="4"/>
    </w:lvl>
    <w:lvl w:ilvl="1">
      <w:lvlJc w:val="left"/>
      <w:lvlText w:val="(%2)"/>
      <w:numFmt w:val="lowerLetter"/>
      <w:start w:val="1"/>
    </w:lvl>
  </w:abstractNum>
  <w:abstractNum w:abstractNumId="46">
    <w:nsid w:val="60B6DF7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1433062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9">
    <w:nsid w:val="7FFFCA11"/>
    <w:multiLevelType w:val="hybridMultilevel"/>
    <w:lvl w:ilvl="0">
      <w:lvlJc w:val="left"/>
      <w:lvlText w:val="%1"/>
      <w:numFmt w:val="decimal"/>
      <w:start w:val="1"/>
    </w:lvl>
    <w:lvl w:ilvl="1">
      <w:lvlJc w:val="left"/>
      <w:lvlText w:val="(%2)"/>
      <w:numFmt w:val="lowerLetter"/>
      <w:start w:val="3"/>
    </w:lvl>
  </w:abstractNum>
  <w:abstractNum w:abstractNumId="50">
    <w:nsid w:val="1A27709E"/>
    <w:multiLevelType w:val="hybridMultilevel"/>
    <w:lvl w:ilvl="0">
      <w:lvlJc w:val="left"/>
      <w:lvlText w:val="(%1)"/>
      <w:numFmt w:val="decimal"/>
      <w:start w:val="12"/>
    </w:lvl>
    <w:lvl w:ilvl="1">
      <w:lvlJc w:val="left"/>
      <w:lvlText w:val="(%2)"/>
      <w:numFmt w:val="lowerLetter"/>
      <w:start w:val="4"/>
    </w:lvl>
  </w:abstractNum>
  <w:abstractNum w:abstractNumId="51">
    <w:nsid w:val="71EA1109"/>
    <w:multiLevelType w:val="hybridMultilevel"/>
    <w:lvl w:ilvl="0">
      <w:lvlJc w:val="left"/>
      <w:lvlText w:val="%1"/>
      <w:numFmt w:val="lowerLetter"/>
      <w:start w:val="1"/>
    </w:lvl>
    <w:lvl w:ilvl="1">
      <w:lvlJc w:val="left"/>
      <w:lvlText w:val="(%2)"/>
      <w:numFmt w:val="lowerLetter"/>
      <w:start w:val="5"/>
    </w:lvl>
  </w:abstractNum>
  <w:abstractNum w:abstractNumId="52">
    <w:nsid w:val="100F59DC"/>
    <w:multiLevelType w:val="hybridMultilevel"/>
    <w:lvl w:ilvl="0">
      <w:lvlJc w:val="left"/>
      <w:lvlText w:val="(%1)"/>
      <w:numFmt w:val="lowerLetter"/>
      <w:start w:val="24"/>
    </w:lvl>
    <w:lvl w:ilvl="1">
      <w:lvlJc w:val="left"/>
      <w:lvlText w:val="%2"/>
      <w:numFmt w:val="lowerLetter"/>
      <w:start w:val="1"/>
    </w:lvl>
  </w:abstractNum>
  <w:abstractNum w:abstractNumId="53">
    <w:nsid w:val="7FB7E0AA"/>
    <w:multiLevelType w:val="hybridMultilevel"/>
    <w:lvl w:ilvl="0">
      <w:lvlJc w:val="left"/>
      <w:lvlText w:val="%1."/>
      <w:numFmt w:val="decimal"/>
      <w:start w:val="9"/>
    </w:lvl>
  </w:abstractNum>
  <w:abstractNum w:abstractNumId="54">
    <w:nsid w:val="6EB5BD4"/>
    <w:multiLevelType w:val="hybridMultilevel"/>
    <w:lvl w:ilvl="0">
      <w:lvlJc w:val="left"/>
      <w:lvlText w:val="%1."/>
      <w:numFmt w:val="decimal"/>
      <w:start w:val="10"/>
    </w:lvl>
  </w:abstractNum>
  <w:abstractNum w:abstractNumId="55">
    <w:nsid w:val="6F6DD9AC"/>
    <w:multiLevelType w:val="hybridMultilevel"/>
    <w:lvl w:ilvl="0">
      <w:lvlJc w:val="left"/>
      <w:lvlText w:val="%1."/>
      <w:numFmt w:val="decimal"/>
      <w:start w:val="11"/>
    </w:lvl>
  </w:abstractNum>
  <w:abstractNum w:abstractNumId="56">
    <w:nsid w:val="94211F2"/>
    <w:multiLevelType w:val="hybridMultilevel"/>
    <w:lvl w:ilvl="0">
      <w:lvlJc w:val="left"/>
      <w:lvlText w:val="%1."/>
      <w:numFmt w:val="decimal"/>
      <w:start w:val="16"/>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lowerRoman"/>
      <w:start w:val="1"/>
    </w:lvl>
    <w:lvl w:ilvl="1">
      <w:lvlJc w:val="left"/>
      <w:lvlText w:val="(%2)"/>
      <w:numFmt w:val="lowerLetter"/>
      <w:start w:val="1"/>
    </w:lvl>
  </w:abstractNum>
  <w:abstractNum w:abstractNumId="59">
    <w:nsid w:val="4C04A8AF"/>
    <w:multiLevelType w:val="hybridMultilevel"/>
    <w:lvl w:ilvl="0">
      <w:lvlJc w:val="left"/>
      <w:lvlText w:val="%1"/>
      <w:numFmt w:val="lowerRoman"/>
      <w:start w:val="1"/>
    </w:lvl>
    <w:lvl w:ilvl="1">
      <w:lvlJc w:val="left"/>
      <w:lvlText w:val="(%2)"/>
      <w:numFmt w:val="lowerLetter"/>
      <w:start w:val="9"/>
    </w:lvl>
  </w:abstractNum>
  <w:abstractNum w:abstractNumId="60">
    <w:nsid w:val="1716703B"/>
    <w:multiLevelType w:val="hybridMultilevel"/>
    <w:lvl w:ilvl="0">
      <w:lvlJc w:val="left"/>
      <w:lvlText w:val="%1"/>
      <w:numFmt w:val="lowerRoman"/>
      <w:start w:val="1"/>
    </w:lvl>
    <w:lvl w:ilvl="1">
      <w:lvlJc w:val="left"/>
      <w:lvlText w:val="(%2)"/>
      <w:numFmt w:val="lowerLetter"/>
      <w:start w:val="35"/>
    </w:lvl>
  </w:abstractNum>
  <w:abstractNum w:abstractNumId="61">
    <w:nsid w:val="14E17E33"/>
    <w:multiLevelType w:val="hybridMultilevel"/>
    <w:lvl w:ilvl="0">
      <w:lvlJc w:val="left"/>
      <w:lvlText w:val="%1."/>
      <w:numFmt w:val="decimal"/>
      <w:start w:val="2"/>
    </w:lvl>
  </w:abstractNum>
  <w:abstractNum w:abstractNumId="62">
    <w:nsid w:val="3222E7CD"/>
    <w:multiLevelType w:val="hybridMultilevel"/>
    <w:lvl w:ilvl="0">
      <w:lvlJc w:val="left"/>
      <w:lvlText w:val="%1."/>
      <w:numFmt w:val="decimal"/>
      <w:start w:val="1"/>
    </w:lvl>
  </w:abstractNum>
  <w:abstractNum w:abstractNumId="63">
    <w:nsid w:val="74DE0EE3"/>
    <w:multiLevelType w:val="hybridMultilevel"/>
    <w:lvl w:ilvl="0">
      <w:lvlJc w:val="left"/>
      <w:lvlText w:val="%1."/>
      <w:numFmt w:val="decimal"/>
      <w:start w:val="4"/>
    </w:lvl>
    <w:lvl w:ilvl="1">
      <w:lvlJc w:val="left"/>
      <w:lvlText w:val="(%2)"/>
      <w:numFmt w:val="lowerLetter"/>
      <w:start w:val="1"/>
    </w:lvl>
  </w:abstractNum>
  <w:abstractNum w:abstractNumId="64">
    <w:nsid w:val="68EBC550"/>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65">
    <w:nsid w:val="2DF6D64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66">
    <w:nsid w:val="46B7D44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67">
    <w:nsid w:val="4A2AC31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68">
    <w:nsid w:val="39EE015C"/>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abstractNum>
  <w:abstractNum w:abstractNumId="69">
    <w:nsid w:val="57FC4FBB"/>
    <w:multiLevelType w:val="hybridMultilevel"/>
    <w:lvl w:ilvl="0">
      <w:lvlJc w:val="left"/>
      <w:lvlText w:val="(%1)"/>
      <w:numFmt w:val="lowerRoman"/>
      <w:start w:val="1"/>
    </w:lvl>
  </w:abstractNum>
  <w:abstractNum w:abstractNumId="70">
    <w:nsid w:val="CC1016F"/>
    <w:multiLevelType w:val="hybridMultilevel"/>
    <w:lvl w:ilvl="0">
      <w:lvlJc w:val="left"/>
      <w:lvlText w:val="(%1)"/>
      <w:numFmt w:val="lowerRoman"/>
      <w:start w:val="3"/>
    </w:lvl>
  </w:abstractNum>
  <w:abstractNum w:abstractNumId="71">
    <w:nsid w:val="43F18422"/>
    <w:multiLevelType w:val="hybridMultilevel"/>
    <w:lvl w:ilvl="0">
      <w:lvlJc w:val="left"/>
      <w:lvlText w:val="%1."/>
      <w:numFmt w:val="decimal"/>
      <w:start w:val="8"/>
    </w:lvl>
    <w:lvl w:ilvl="1">
      <w:lvlJc w:val="left"/>
      <w:lvlText w:val="(%2)"/>
      <w:numFmt w:val="lowerLetter"/>
      <w:start w:val="1"/>
    </w:lvl>
  </w:abstractNum>
  <w:abstractNum w:abstractNumId="72">
    <w:nsid w:val="60EF0119"/>
    <w:multiLevelType w:val="hybridMultilevel"/>
    <w:lvl w:ilvl="0">
      <w:lvlJc w:val="left"/>
      <w:lvlText w:val="§§"/>
      <w:numFmt w:val="bullet"/>
      <w:start w:val="1"/>
    </w:lvl>
    <w:lvl w:ilvl="1">
      <w:lvlJc w:val="left"/>
      <w:lvlText w:val="(%2)"/>
      <w:numFmt w:val="lowerLetter"/>
      <w:start w:val="4"/>
    </w:lvl>
  </w:abstractNum>
  <w:abstractNum w:abstractNumId="73">
    <w:nsid w:val="26F324BA"/>
    <w:multiLevelType w:val="hybridMultilevel"/>
    <w:lvl w:ilvl="0">
      <w:lvlJc w:val="left"/>
      <w:lvlText w:val="%1."/>
      <w:numFmt w:val="decimal"/>
      <w:start w:val="9"/>
    </w:lvl>
  </w:abstractNum>
  <w:abstractNum w:abstractNumId="74">
    <w:nsid w:val="7F01579B"/>
    <w:multiLevelType w:val="hybridMultilevel"/>
    <w:lvl w:ilvl="0">
      <w:lvlJc w:val="left"/>
      <w:lvlText w:val="%1."/>
      <w:numFmt w:val="decimal"/>
      <w:start w:val="10"/>
    </w:lvl>
  </w:abstractNum>
  <w:abstractNum w:abstractNumId="75">
    <w:nsid w:val="49DA307D"/>
    <w:multiLevelType w:val="hybridMultilevel"/>
    <w:lvl w:ilvl="0">
      <w:lvlJc w:val="left"/>
      <w:lvlText w:val="%1."/>
      <w:numFmt w:val="decimal"/>
      <w:start w:val="11"/>
    </w:lvl>
  </w:abstractNum>
  <w:abstractNum w:abstractNumId="76">
    <w:nsid w:val="7055A5F5"/>
    <w:multiLevelType w:val="hybridMultilevel"/>
    <w:lvl w:ilvl="0">
      <w:lvlJc w:val="left"/>
      <w:lvlText w:val="%1."/>
      <w:numFmt w:val="decimal"/>
      <w:start w:val="16"/>
    </w:lvl>
  </w:abstractNum>
  <w:abstractNum w:abstractNumId="77">
    <w:nsid w:val="5FB8370B"/>
    <w:multiLevelType w:val="hybridMultilevel"/>
    <w:lvl w:ilvl="0">
      <w:lvlJc w:val="left"/>
      <w:lvlText w:val="%1."/>
      <w:numFmt w:val="decimal"/>
      <w:start w:val="1"/>
    </w:lvl>
    <w:lvl w:ilvl="1">
      <w:lvlJc w:val="left"/>
      <w:lvlText w:val="(%2)"/>
      <w:numFmt w:val="lowerRoman"/>
    </w:lvl>
    <w:lvl w:ilvl="2">
      <w:lvlJc w:val="left"/>
      <w:lvlText w:val="(%3)"/>
      <w:numFmt w:val="lowerLetter"/>
      <w:start w:val="1"/>
    </w:lvl>
  </w:abstractNum>
  <w:abstractNum w:abstractNumId="78">
    <w:nsid w:val="50801EE1"/>
    <w:multiLevelType w:val="hybridMultilevel"/>
    <w:lvl w:ilvl="0">
      <w:lvlJc w:val="left"/>
      <w:lvlText w:val="%1."/>
      <w:numFmt w:val="decimal"/>
      <w:start w:val="2"/>
    </w:lvl>
  </w:abstractNum>
  <w:abstractNum w:abstractNumId="79">
    <w:nsid w:val="488AC1A"/>
    <w:multiLevelType w:val="hybridMultilevel"/>
    <w:lvl w:ilvl="0">
      <w:lvlJc w:val="left"/>
      <w:lvlText w:val="1"/>
      <w:numFmt w:val="bullet"/>
      <w:start w:val="1"/>
    </w:lvl>
  </w:abstractNum>
  <w:abstractNum w:abstractNumId="80">
    <w:nsid w:val="5FB8011C"/>
    <w:multiLevelType w:val="hybridMultilevel"/>
    <w:lvl w:ilvl="0">
      <w:lvlJc w:val="left"/>
      <w:lvlText w:val="2"/>
      <w:numFmt w:val="bullet"/>
      <w:start w:val="1"/>
    </w:lvl>
  </w:abstractNum>
  <w:abstractNum w:abstractNumId="81">
    <w:nsid w:val="6AA78F7F"/>
    <w:multiLevelType w:val="hybridMultilevel"/>
    <w:lvl w:ilvl="0">
      <w:lvlJc w:val="left"/>
      <w:lvlText w:val="3"/>
      <w:numFmt w:val="bullet"/>
      <w:start w:val="1"/>
    </w:lvl>
  </w:abstractNum>
  <w:abstractNum w:abstractNumId="82">
    <w:nsid w:val="7672BD23"/>
    <w:multiLevelType w:val="hybridMultilevel"/>
    <w:lvl w:ilvl="0">
      <w:lvlJc w:val="left"/>
      <w:lvlText w:val="4"/>
      <w:numFmt w:val="bullet"/>
      <w:start w:val="1"/>
    </w:lvl>
    <w:lvl w:ilvl="1">
      <w:lvlJc w:val="left"/>
      <w:lvlText w:val="-"/>
      <w:numFmt w:val="bullet"/>
      <w:start w:val="1"/>
    </w:lvl>
  </w:abstractNum>
  <w:abstractNum w:abstractNumId="83">
    <w:nsid w:val="6FC75AF8"/>
    <w:multiLevelType w:val="hybridMultilevel"/>
    <w:lvl w:ilvl="0">
      <w:lvlJc w:val="left"/>
      <w:lvlText w:val="5"/>
      <w:numFmt w:val="bullet"/>
      <w:start w:val="1"/>
    </w:lvl>
  </w:abstractNum>
  <w:abstractNum w:abstractNumId="84">
    <w:nsid w:val="6A5F7029"/>
    <w:multiLevelType w:val="hybridMultilevel"/>
    <w:lvl w:ilvl="0">
      <w:lvlJc w:val="left"/>
      <w:lvlText w:val="6"/>
      <w:numFmt w:val="bullet"/>
      <w:start w:val="1"/>
    </w:lvl>
  </w:abstractNum>
  <w:abstractNum w:abstractNumId="85">
    <w:nsid w:val="7D5E18F8"/>
    <w:multiLevelType w:val="hybridMultilevel"/>
    <w:lvl w:ilvl="0">
      <w:lvlJc w:val="left"/>
      <w:lvlText w:val="(%1)"/>
      <w:numFmt w:val="lowerLetter"/>
      <w:start w:val="1"/>
    </w:lvl>
    <w:lvl w:ilvl="1">
      <w:lvlJc w:val="left"/>
      <w:lvlText w:val="-"/>
      <w:numFmt w:val="bullet"/>
      <w:start w:val="1"/>
    </w:lvl>
  </w:abstractNum>
  <w:abstractNum w:abstractNumId="86">
    <w:nsid w:val="5F3534A4"/>
    <w:multiLevelType w:val="hybridMultilevel"/>
    <w:lvl w:ilvl="0">
      <w:lvlJc w:val="left"/>
      <w:lvlText w:val="(%1)"/>
      <w:numFmt w:val="lowerLetter"/>
      <w:start w:val="5"/>
    </w:lvl>
  </w:abstractNum>
  <w:abstractNum w:abstractNumId="87">
    <w:nsid w:val="73A1821B"/>
    <w:multiLevelType w:val="hybridMultilevel"/>
    <w:lvl w:ilvl="0">
      <w:lvlJc w:val="left"/>
      <w:lvlText w:val="(%1)"/>
      <w:numFmt w:val="lowerLetter"/>
      <w:start w:val="1"/>
    </w:lvl>
    <w:lvl w:ilvl="1">
      <w:lvlJc w:val="left"/>
      <w:lvlText w:val="-"/>
      <w:numFmt w:val="bullet"/>
      <w:start w:val="1"/>
    </w:lvl>
  </w:abstractNum>
  <w:abstractNum w:abstractNumId="88">
    <w:nsid w:val="7DE67713"/>
    <w:multiLevelType w:val="hybridMultilevel"/>
    <w:lvl w:ilvl="0">
      <w:lvlJc w:val="left"/>
      <w:lvlText w:val="(%1)"/>
      <w:numFmt w:val="lowerLetter"/>
      <w:start w:val="2"/>
    </w:lvl>
    <w:lvl w:ilvl="1">
      <w:lvlJc w:val="left"/>
      <w:lvlText w:val="-"/>
      <w:numFmt w:val="bullet"/>
      <w:start w:val="1"/>
    </w:lvl>
  </w:abstractNum>
  <w:abstractNum w:abstractNumId="89">
    <w:nsid w:val="555C55B5"/>
    <w:multiLevelType w:val="hybridMultilevel"/>
    <w:lvl w:ilvl="0">
      <w:lvlJc w:val="left"/>
      <w:lvlText w:val="(%1)"/>
      <w:numFmt w:val="lowerLetter"/>
      <w:start w:val="4"/>
    </w:lvl>
  </w:abstractNum>
  <w:abstractNum w:abstractNumId="90">
    <w:nsid w:val="3FA62ACA"/>
    <w:multiLevelType w:val="hybridMultilevel"/>
    <w:lvl w:ilvl="0">
      <w:lvlJc w:val="left"/>
      <w:lvlText w:val="7"/>
      <w:numFmt w:val="bullet"/>
      <w:start w:val="1"/>
    </w:lvl>
  </w:abstractNum>
  <w:abstractNum w:abstractNumId="91">
    <w:nsid w:val="14FCE74E"/>
    <w:multiLevelType w:val="hybridMultilevel"/>
    <w:lvl w:ilvl="0">
      <w:lvlJc w:val="left"/>
      <w:lvlText w:val="8"/>
      <w:numFmt w:val="bullet"/>
      <w:start w:val="1"/>
    </w:lvl>
  </w:abstractNum>
  <w:abstractNum w:abstractNumId="92">
    <w:nsid w:val="6A3DD3E8"/>
    <w:multiLevelType w:val="hybridMultilevel"/>
    <w:lvl w:ilvl="0">
      <w:lvlJc w:val="left"/>
      <w:lvlText w:val="9"/>
      <w:numFmt w:val="bullet"/>
      <w:start w:val="1"/>
    </w:lvl>
  </w:abstractNum>
  <w:abstractNum w:abstractNumId="93">
    <w:nsid w:val="71C91298"/>
    <w:multiLevelType w:val="hybridMultilevel"/>
    <w:lvl w:ilvl="0">
      <w:lvlJc w:val="left"/>
      <w:lvlText w:val="%1"/>
      <w:numFmt w:val="decimal"/>
      <w:start w:val="10"/>
    </w:lvl>
    <w:lvl w:ilvl="1">
      <w:lvlJc w:val="left"/>
      <w:lvlText w:val="-"/>
      <w:numFmt w:val="bullet"/>
      <w:start w:val="1"/>
    </w:lvl>
  </w:abstractNum>
  <w:abstractNum w:abstractNumId="94">
    <w:nsid w:val="9DAF632"/>
    <w:multiLevelType w:val="hybridMultilevel"/>
    <w:lvl w:ilvl="0">
      <w:lvlJc w:val="left"/>
      <w:lvlText w:val="%1"/>
      <w:numFmt w:val="decimal"/>
      <w:start w:val="15"/>
    </w:lvl>
  </w:abstractNum>
  <w:abstractNum w:abstractNumId="95">
    <w:nsid w:val="53299938"/>
    <w:multiLevelType w:val="hybridMultilevel"/>
    <w:lvl w:ilvl="0">
      <w:lvlJc w:val="left"/>
      <w:lvlText w:val="%1."/>
      <w:numFmt w:val="decimal"/>
      <w:start w:val="1"/>
    </w:lvl>
  </w:abstractNum>
  <w:abstractNum w:abstractNumId="96">
    <w:nsid w:val="1FBFE8E0"/>
    <w:multiLevelType w:val="hybridMultilevel"/>
    <w:lvl w:ilvl="0">
      <w:lvlJc w:val="left"/>
      <w:lvlText w:val="%1."/>
      <w:numFmt w:val="decimal"/>
      <w:start w:val="4"/>
    </w:lvl>
    <w:lvl w:ilvl="1">
      <w:lvlJc w:val="left"/>
      <w:lvlText w:val="(%2)"/>
      <w:numFmt w:val="lowerLetter"/>
      <w:start w:val="1"/>
    </w:lvl>
  </w:abstractNum>
  <w:abstractNum w:abstractNumId="97">
    <w:nsid w:val="5092CA79"/>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98">
    <w:nsid w:val="1D545C4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9">
    <w:nsid w:val="59ADEA3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00">
    <w:nsid w:val="288F1A3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01">
    <w:nsid w:val="2A155DBC"/>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abstractNum>
  <w:abstractNum w:abstractNumId="102">
    <w:nsid w:val="1D9F6E5F"/>
    <w:multiLevelType w:val="hybridMultilevel"/>
    <w:lvl w:ilvl="0">
      <w:lvlJc w:val="left"/>
      <w:lvlText w:val="(%1)"/>
      <w:numFmt w:val="lowerRoman"/>
      <w:start w:val="1"/>
    </w:lvl>
  </w:abstractNum>
  <w:abstractNum w:abstractNumId="103">
    <w:nsid w:val="97E1B4E"/>
    <w:multiLevelType w:val="hybridMultilevel"/>
    <w:lvl w:ilvl="0">
      <w:lvlJc w:val="left"/>
      <w:lvlText w:val="%1."/>
      <w:numFmt w:val="decimal"/>
      <w:start w:val="8"/>
    </w:lvl>
    <w:lvl w:ilvl="1">
      <w:lvlJc w:val="left"/>
      <w:lvlText w:val="(%2)"/>
      <w:numFmt w:val="lowerLetter"/>
      <w:start w:val="1"/>
    </w:lvl>
  </w:abstractNum>
  <w:abstractNum w:abstractNumId="104">
    <w:nsid w:val="51088277"/>
    <w:multiLevelType w:val="hybridMultilevel"/>
    <w:lvl w:ilvl="0">
      <w:lvlJc w:val="left"/>
      <w:lvlText w:val="(%1)"/>
      <w:numFmt w:val="lowerLetter"/>
      <w:start w:val="3"/>
    </w:lvl>
  </w:abstractNum>
  <w:abstractNum w:abstractNumId="105">
    <w:nsid w:val="1CA0C5FA"/>
    <w:multiLevelType w:val="hybridMultilevel"/>
    <w:lvl w:ilvl="0">
      <w:lvlJc w:val="left"/>
      <w:lvlText w:val="%1."/>
      <w:numFmt w:val="decimal"/>
      <w:start w:val="9"/>
    </w:lvl>
  </w:abstractNum>
  <w:abstractNum w:abstractNumId="106">
    <w:nsid w:val="53584BCB"/>
    <w:multiLevelType w:val="hybridMultilevel"/>
    <w:lvl w:ilvl="0">
      <w:lvlJc w:val="left"/>
      <w:lvlText w:val="%1."/>
      <w:numFmt w:val="decimal"/>
      <w:start w:val="10"/>
    </w:lvl>
  </w:abstractNum>
  <w:abstractNum w:abstractNumId="107">
    <w:nsid w:val="415E286C"/>
    <w:multiLevelType w:val="hybridMultilevel"/>
    <w:lvl w:ilvl="0">
      <w:lvlJc w:val="left"/>
      <w:lvlText w:val="%1."/>
      <w:numFmt w:val="decimal"/>
      <w:start w:val="11"/>
    </w:lvl>
  </w:abstractNum>
  <w:abstractNum w:abstractNumId="108">
    <w:nsid w:val="7C58FD05"/>
    <w:multiLevelType w:val="hybridMultilevel"/>
    <w:lvl w:ilvl="0">
      <w:lvlJc w:val="left"/>
      <w:lvlText w:val="%1."/>
      <w:numFmt w:val="decimal"/>
      <w:start w:val="15"/>
    </w:lvl>
  </w:abstractNum>
  <w:abstractNum w:abstractNumId="109">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45E6D486"/>
    <w:multiLevelType w:val="hybridMultilevel"/>
    <w:lvl w:ilvl="0">
      <w:lvlJc w:val="left"/>
      <w:lvlText w:val="%1."/>
      <w:numFmt w:val="decimal"/>
      <w:start w:val="2"/>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2021-05-06T06:11:58Z</dcterms:created>
  <dcterms:modified xsi:type="dcterms:W3CDTF">2021-05-06T06:11:58Z</dcterms:modified>
</cp:coreProperties>
</file>