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AND EXCHANGE COMMISSION</w:t>
      </w: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 xml:space="preserve">Date of Report (Date of earliest event reported): </w:t>
      </w:r>
      <w:r>
        <w:rPr>
          <w:rFonts w:ascii="Arial" w:cs="Arial" w:eastAsia="Arial" w:hAnsi="Arial"/>
          <w:sz w:val="13"/>
          <w:szCs w:val="13"/>
          <w:b w:val="1"/>
          <w:bCs w:val="1"/>
          <w:color w:val="auto"/>
        </w:rPr>
        <w:t>August 22, 2023</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FULCRUM THERAPEUTICS, INC.</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150" w:lineRule="exact"/>
        <w:rPr>
          <w:sz w:val="24"/>
          <w:szCs w:val="24"/>
          <w:color w:val="auto"/>
        </w:rPr>
      </w:pPr>
    </w:p>
    <w:tbl>
      <w:tblPr>
        <w:tblLayout w:type="fixed"/>
        <w:tblInd w:w="640" w:type="dxa"/>
        <w:tblCellMar>
          <w:top w:w="0" w:type="dxa"/>
          <w:left w:w="0" w:type="dxa"/>
          <w:bottom w:w="0" w:type="dxa"/>
          <w:right w:w="0" w:type="dxa"/>
        </w:tblCellMar>
      </w:tblPr>
      <w:tr>
        <w:trPr>
          <w:trHeight w:val="156"/>
        </w:trPr>
        <w:tc>
          <w:tcPr>
            <w:tcW w:w="3520" w:type="dxa"/>
            <w:vAlign w:val="bottom"/>
          </w:tcPr>
          <w:p>
            <w:pPr>
              <w:jc w:val="center"/>
              <w:ind w:right="837"/>
              <w:spacing w:after="0"/>
              <w:rPr>
                <w:sz w:val="20"/>
                <w:szCs w:val="20"/>
                <w:color w:val="auto"/>
              </w:rPr>
            </w:pPr>
            <w:r>
              <w:rPr>
                <w:rFonts w:ascii="Arial" w:cs="Arial" w:eastAsia="Arial" w:hAnsi="Arial"/>
                <w:sz w:val="13"/>
                <w:szCs w:val="13"/>
                <w:b w:val="1"/>
                <w:bCs w:val="1"/>
                <w:color w:val="auto"/>
                <w:w w:val="87"/>
              </w:rPr>
              <w:t>Delaware</w:t>
            </w:r>
          </w:p>
        </w:tc>
        <w:tc>
          <w:tcPr>
            <w:tcW w:w="1640" w:type="dxa"/>
            <w:vAlign w:val="bottom"/>
          </w:tcPr>
          <w:p>
            <w:pPr>
              <w:jc w:val="center"/>
              <w:ind w:right="717"/>
              <w:spacing w:after="0"/>
              <w:rPr>
                <w:sz w:val="20"/>
                <w:szCs w:val="20"/>
                <w:color w:val="auto"/>
              </w:rPr>
            </w:pPr>
            <w:r>
              <w:rPr>
                <w:rFonts w:ascii="Arial" w:cs="Arial" w:eastAsia="Arial" w:hAnsi="Arial"/>
                <w:sz w:val="13"/>
                <w:szCs w:val="13"/>
                <w:b w:val="1"/>
                <w:bCs w:val="1"/>
                <w:color w:val="auto"/>
                <w:w w:val="86"/>
              </w:rPr>
              <w:t>001-38978</w:t>
            </w:r>
          </w:p>
        </w:tc>
        <w:tc>
          <w:tcPr>
            <w:tcW w:w="1800" w:type="dxa"/>
            <w:vAlign w:val="bottom"/>
          </w:tcPr>
          <w:p>
            <w:pPr>
              <w:jc w:val="right"/>
              <w:ind w:right="97"/>
              <w:spacing w:after="0"/>
              <w:rPr>
                <w:sz w:val="20"/>
                <w:szCs w:val="20"/>
                <w:color w:val="auto"/>
              </w:rPr>
            </w:pPr>
            <w:r>
              <w:rPr>
                <w:rFonts w:ascii="Arial" w:cs="Arial" w:eastAsia="Arial" w:hAnsi="Arial"/>
                <w:sz w:val="13"/>
                <w:szCs w:val="13"/>
                <w:b w:val="1"/>
                <w:bCs w:val="1"/>
                <w:color w:val="auto"/>
              </w:rPr>
              <w:t>47-4839948</w:t>
            </w:r>
          </w:p>
        </w:tc>
      </w:tr>
      <w:tr>
        <w:trPr>
          <w:trHeight w:val="152"/>
        </w:trPr>
        <w:tc>
          <w:tcPr>
            <w:tcW w:w="3520" w:type="dxa"/>
            <w:vAlign w:val="bottom"/>
          </w:tcPr>
          <w:p>
            <w:pPr>
              <w:jc w:val="center"/>
              <w:ind w:right="837"/>
              <w:spacing w:after="0"/>
              <w:rPr>
                <w:sz w:val="20"/>
                <w:szCs w:val="20"/>
                <w:color w:val="auto"/>
              </w:rPr>
            </w:pPr>
            <w:r>
              <w:rPr>
                <w:rFonts w:ascii="Arial" w:cs="Arial" w:eastAsia="Arial" w:hAnsi="Arial"/>
                <w:sz w:val="13"/>
                <w:szCs w:val="13"/>
                <w:color w:val="auto"/>
                <w:w w:val="90"/>
              </w:rPr>
              <w:t>(State or other jurisdiction</w:t>
            </w:r>
          </w:p>
        </w:tc>
        <w:tc>
          <w:tcPr>
            <w:tcW w:w="1640" w:type="dxa"/>
            <w:vAlign w:val="bottom"/>
          </w:tcPr>
          <w:p>
            <w:pPr>
              <w:jc w:val="center"/>
              <w:ind w:right="737"/>
              <w:spacing w:after="0"/>
              <w:rPr>
                <w:sz w:val="20"/>
                <w:szCs w:val="20"/>
                <w:color w:val="auto"/>
              </w:rPr>
            </w:pPr>
            <w:r>
              <w:rPr>
                <w:rFonts w:ascii="Arial" w:cs="Arial" w:eastAsia="Arial" w:hAnsi="Arial"/>
                <w:sz w:val="13"/>
                <w:szCs w:val="13"/>
                <w:color w:val="auto"/>
                <w:w w:val="89"/>
              </w:rPr>
              <w:t>(Commission</w:t>
            </w:r>
          </w:p>
        </w:tc>
        <w:tc>
          <w:tcPr>
            <w:tcW w:w="1800" w:type="dxa"/>
            <w:vAlign w:val="bottom"/>
          </w:tcPr>
          <w:p>
            <w:pPr>
              <w:jc w:val="center"/>
              <w:ind w:left="797"/>
              <w:spacing w:after="0"/>
              <w:rPr>
                <w:sz w:val="20"/>
                <w:szCs w:val="20"/>
                <w:color w:val="auto"/>
              </w:rPr>
            </w:pPr>
            <w:r>
              <w:rPr>
                <w:rFonts w:ascii="Arial" w:cs="Arial" w:eastAsia="Arial" w:hAnsi="Arial"/>
                <w:sz w:val="13"/>
                <w:szCs w:val="13"/>
                <w:color w:val="auto"/>
                <w:w w:val="92"/>
              </w:rPr>
              <w:t>(IRS Employer</w:t>
            </w:r>
          </w:p>
        </w:tc>
      </w:tr>
      <w:tr>
        <w:trPr>
          <w:trHeight w:val="161"/>
        </w:trPr>
        <w:tc>
          <w:tcPr>
            <w:tcW w:w="3520" w:type="dxa"/>
            <w:vAlign w:val="bottom"/>
          </w:tcPr>
          <w:p>
            <w:pPr>
              <w:jc w:val="center"/>
              <w:ind w:right="837"/>
              <w:spacing w:after="0"/>
              <w:rPr>
                <w:sz w:val="20"/>
                <w:szCs w:val="20"/>
                <w:color w:val="auto"/>
              </w:rPr>
            </w:pPr>
            <w:r>
              <w:rPr>
                <w:rFonts w:ascii="Arial" w:cs="Arial" w:eastAsia="Arial" w:hAnsi="Arial"/>
                <w:sz w:val="13"/>
                <w:szCs w:val="13"/>
                <w:color w:val="auto"/>
                <w:w w:val="91"/>
              </w:rPr>
              <w:t>of incorporation)</w:t>
            </w:r>
          </w:p>
        </w:tc>
        <w:tc>
          <w:tcPr>
            <w:tcW w:w="1640" w:type="dxa"/>
            <w:vAlign w:val="bottom"/>
          </w:tcPr>
          <w:p>
            <w:pPr>
              <w:jc w:val="center"/>
              <w:ind w:right="737"/>
              <w:spacing w:after="0"/>
              <w:rPr>
                <w:sz w:val="20"/>
                <w:szCs w:val="20"/>
                <w:color w:val="auto"/>
              </w:rPr>
            </w:pPr>
            <w:r>
              <w:rPr>
                <w:rFonts w:ascii="Arial" w:cs="Arial" w:eastAsia="Arial" w:hAnsi="Arial"/>
                <w:sz w:val="13"/>
                <w:szCs w:val="13"/>
                <w:color w:val="auto"/>
                <w:w w:val="90"/>
              </w:rPr>
              <w:t>File Number)</w:t>
            </w:r>
          </w:p>
        </w:tc>
        <w:tc>
          <w:tcPr>
            <w:tcW w:w="1800" w:type="dxa"/>
            <w:vAlign w:val="bottom"/>
          </w:tcPr>
          <w:p>
            <w:pPr>
              <w:jc w:val="center"/>
              <w:ind w:left="797"/>
              <w:spacing w:after="0"/>
              <w:rPr>
                <w:sz w:val="20"/>
                <w:szCs w:val="20"/>
                <w:color w:val="auto"/>
              </w:rPr>
            </w:pPr>
            <w:r>
              <w:rPr>
                <w:rFonts w:ascii="Arial" w:cs="Arial" w:eastAsia="Arial" w:hAnsi="Arial"/>
                <w:sz w:val="13"/>
                <w:szCs w:val="13"/>
                <w:color w:val="auto"/>
                <w:w w:val="92"/>
              </w:rPr>
              <w:t>Identification No.)</w:t>
            </w:r>
          </w:p>
        </w:tc>
      </w:tr>
      <w:tr>
        <w:trPr>
          <w:trHeight w:val="262"/>
        </w:trPr>
        <w:tc>
          <w:tcPr>
            <w:tcW w:w="3520" w:type="dxa"/>
            <w:vAlign w:val="bottom"/>
          </w:tcPr>
          <w:p>
            <w:pPr>
              <w:jc w:val="center"/>
              <w:ind w:right="837"/>
              <w:spacing w:after="0"/>
              <w:rPr>
                <w:sz w:val="20"/>
                <w:szCs w:val="20"/>
                <w:color w:val="auto"/>
              </w:rPr>
            </w:pPr>
            <w:r>
              <w:rPr>
                <w:rFonts w:ascii="Arial" w:cs="Arial" w:eastAsia="Arial" w:hAnsi="Arial"/>
                <w:sz w:val="13"/>
                <w:szCs w:val="13"/>
                <w:b w:val="1"/>
                <w:bCs w:val="1"/>
                <w:color w:val="auto"/>
                <w:w w:val="85"/>
              </w:rPr>
              <w:t>26 Landsdowne Street</w:t>
            </w:r>
          </w:p>
        </w:tc>
        <w:tc>
          <w:tcPr>
            <w:tcW w:w="164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156"/>
        </w:trPr>
        <w:tc>
          <w:tcPr>
            <w:tcW w:w="3520" w:type="dxa"/>
            <w:vAlign w:val="bottom"/>
          </w:tcPr>
          <w:p>
            <w:pPr>
              <w:jc w:val="center"/>
              <w:ind w:right="837"/>
              <w:spacing w:after="0"/>
              <w:rPr>
                <w:sz w:val="20"/>
                <w:szCs w:val="20"/>
                <w:color w:val="auto"/>
              </w:rPr>
            </w:pPr>
            <w:r>
              <w:rPr>
                <w:rFonts w:ascii="Arial" w:cs="Arial" w:eastAsia="Arial" w:hAnsi="Arial"/>
                <w:sz w:val="13"/>
                <w:szCs w:val="13"/>
                <w:b w:val="1"/>
                <w:bCs w:val="1"/>
                <w:color w:val="auto"/>
                <w:w w:val="86"/>
              </w:rPr>
              <w:t>Cambridge, Massachusetts</w:t>
            </w:r>
          </w:p>
        </w:tc>
        <w:tc>
          <w:tcPr>
            <w:tcW w:w="1640" w:type="dxa"/>
            <w:vAlign w:val="bottom"/>
          </w:tcPr>
          <w:p>
            <w:pPr>
              <w:spacing w:after="0"/>
              <w:rPr>
                <w:sz w:val="13"/>
                <w:szCs w:val="13"/>
                <w:color w:val="auto"/>
              </w:rPr>
            </w:pPr>
          </w:p>
        </w:tc>
        <w:tc>
          <w:tcPr>
            <w:tcW w:w="1800" w:type="dxa"/>
            <w:vAlign w:val="bottom"/>
          </w:tcPr>
          <w:p>
            <w:pPr>
              <w:jc w:val="right"/>
              <w:ind w:right="237"/>
              <w:spacing w:after="0"/>
              <w:rPr>
                <w:sz w:val="20"/>
                <w:szCs w:val="20"/>
                <w:color w:val="auto"/>
              </w:rPr>
            </w:pPr>
            <w:r>
              <w:rPr>
                <w:rFonts w:ascii="Arial" w:cs="Arial" w:eastAsia="Arial" w:hAnsi="Arial"/>
                <w:sz w:val="13"/>
                <w:szCs w:val="13"/>
                <w:b w:val="1"/>
                <w:bCs w:val="1"/>
                <w:color w:val="auto"/>
              </w:rPr>
              <w:t>02139</w:t>
            </w:r>
          </w:p>
        </w:tc>
      </w:tr>
      <w:tr>
        <w:trPr>
          <w:trHeight w:val="161"/>
        </w:trPr>
        <w:tc>
          <w:tcPr>
            <w:tcW w:w="3520" w:type="dxa"/>
            <w:vAlign w:val="bottom"/>
          </w:tcPr>
          <w:p>
            <w:pPr>
              <w:jc w:val="center"/>
              <w:ind w:right="837"/>
              <w:spacing w:after="0"/>
              <w:rPr>
                <w:sz w:val="20"/>
                <w:szCs w:val="20"/>
                <w:color w:val="auto"/>
              </w:rPr>
            </w:pPr>
            <w:r>
              <w:rPr>
                <w:rFonts w:ascii="Arial" w:cs="Arial" w:eastAsia="Arial" w:hAnsi="Arial"/>
                <w:sz w:val="13"/>
                <w:szCs w:val="13"/>
                <w:color w:val="auto"/>
                <w:w w:val="90"/>
              </w:rPr>
              <w:t>(Address of principal executive offices)</w:t>
            </w:r>
          </w:p>
        </w:tc>
        <w:tc>
          <w:tcPr>
            <w:tcW w:w="1640" w:type="dxa"/>
            <w:vAlign w:val="bottom"/>
          </w:tcPr>
          <w:p>
            <w:pPr>
              <w:spacing w:after="0"/>
              <w:rPr>
                <w:sz w:val="13"/>
                <w:szCs w:val="13"/>
                <w:color w:val="auto"/>
              </w:rPr>
            </w:pPr>
          </w:p>
        </w:tc>
        <w:tc>
          <w:tcPr>
            <w:tcW w:w="1800" w:type="dxa"/>
            <w:vAlign w:val="bottom"/>
          </w:tcPr>
          <w:p>
            <w:pPr>
              <w:jc w:val="center"/>
              <w:ind w:left="817"/>
              <w:spacing w:after="0"/>
              <w:rPr>
                <w:sz w:val="20"/>
                <w:szCs w:val="20"/>
                <w:color w:val="auto"/>
              </w:rPr>
            </w:pPr>
            <w:r>
              <w:rPr>
                <w:rFonts w:ascii="Arial" w:cs="Arial" w:eastAsia="Arial" w:hAnsi="Arial"/>
                <w:sz w:val="13"/>
                <w:szCs w:val="13"/>
                <w:color w:val="auto"/>
                <w:w w:val="91"/>
              </w:rPr>
              <w:t>(Zip Code)</w:t>
            </w:r>
          </w:p>
        </w:tc>
      </w:tr>
      <w:tr>
        <w:trPr>
          <w:trHeight w:val="275"/>
        </w:trPr>
        <w:tc>
          <w:tcPr>
            <w:tcW w:w="3520" w:type="dxa"/>
            <w:vAlign w:val="bottom"/>
          </w:tcPr>
          <w:p>
            <w:pPr>
              <w:spacing w:after="0"/>
              <w:rPr>
                <w:sz w:val="20"/>
                <w:szCs w:val="20"/>
                <w:color w:val="auto"/>
              </w:rPr>
            </w:pPr>
            <w:r>
              <w:rPr>
                <w:rFonts w:ascii="Arial" w:cs="Arial" w:eastAsia="Arial" w:hAnsi="Arial"/>
                <w:sz w:val="13"/>
                <w:szCs w:val="13"/>
                <w:color w:val="auto"/>
                <w:w w:val="89"/>
              </w:rPr>
              <w:t xml:space="preserve">Registrant’s telephone number, including area code: </w:t>
            </w:r>
            <w:r>
              <w:rPr>
                <w:rFonts w:ascii="Arial" w:cs="Arial" w:eastAsia="Arial" w:hAnsi="Arial"/>
                <w:sz w:val="13"/>
                <w:szCs w:val="13"/>
                <w:b w:val="1"/>
                <w:bCs w:val="1"/>
                <w:color w:val="auto"/>
                <w:w w:val="89"/>
              </w:rPr>
              <w:t>(617) 651-8851</w:t>
            </w:r>
          </w:p>
        </w:tc>
        <w:tc>
          <w:tcPr>
            <w:tcW w:w="1640" w:type="dxa"/>
            <w:vAlign w:val="bottom"/>
          </w:tcPr>
          <w:p>
            <w:pPr>
              <w:spacing w:after="0"/>
              <w:rPr>
                <w:sz w:val="23"/>
                <w:szCs w:val="23"/>
                <w:color w:val="auto"/>
              </w:rPr>
            </w:pPr>
          </w:p>
        </w:tc>
        <w:tc>
          <w:tcPr>
            <w:tcW w:w="1800" w:type="dxa"/>
            <w:vAlign w:val="bottom"/>
          </w:tcPr>
          <w:p>
            <w:pPr>
              <w:spacing w:after="0"/>
              <w:rPr>
                <w:sz w:val="23"/>
                <w:szCs w:val="23"/>
                <w:color w:val="auto"/>
              </w:rPr>
            </w:pPr>
          </w:p>
        </w:tc>
      </w:tr>
    </w:tbl>
    <w:p>
      <w:pPr>
        <w:spacing w:after="0" w:line="9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(Former name or former address, if changed since last report.)</w:t>
      </w:r>
    </w:p>
    <w:p>
      <w:pPr>
        <w:spacing w:after="0" w:line="97" w:lineRule="exact"/>
        <w:rPr>
          <w:sz w:val="24"/>
          <w:szCs w:val="24"/>
          <w:color w:val="auto"/>
        </w:rPr>
      </w:pPr>
    </w:p>
    <w:p>
      <w:pPr>
        <w:ind w:left="640" w:right="979"/>
        <w:spacing w:after="0" w:line="261" w:lineRule="auto"/>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82"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2439" w:hanging="3"/>
        <w:spacing w:after="0" w:line="403" w:lineRule="auto"/>
        <w:tabs>
          <w:tab w:leader="none" w:pos="943"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52"/>
        </w:trPr>
        <w:tc>
          <w:tcPr>
            <w:tcW w:w="326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Title of each class</w:t>
            </w:r>
          </w:p>
        </w:tc>
        <w:tc>
          <w:tcPr>
            <w:tcW w:w="1300" w:type="dxa"/>
            <w:vAlign w:val="bottom"/>
            <w:gridSpan w:val="2"/>
          </w:tcPr>
          <w:p>
            <w:pPr>
              <w:jc w:val="center"/>
              <w:ind w:right="60"/>
              <w:spacing w:after="0"/>
              <w:rPr>
                <w:sz w:val="20"/>
                <w:szCs w:val="20"/>
                <w:color w:val="auto"/>
              </w:rPr>
            </w:pPr>
            <w:r>
              <w:rPr>
                <w:rFonts w:ascii="Arial" w:cs="Arial" w:eastAsia="Arial" w:hAnsi="Arial"/>
                <w:sz w:val="13"/>
                <w:szCs w:val="13"/>
                <w:color w:val="auto"/>
                <w:w w:val="90"/>
              </w:rPr>
              <w:t>Trading</w:t>
            </w:r>
          </w:p>
        </w:tc>
        <w:tc>
          <w:tcPr>
            <w:tcW w:w="3180" w:type="dxa"/>
            <w:vAlign w:val="bottom"/>
          </w:tcPr>
          <w:p>
            <w:pPr>
              <w:jc w:val="center"/>
              <w:spacing w:after="0"/>
              <w:rPr>
                <w:sz w:val="20"/>
                <w:szCs w:val="20"/>
                <w:color w:val="auto"/>
              </w:rPr>
            </w:pPr>
            <w:r>
              <w:rPr>
                <w:rFonts w:ascii="Arial" w:cs="Arial" w:eastAsia="Arial" w:hAnsi="Arial"/>
                <w:sz w:val="13"/>
                <w:szCs w:val="13"/>
                <w:color w:val="auto"/>
                <w:w w:val="87"/>
              </w:rPr>
              <w:t>Name of each exchange on which registered</w:t>
            </w:r>
          </w:p>
        </w:tc>
      </w:tr>
      <w:tr>
        <w:trPr>
          <w:trHeight w:val="161"/>
        </w:trPr>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60"/>
              <w:spacing w:after="0"/>
              <w:rPr>
                <w:sz w:val="20"/>
                <w:szCs w:val="20"/>
                <w:color w:val="auto"/>
              </w:rPr>
            </w:pPr>
            <w:r>
              <w:rPr>
                <w:rFonts w:ascii="Arial" w:cs="Arial" w:eastAsia="Arial" w:hAnsi="Arial"/>
                <w:sz w:val="13"/>
                <w:szCs w:val="13"/>
                <w:color w:val="auto"/>
                <w:w w:val="88"/>
              </w:rPr>
              <w:t>Symbol(s)</w:t>
            </w:r>
          </w:p>
        </w:tc>
        <w:tc>
          <w:tcPr>
            <w:tcW w:w="3180" w:type="dxa"/>
            <w:vAlign w:val="bottom"/>
          </w:tcPr>
          <w:p>
            <w:pPr>
              <w:spacing w:after="0"/>
              <w:rPr>
                <w:sz w:val="13"/>
                <w:szCs w:val="13"/>
                <w:color w:val="auto"/>
              </w:rPr>
            </w:pPr>
          </w:p>
        </w:tc>
      </w:tr>
      <w:tr>
        <w:trPr>
          <w:trHeight w:val="163"/>
        </w:trPr>
        <w:tc>
          <w:tcPr>
            <w:tcW w:w="316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Common stock, par value $0.001 per share</w:t>
            </w:r>
          </w:p>
        </w:tc>
        <w:tc>
          <w:tcPr>
            <w:tcW w:w="100" w:type="dxa"/>
            <w:vAlign w:val="bottom"/>
          </w:tcPr>
          <w:p>
            <w:pPr>
              <w:spacing w:after="0"/>
              <w:rPr>
                <w:sz w:val="14"/>
                <w:szCs w:val="14"/>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FULC</w:t>
            </w:r>
          </w:p>
        </w:tc>
        <w:tc>
          <w:tcPr>
            <w:tcW w:w="80" w:type="dxa"/>
            <w:vAlign w:val="bottom"/>
          </w:tcPr>
          <w:p>
            <w:pPr>
              <w:spacing w:after="0"/>
              <w:rPr>
                <w:sz w:val="14"/>
                <w:szCs w:val="14"/>
                <w:color w:val="auto"/>
              </w:rPr>
            </w:pPr>
          </w:p>
        </w:tc>
        <w:tc>
          <w:tcPr>
            <w:tcW w:w="31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The Nasdaq Global Market</w:t>
            </w:r>
          </w:p>
        </w:tc>
      </w:tr>
    </w:tbl>
    <w:p>
      <w:pPr>
        <w:spacing w:after="0" w:line="111" w:lineRule="exact"/>
        <w:rPr>
          <w:sz w:val="24"/>
          <w:szCs w:val="24"/>
          <w:color w:val="auto"/>
        </w:rPr>
      </w:pPr>
    </w:p>
    <w:p>
      <w:pPr>
        <w:ind w:left="640" w:right="819"/>
        <w:spacing w:after="0" w:line="261"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9" w:lineRule="exact"/>
        <w:rPr>
          <w:sz w:val="24"/>
          <w:szCs w:val="24"/>
          <w:color w:val="auto"/>
        </w:rPr>
      </w:pPr>
    </w:p>
    <w:p>
      <w:pPr>
        <w:ind w:left="628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58" w:lineRule="exact"/>
        <w:rPr>
          <w:sz w:val="24"/>
          <w:szCs w:val="24"/>
          <w:color w:val="auto"/>
        </w:rPr>
      </w:pPr>
    </w:p>
    <w:p>
      <w:pPr>
        <w:ind w:left="640" w:right="859"/>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95885</wp:posOffset>
            </wp:positionV>
            <wp:extent cx="491045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126365</wp:posOffset>
            </wp:positionV>
            <wp:extent cx="491045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67" w:right="1440" w:bottom="1440" w:gutter="0" w:footer="0" w:header="0"/>
        </w:sectPr>
      </w:pPr>
    </w:p>
    <w:bookmarkStart w:id="1" w:name="page2"/>
    <w:bookmarkEnd w:id="1"/>
    <w:p>
      <w:pPr>
        <w:ind w:left="640"/>
        <w:spacing w:after="0"/>
        <w:tabs>
          <w:tab w:leader="none" w:pos="146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Arial" w:cs="Arial" w:eastAsia="Arial" w:hAnsi="Arial"/>
          <w:sz w:val="11"/>
          <w:szCs w:val="11"/>
          <w:b w:val="1"/>
          <w:bCs w:val="1"/>
          <w:color w:val="auto"/>
        </w:rPr>
        <w:t>Regulation FD Disclosure.</w:t>
      </w:r>
    </w:p>
    <w:p>
      <w:pPr>
        <w:spacing w:after="0" w:line="82" w:lineRule="exact"/>
        <w:rPr>
          <w:sz w:val="20"/>
          <w:szCs w:val="20"/>
          <w:color w:val="auto"/>
        </w:rPr>
      </w:pPr>
    </w:p>
    <w:p>
      <w:pPr>
        <w:ind w:left="640" w:right="659"/>
        <w:spacing w:after="0" w:line="269" w:lineRule="auto"/>
        <w:rPr>
          <w:sz w:val="20"/>
          <w:szCs w:val="20"/>
          <w:color w:val="auto"/>
        </w:rPr>
      </w:pPr>
      <w:r>
        <w:rPr>
          <w:rFonts w:ascii="Arial" w:cs="Arial" w:eastAsia="Arial" w:hAnsi="Arial"/>
          <w:sz w:val="12"/>
          <w:szCs w:val="12"/>
          <w:color w:val="auto"/>
        </w:rPr>
        <w:t>On August 22, 2023, Fulcrum Therapeutics, Inc., or Fulcrum, issued a press release announcing that the U.S. Food and Drug Administration lifted the clinical hold on the Investigational New Drug application for FTX-6058 for the potential treatment of sickle-cell disease. In connection therewith, Fulcrum posted a program update presentation, or the Presentation, that provides more information about the amended protocol and planned Phase 1b trial of FTX-6058 on the Investor Relations section of its website at www.fulcrumtx.com. A copy of the Presentation entitled “FTX-6058 for Sickle Cell Disease Program Update” is furnished as Exhibit 99.1 hereto and incorporated by reference herein. Fulcrum expressly disclaims any obligation to update the Presentation, or any other information posted on or available through its website, and cautions that the information set forth therein is only accurate as of the date indicated on such materials. The inclusion of any data or statements in the Presentation (or available on or through Fulcrum’s website) does not signify that such information is considered material.</w:t>
      </w:r>
    </w:p>
    <w:p>
      <w:pPr>
        <w:spacing w:after="0" w:line="127" w:lineRule="exact"/>
        <w:rPr>
          <w:sz w:val="20"/>
          <w:szCs w:val="20"/>
          <w:color w:val="auto"/>
        </w:rPr>
      </w:pPr>
    </w:p>
    <w:p>
      <w:pPr>
        <w:ind w:left="640" w:right="959"/>
        <w:spacing w:after="0" w:line="283" w:lineRule="auto"/>
        <w:rPr>
          <w:sz w:val="20"/>
          <w:szCs w:val="20"/>
          <w:color w:val="auto"/>
        </w:rPr>
      </w:pPr>
      <w:r>
        <w:rPr>
          <w:rFonts w:ascii="Arial" w:cs="Arial" w:eastAsia="Arial" w:hAnsi="Arial"/>
          <w:sz w:val="12"/>
          <w:szCs w:val="12"/>
          <w:color w:val="auto"/>
        </w:rPr>
        <w:t>The information in this Item 7.01, including Exhibit 99.1, shall not be deemed “filed” for purposes of Section 18 of the Securities Exchange Act of 1934, as amended,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19"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91" w:lineRule="exact"/>
        <w:rPr>
          <w:sz w:val="20"/>
          <w:szCs w:val="20"/>
          <w:color w:val="auto"/>
        </w:rPr>
      </w:pPr>
    </w:p>
    <w:p>
      <w:pPr>
        <w:ind w:left="940" w:hanging="303"/>
        <w:spacing w:after="0"/>
        <w:tabs>
          <w:tab w:leader="none" w:pos="940" w:val="left"/>
        </w:tabs>
        <w:numPr>
          <w:ilvl w:val="0"/>
          <w:numId w:val="2"/>
        </w:numPr>
        <w:rPr>
          <w:rFonts w:ascii="Arial" w:cs="Arial" w:eastAsia="Arial" w:hAnsi="Arial"/>
          <w:sz w:val="13"/>
          <w:szCs w:val="13"/>
          <w:color w:val="auto"/>
        </w:rPr>
      </w:pPr>
      <w:r>
        <w:rPr>
          <w:rFonts w:ascii="Arial" w:cs="Arial" w:eastAsia="Arial" w:hAnsi="Arial"/>
          <w:sz w:val="13"/>
          <w:szCs w:val="13"/>
          <w:color w:val="auto"/>
        </w:rPr>
        <w:t>Exhibits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The following exhibit is furnished herewith:</w:t>
      </w:r>
    </w:p>
    <w:p>
      <w:pPr>
        <w:spacing w:after="0" w:line="173"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3"/>
          <w:szCs w:val="13"/>
          <w:color w:val="auto"/>
        </w:rPr>
        <w:t>99.1</w:t>
      </w:r>
      <w:r>
        <w:rPr>
          <w:sz w:val="20"/>
          <w:szCs w:val="20"/>
          <w:color w:val="auto"/>
        </w:rPr>
        <w:tab/>
      </w:r>
      <w:r>
        <w:rPr>
          <w:rFonts w:ascii="Arial" w:cs="Arial" w:eastAsia="Arial" w:hAnsi="Arial"/>
          <w:sz w:val="11"/>
          <w:szCs w:val="11"/>
          <w:u w:val="single" w:color="auto"/>
          <w:color w:val="0000EE"/>
        </w:rPr>
        <w:t>Corporate Presentation - FTX-6058 for Sickle Cell Disease Program Update</w:t>
      </w:r>
    </w:p>
    <w:p>
      <w:pPr>
        <w:spacing w:after="0" w:line="78" w:lineRule="exact"/>
        <w:rPr>
          <w:sz w:val="20"/>
          <w:szCs w:val="20"/>
          <w:color w:val="auto"/>
        </w:rPr>
      </w:pPr>
    </w:p>
    <w:p>
      <w:pPr>
        <w:ind w:left="640"/>
        <w:spacing w:after="0"/>
        <w:tabs>
          <w:tab w:leader="none" w:pos="108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Cover Page Interactive Data File (embedded within the Inline XBRL document)</w:t>
      </w:r>
    </w:p>
    <w:p>
      <w:pPr>
        <w:sectPr>
          <w:pgSz w:w="11900" w:h="16838" w:orient="portrait"/>
          <w:cols w:equalWidth="0" w:num="1">
            <w:col w:w="9019"/>
          </w:cols>
          <w:pgMar w:left="1440" w:top="250"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8" w:lineRule="exact"/>
        <w:rPr>
          <w:sz w:val="20"/>
          <w:szCs w:val="20"/>
          <w:color w:val="auto"/>
        </w:rPr>
      </w:pPr>
    </w:p>
    <w:p>
      <w:pPr>
        <w:ind w:left="640" w:right="859" w:firstLine="309"/>
        <w:spacing w:after="0" w:line="261"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ind w:left="4960"/>
        <w:spacing w:after="0"/>
        <w:rPr>
          <w:sz w:val="20"/>
          <w:szCs w:val="20"/>
          <w:color w:val="auto"/>
        </w:rPr>
      </w:pPr>
      <w:r>
        <w:rPr>
          <w:rFonts w:ascii="Arial" w:cs="Arial" w:eastAsia="Arial" w:hAnsi="Arial"/>
          <w:sz w:val="13"/>
          <w:szCs w:val="13"/>
          <w:color w:val="auto"/>
        </w:rPr>
        <w:t>FULCRUM THERAPEUTICS, INC.</w:t>
      </w:r>
    </w:p>
    <w:p>
      <w:pPr>
        <w:spacing w:after="0" w:line="154" w:lineRule="exact"/>
        <w:rPr>
          <w:sz w:val="20"/>
          <w:szCs w:val="20"/>
          <w:color w:val="auto"/>
        </w:rPr>
      </w:pPr>
    </w:p>
    <w:p>
      <w:pPr>
        <w:ind w:left="640"/>
        <w:spacing w:after="0"/>
        <w:tabs>
          <w:tab w:leader="none" w:pos="4500" w:val="left"/>
          <w:tab w:leader="none" w:pos="4940" w:val="left"/>
        </w:tabs>
        <w:rPr>
          <w:sz w:val="20"/>
          <w:szCs w:val="20"/>
          <w:color w:val="auto"/>
        </w:rPr>
      </w:pPr>
      <w:r>
        <w:rPr>
          <w:rFonts w:ascii="Arial" w:cs="Arial" w:eastAsia="Arial" w:hAnsi="Arial"/>
          <w:sz w:val="13"/>
          <w:szCs w:val="13"/>
          <w:color w:val="auto"/>
        </w:rPr>
        <w:t>Date: August 22, 2023</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Curtis Oltmans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3154680</wp:posOffset>
            </wp:positionH>
            <wp:positionV relativeFrom="paragraph">
              <wp:posOffset>6985</wp:posOffset>
            </wp:positionV>
            <wp:extent cx="216027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0270" cy="5715"/>
                    </a:xfrm>
                    <a:prstGeom prst="rect">
                      <a:avLst/>
                    </a:prstGeom>
                    <a:noFill/>
                  </pic:spPr>
                </pic:pic>
              </a:graphicData>
            </a:graphic>
          </wp:anchor>
        </w:drawing>
      </w:r>
    </w:p>
    <w:p>
      <w:pPr>
        <w:spacing w:after="0" w:line="10"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3"/>
          <w:szCs w:val="13"/>
          <w:color w:val="auto"/>
        </w:rPr>
        <w:t>Name:</w:t>
      </w:r>
      <w:r>
        <w:rPr>
          <w:sz w:val="20"/>
          <w:szCs w:val="20"/>
          <w:color w:val="auto"/>
        </w:rPr>
        <w:tab/>
      </w:r>
      <w:r>
        <w:rPr>
          <w:rFonts w:ascii="Arial" w:cs="Arial" w:eastAsia="Arial" w:hAnsi="Arial"/>
          <w:sz w:val="11"/>
          <w:szCs w:val="11"/>
          <w:color w:val="auto"/>
        </w:rPr>
        <w:t>Curtis Oltmans</w:t>
      </w:r>
    </w:p>
    <w:p>
      <w:pPr>
        <w:spacing w:after="0" w:line="2"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3"/>
          <w:szCs w:val="13"/>
          <w:color w:val="auto"/>
        </w:rPr>
        <w:t>Title:</w:t>
        <w:tab/>
        <w:t>Chief Legal Officer</w:t>
      </w:r>
    </w:p>
    <w:p>
      <w:pPr>
        <w:sectPr>
          <w:pgSz w:w="11900" w:h="16838" w:orient="portrait"/>
          <w:cols w:equalWidth="0" w:num="1">
            <w:col w:w="9019"/>
          </w:cols>
          <w:pgMar w:left="1440" w:top="250" w:right="1440" w:bottom="1440" w:gutter="0" w:footer="0" w:header="0"/>
        </w:sectPr>
      </w:pPr>
    </w:p>
    <w:bookmarkStart w:id="3" w:name="page4"/>
    <w:bookmarkEnd w:id="3"/>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49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2023-08-22T06:11:45Z</dcterms:created>
  <dcterms:modified xsi:type="dcterms:W3CDTF">2023-08-22T06:11:45Z</dcterms:modified>
</cp:coreProperties>
</file>