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98" w:lineRule="exact"/>
        <w:rPr>
          <w:sz w:val="24"/>
          <w:szCs w:val="24"/>
          <w:color w:val="auto"/>
        </w:rPr>
      </w:pPr>
    </w:p>
    <w:p>
      <w:pPr>
        <w:ind w:left="3880" w:right="1700" w:hanging="3872"/>
        <w:spacing w:after="0" w:line="375" w:lineRule="auto"/>
        <w:tabs>
          <w:tab w:leader="none" w:pos="36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8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3691890</wp:posOffset>
            </wp:positionH>
            <wp:positionV relativeFrom="paragraph">
              <wp:posOffset>-5080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001-38978</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9" w:lineRule="exact"/>
        <w:rPr>
          <w:sz w:val="24"/>
          <w:szCs w:val="24"/>
          <w:color w:val="auto"/>
        </w:rPr>
      </w:pPr>
    </w:p>
    <w:tbl>
      <w:tblPr>
        <w:tblLayout w:type="fixed"/>
        <w:tblInd w:w="960" w:type="dxa"/>
        <w:tblCellMar>
          <w:top w:w="0" w:type="dxa"/>
          <w:left w:w="0" w:type="dxa"/>
          <w:bottom w:w="0" w:type="dxa"/>
          <w:right w:w="0" w:type="dxa"/>
        </w:tblCellMar>
      </w:tblPr>
      <w:tr>
        <w:trPr>
          <w:trHeight w:val="214"/>
        </w:trPr>
        <w:tc>
          <w:tcPr>
            <w:tcW w:w="5040" w:type="dxa"/>
            <w:vAlign w:val="bottom"/>
          </w:tcPr>
          <w:p>
            <w:pPr>
              <w:jc w:val="center"/>
              <w:ind w:right="123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4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47-4839948</w:t>
            </w:r>
          </w:p>
        </w:tc>
      </w:tr>
      <w:tr>
        <w:trPr>
          <w:trHeight w:val="151"/>
        </w:trPr>
        <w:tc>
          <w:tcPr>
            <w:tcW w:w="5040" w:type="dxa"/>
            <w:vAlign w:val="bottom"/>
          </w:tcPr>
          <w:p>
            <w:pPr>
              <w:jc w:val="center"/>
              <w:ind w:right="1237"/>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540" w:type="dxa"/>
            <w:vAlign w:val="bottom"/>
          </w:tcPr>
          <w:p>
            <w:pPr>
              <w:jc w:val="center"/>
              <w:ind w:left="1259"/>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16"/>
        </w:trPr>
        <w:tc>
          <w:tcPr>
            <w:tcW w:w="5040" w:type="dxa"/>
            <w:vAlign w:val="bottom"/>
          </w:tcPr>
          <w:p>
            <w:pPr>
              <w:jc w:val="center"/>
              <w:ind w:right="1237"/>
              <w:spacing w:after="0"/>
              <w:rPr>
                <w:sz w:val="20"/>
                <w:szCs w:val="20"/>
                <w:color w:val="auto"/>
              </w:rPr>
            </w:pPr>
            <w:r>
              <w:rPr>
                <w:rFonts w:ascii="Times New Roman" w:cs="Times New Roman" w:eastAsia="Times New Roman" w:hAnsi="Times New Roman"/>
                <w:sz w:val="18"/>
                <w:szCs w:val="18"/>
                <w:b w:val="1"/>
                <w:bCs w:val="1"/>
                <w:color w:val="auto"/>
              </w:rPr>
              <w:t>26 Landsdowne Street</w:t>
            </w:r>
          </w:p>
        </w:tc>
        <w:tc>
          <w:tcPr>
            <w:tcW w:w="3540" w:type="dxa"/>
            <w:vAlign w:val="bottom"/>
          </w:tcPr>
          <w:p>
            <w:pPr>
              <w:spacing w:after="0"/>
              <w:rPr>
                <w:sz w:val="18"/>
                <w:szCs w:val="18"/>
                <w:color w:val="auto"/>
              </w:rPr>
            </w:pPr>
          </w:p>
        </w:tc>
      </w:tr>
      <w:tr>
        <w:trPr>
          <w:trHeight w:val="214"/>
        </w:trPr>
        <w:tc>
          <w:tcPr>
            <w:tcW w:w="504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3540" w:type="dxa"/>
            <w:vAlign w:val="bottom"/>
          </w:tcPr>
          <w:p>
            <w:pPr>
              <w:jc w:val="right"/>
              <w:ind w:right="799"/>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5040" w:type="dxa"/>
            <w:vAlign w:val="bottom"/>
          </w:tcPr>
          <w:p>
            <w:pPr>
              <w:jc w:val="center"/>
              <w:ind w:right="125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540" w:type="dxa"/>
            <w:vAlign w:val="bottom"/>
          </w:tcPr>
          <w:p>
            <w:pPr>
              <w:jc w:val="center"/>
              <w:ind w:left="123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(617) 651-8851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74295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27" w:lineRule="exact"/>
        <w:rPr>
          <w:sz w:val="24"/>
          <w:szCs w:val="24"/>
          <w:color w:val="auto"/>
        </w:rPr>
      </w:pPr>
    </w:p>
    <w:tbl>
      <w:tblPr>
        <w:tblLayout w:type="fixed"/>
        <w:tblInd w:w="10" w:type="dxa"/>
        <w:tblCellMar>
          <w:top w:w="0" w:type="dxa"/>
          <w:left w:w="0" w:type="dxa"/>
          <w:bottom w:w="0" w:type="dxa"/>
          <w:right w:w="0" w:type="dxa"/>
        </w:tblCellMar>
      </w:tblPr>
      <w:tr>
        <w:trPr>
          <w:trHeight w:val="182"/>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Borders>
              <w:top w:val="single" w:sz="8" w:color="auto"/>
              <w:bottom w:val="single" w:sz="8" w:color="auto"/>
              <w:right w:val="single" w:sz="8" w:color="auto"/>
            </w:tcBorders>
          </w:tcPr>
          <w:p>
            <w:pPr>
              <w:spacing w:after="0"/>
              <w:rPr>
                <w:sz w:val="15"/>
                <w:szCs w:val="15"/>
                <w:color w:val="auto"/>
              </w:rPr>
            </w:pPr>
          </w:p>
        </w:tc>
        <w:tc>
          <w:tcPr>
            <w:tcW w:w="2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Borders>
              <w:top w:val="single" w:sz="8" w:color="auto"/>
              <w:bottom w:val="single" w:sz="8" w:color="auto"/>
              <w:right w:val="single" w:sz="8" w:color="auto"/>
            </w:tcBorders>
          </w:tcPr>
          <w:p>
            <w:pPr>
              <w:spacing w:after="0"/>
              <w:rPr>
                <w:sz w:val="15"/>
                <w:szCs w:val="15"/>
                <w:color w:val="auto"/>
              </w:rPr>
            </w:pP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9"/>
        </w:trPr>
        <w:tc>
          <w:tcPr>
            <w:tcW w:w="4500" w:type="dxa"/>
            <w:vAlign w:val="bottom"/>
            <w:tcBorders>
              <w:left w:val="single" w:sz="8" w:color="auto"/>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rPr>
              <w:t>Common stock, par value $0.001 per share</w:t>
            </w:r>
          </w:p>
        </w:tc>
        <w:tc>
          <w:tcPr>
            <w:tcW w:w="1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w w:val="96"/>
              </w:rPr>
              <w:t>FULC</w:t>
            </w:r>
          </w:p>
        </w:tc>
        <w:tc>
          <w:tcPr>
            <w:tcW w:w="100" w:type="dxa"/>
            <w:vAlign w:val="bottom"/>
            <w:tcBorders>
              <w:bottom w:val="single" w:sz="8" w:color="auto"/>
              <w:right w:val="single" w:sz="8" w:color="auto"/>
            </w:tcBorders>
          </w:tcPr>
          <w:p>
            <w:pPr>
              <w:spacing w:after="0"/>
              <w:rPr>
                <w:sz w:val="15"/>
                <w:szCs w:val="15"/>
                <w:color w:val="auto"/>
              </w:rPr>
            </w:pPr>
          </w:p>
        </w:tc>
        <w:tc>
          <w:tcPr>
            <w:tcW w:w="4480" w:type="dxa"/>
            <w:vAlign w:val="bottom"/>
            <w:tcBorders>
              <w:bottom w:val="single" w:sz="8" w:color="auto"/>
              <w:right w:val="single" w:sz="8" w:color="auto"/>
            </w:tcBorders>
          </w:tcPr>
          <w:p>
            <w:pPr>
              <w:jc w:val="center"/>
              <w:spacing w:after="0" w:line="180" w:lineRule="exact"/>
              <w:rPr>
                <w:sz w:val="20"/>
                <w:szCs w:val="20"/>
                <w:color w:val="auto"/>
              </w:rPr>
            </w:pPr>
            <w:r>
              <w:rPr>
                <w:rFonts w:ascii="Times New Roman" w:cs="Times New Roman" w:eastAsia="Times New Roman" w:hAnsi="Times New Roman"/>
                <w:sz w:val="17"/>
                <w:szCs w:val="17"/>
                <w:color w:val="auto"/>
              </w:rPr>
              <w:t>The Nasdaq Global Market</w:t>
            </w:r>
          </w:p>
        </w:tc>
      </w:tr>
    </w:tbl>
    <w:p>
      <w:pPr>
        <w:spacing w:after="0" w:line="100" w:lineRule="exact"/>
        <w:rPr>
          <w:sz w:val="24"/>
          <w:szCs w:val="24"/>
          <w:color w:val="auto"/>
        </w:rPr>
      </w:pPr>
    </w:p>
    <w:p>
      <w:pPr>
        <w:ind w:right="80" w:firstLine="509"/>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196" w:lineRule="exact"/>
        <w:tabs>
          <w:tab w:leader="none" w:pos="4440" w:val="left"/>
          <w:tab w:leader="none" w:pos="5120" w:val="left"/>
        </w:tabs>
        <w:rPr>
          <w:sz w:val="20"/>
          <w:szCs w:val="20"/>
          <w:color w:val="auto"/>
        </w:rPr>
      </w:pPr>
      <w:r>
        <w:rPr>
          <w:rFonts w:ascii="Times New Roman" w:cs="Times New Roman" w:eastAsia="Times New Roman" w:hAnsi="Times New Roman"/>
          <w:sz w:val="17"/>
          <w:szCs w:val="17"/>
          <w:color w:val="auto"/>
        </w:rPr>
        <w:t>for the past 90 days.</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09" w:lineRule="exact"/>
        <w:rPr>
          <w:sz w:val="24"/>
          <w:szCs w:val="24"/>
          <w:color w:val="auto"/>
        </w:rPr>
      </w:pPr>
    </w:p>
    <w:p>
      <w:pPr>
        <w:ind w:right="400" w:firstLine="50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220" w:firstLine="50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66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Accelerated filer</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66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1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40" w:type="dxa"/>
            <w:vAlign w:val="bottom"/>
          </w:tcPr>
          <w:p>
            <w:pPr>
              <w:ind w:left="3120"/>
              <w:spacing w:after="0"/>
              <w:rPr>
                <w:sz w:val="20"/>
                <w:szCs w:val="20"/>
                <w:color w:val="auto"/>
              </w:rPr>
            </w:pPr>
            <w:r>
              <w:rPr>
                <w:rFonts w:ascii="Times New Roman" w:cs="Times New Roman" w:eastAsia="Times New Roman" w:hAnsi="Times New Roman"/>
                <w:sz w:val="17"/>
                <w:szCs w:val="17"/>
                <w:color w:val="auto"/>
              </w:rPr>
              <w:t>Emerging growth company</w:t>
            </w:r>
          </w:p>
        </w:tc>
        <w:tc>
          <w:tcPr>
            <w:tcW w:w="400" w:type="dxa"/>
            <w:vAlign w:val="bottom"/>
          </w:tcPr>
          <w:p>
            <w:pPr>
              <w:ind w:left="2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76" w:lineRule="exact"/>
        <w:rPr>
          <w:sz w:val="24"/>
          <w:szCs w:val="24"/>
          <w:color w:val="auto"/>
        </w:rPr>
      </w:pPr>
    </w:p>
    <w:p>
      <w:pPr>
        <w:ind w:right="52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7" w:lineRule="exact"/>
        <w:rPr>
          <w:sz w:val="24"/>
          <w:szCs w:val="24"/>
          <w:color w:val="auto"/>
        </w:rPr>
      </w:pPr>
    </w:p>
    <w:p>
      <w:pPr>
        <w:spacing w:after="0" w:line="196" w:lineRule="exact"/>
        <w:tabs>
          <w:tab w:leader="none" w:pos="7960" w:val="left"/>
          <w:tab w:leader="none" w:pos="874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5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July 22, 2025, the registrant had 54,091,588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80"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and include, among other statements, express or implied statements regarding:</w:t>
      </w:r>
    </w:p>
    <w:p>
      <w:pPr>
        <w:spacing w:after="0" w:line="9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clinical trial of pociredir, including the timing of data announcements and status of enrollment;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runway;</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submit applications for, and obtain and maintain regulatory approvals for pociredir and any other product candidates;</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and capital expenditure requirements with our cash, cash equivalents, and marketable securities;</w:t>
      </w:r>
    </w:p>
    <w:p>
      <w:pPr>
        <w:spacing w:after="0" w:line="53" w:lineRule="exact"/>
        <w:rPr>
          <w:rFonts w:ascii="Times New Roman" w:cs="Times New Roman" w:eastAsia="Times New Roman" w:hAnsi="Times New Roman"/>
          <w:sz w:val="18"/>
          <w:szCs w:val="18"/>
          <w:color w:val="auto"/>
        </w:rPr>
      </w:pPr>
    </w:p>
    <w:p>
      <w:pPr>
        <w:ind w:left="900" w:right="20" w:hanging="383"/>
        <w:spacing w:after="0" w:line="26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(including planned investigational new drug, or IND, application filings) and our research and development programs, including novel therapeutic agents for the potential treatment of inherited aplastic anemias, such as Diamond-Blackfan anemia, or DBA, Shwachman-Diamond syndrome, and Fanconi anemia, and other discovery programs;</w:t>
      </w:r>
    </w:p>
    <w:p>
      <w:pPr>
        <w:spacing w:after="0" w:line="71"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if approved, subsequently commercialize pociredir and any other product candidates, including in combination with other drugs and therapies;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products, if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drug target discovery screening programs;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exclusive global license agreement with CAMP4 Therapeutics Corp., or CAMP4;</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in-license, acquire or develop additional products, product candidates or technologies with significant commercial potential that are consistent with our commercial objectives;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including uncertainty resulting from recent changes in the administration, shifts in government policy and the evolving regulatory environment;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license agreements or obtain additional funding; and</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pandemics or other geopolitical events on our business and operations, including our clinical trials and development plans, as well as our future financial results.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Such forward looking statements are subject to various risks and uncertainties.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and “Management’s Discussion and Analysis of Results of Operations” sections,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7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Quarterly Report on Form 10-Q. Our principal risks include the following:</w:t>
      </w:r>
    </w:p>
    <w:p>
      <w:pPr>
        <w:spacing w:after="0" w:line="176" w:lineRule="exact"/>
        <w:rPr>
          <w:sz w:val="20"/>
          <w:szCs w:val="20"/>
          <w:color w:val="auto"/>
        </w:rPr>
      </w:pPr>
    </w:p>
    <w:p>
      <w:pPr>
        <w:jc w:val="both"/>
        <w:ind w:left="760" w:right="14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Our net loss was $9.7 million for the year ended December 31, 2024. Our net loss was $35.0 million for the six months ended June 30, 2025. We expect to incur losses over the next several years and may never achieve or maintain profitability. As of June 30, 2025, we had an accumulated deficit of $554.3 million.</w:t>
      </w:r>
    </w:p>
    <w:p>
      <w:pPr>
        <w:spacing w:after="0" w:line="175" w:lineRule="exact"/>
        <w:rPr>
          <w:rFonts w:ascii="Times New Roman" w:cs="Times New Roman" w:eastAsia="Times New Roman" w:hAnsi="Times New Roman"/>
          <w:sz w:val="18"/>
          <w:szCs w:val="18"/>
          <w:color w:val="auto"/>
        </w:rPr>
      </w:pPr>
    </w:p>
    <w:p>
      <w:pPr>
        <w:ind w:left="760" w:right="12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 of pociredir and continue research and development and initiate additional clinical trials of, and seek regulatory approval for, pociredir and other product candidates.</w:t>
      </w:r>
    </w:p>
    <w:p>
      <w:pPr>
        <w:spacing w:after="0" w:line="179"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we only have one product candidate in clinical trials. If we are unable to commercialize our product candidates or experience significant delays in doing so, our business will be materially harmed.</w:t>
      </w:r>
    </w:p>
    <w:p>
      <w:pPr>
        <w:spacing w:after="0" w:line="161"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further delays in completing, or ultimately be unable to complete, the development and commercialization of our product candidates.</w:t>
      </w:r>
    </w:p>
    <w:p>
      <w:pPr>
        <w:spacing w:after="0" w:line="175"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175"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or unacceptable side effects are identified during the development of our product candidates, including others’ product candidates in the same class of drugs, we may need to abandon or limit our development of some of our product candidates.</w:t>
      </w:r>
    </w:p>
    <w:p>
      <w:pPr>
        <w:spacing w:after="0" w:line="161" w:lineRule="exact"/>
        <w:rPr>
          <w:rFonts w:ascii="Times New Roman" w:cs="Times New Roman" w:eastAsia="Times New Roman" w:hAnsi="Times New Roman"/>
          <w:sz w:val="18"/>
          <w:szCs w:val="18"/>
          <w:color w:val="auto"/>
        </w:rPr>
      </w:pPr>
    </w:p>
    <w:p>
      <w:pPr>
        <w:ind w:left="760" w:right="5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our discovery approach to build a pipeline of product candidates, or to in-license or acquire additional product candidates.</w:t>
      </w:r>
    </w:p>
    <w:p>
      <w:pPr>
        <w:spacing w:after="0" w:line="161"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we do.</w:t>
      </w:r>
    </w:p>
    <w:p>
      <w:pPr>
        <w:spacing w:after="0" w:line="161"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 w:name="page4"/>
    <w:bookmarkEnd w:id="3"/>
    <w:p>
      <w:pPr>
        <w:ind w:left="380" w:right="460" w:hanging="378"/>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61" w:lineRule="exact"/>
        <w:rPr>
          <w:rFonts w:ascii="Times New Roman" w:cs="Times New Roman" w:eastAsia="Times New Roman" w:hAnsi="Times New Roman"/>
          <w:sz w:val="18"/>
          <w:szCs w:val="18"/>
          <w:color w:val="auto"/>
        </w:rPr>
      </w:pPr>
    </w:p>
    <w:p>
      <w:pPr>
        <w:ind w:left="38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and may in the future enter into, collaborations and license agreements with third parties for the discovery, development or commercialization of product candidates. If our collaborations are not successful or we are not able to develop product candidates that we license-in, we may not be able to capitalize on the market potential of these product candidates and our business could be adversely affected.</w:t>
      </w:r>
    </w:p>
    <w:p>
      <w:pPr>
        <w:spacing w:after="0" w:line="175" w:lineRule="exact"/>
        <w:rPr>
          <w:rFonts w:ascii="Times New Roman" w:cs="Times New Roman" w:eastAsia="Times New Roman" w:hAnsi="Times New Roman"/>
          <w:sz w:val="18"/>
          <w:szCs w:val="18"/>
          <w:color w:val="auto"/>
        </w:rPr>
      </w:pPr>
    </w:p>
    <w:p>
      <w:pPr>
        <w:ind w:left="380" w:right="6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75" w:lineRule="exact"/>
        <w:rPr>
          <w:rFonts w:ascii="Times New Roman" w:cs="Times New Roman" w:eastAsia="Times New Roman" w:hAnsi="Times New Roman"/>
          <w:sz w:val="18"/>
          <w:szCs w:val="18"/>
          <w:color w:val="auto"/>
        </w:rPr>
      </w:pPr>
    </w:p>
    <w:p>
      <w:pPr>
        <w:ind w:left="380" w:right="58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75" w:lineRule="exact"/>
        <w:rPr>
          <w:rFonts w:ascii="Times New Roman" w:cs="Times New Roman" w:eastAsia="Times New Roman" w:hAnsi="Times New Roman"/>
          <w:sz w:val="18"/>
          <w:szCs w:val="18"/>
          <w:color w:val="auto"/>
        </w:rPr>
      </w:pPr>
    </w:p>
    <w:p>
      <w:pPr>
        <w:ind w:left="380" w:right="300" w:hanging="37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75" w:lineRule="exact"/>
        <w:rPr>
          <w:rFonts w:ascii="Times New Roman" w:cs="Times New Roman" w:eastAsia="Times New Roman" w:hAnsi="Times New Roman"/>
          <w:sz w:val="18"/>
          <w:szCs w:val="18"/>
          <w:color w:val="auto"/>
        </w:rPr>
      </w:pPr>
    </w:p>
    <w:p>
      <w:pPr>
        <w:ind w:left="380" w:right="20" w:hanging="378"/>
        <w:spacing w:after="0" w:line="258"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was negatively impacted by the COVID-19 pandemic and may in the future be impacted by any future pandemics, as well as other geopolitical events that can impact our clinical trials or the supply chain, such as the Russian invasion of Ukraine or ongoing hostilities in Israel and the Gaza Strip, and the recent conflict in Iran, or changes in U.S. economic policy announced by the current administration, including tariffs. These events have led to volatility in the market and uncertainty and may adversely impact the U.S. economy and/or economies worldwide, which could result in adverse effects on our business and operations.</w:t>
      </w:r>
    </w:p>
    <w:p>
      <w:pPr>
        <w:spacing w:after="0" w:line="18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1201"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880" w:type="dxa"/>
            <w:vAlign w:val="bottom"/>
            <w:gridSpan w:val="2"/>
            <w:vMerge w:val="continue"/>
          </w:tcPr>
          <w:p>
            <w:pPr>
              <w:spacing w:after="0"/>
              <w:rPr>
                <w:sz w:val="14"/>
                <w:szCs w:val="14"/>
                <w:color w:val="auto"/>
              </w:rPr>
            </w:pPr>
          </w:p>
        </w:tc>
        <w:tc>
          <w:tcPr>
            <w:tcW w:w="9860" w:type="dxa"/>
            <w:vAlign w:val="bottom"/>
            <w:gridSpan w:val="17"/>
            <w:vMerge w:val="continue"/>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June 30, 2025 and December 31, 2024</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9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Income for the three and six months ended June 30, 2025 and 2024</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three and six months ended June 30, 2025 and 2024</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six months ended June 30, 2025 and 2024</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500" w:type="dxa"/>
            <w:vAlign w:val="bottom"/>
            <w:tcBorders>
              <w:left w:val="single" w:sz="8" w:color="0000FF"/>
            </w:tcBorders>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vMerge w:val="continue"/>
          </w:tcPr>
          <w:p>
            <w:pPr>
              <w:spacing w:after="0"/>
              <w:rPr>
                <w:sz w:val="17"/>
                <w:szCs w:val="17"/>
                <w:color w:val="auto"/>
              </w:rPr>
            </w:pP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550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540" w:type="dxa"/>
            <w:vAlign w:val="bottom"/>
            <w:gridSpan w:val="1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8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this Quarterly Report on Form 10-Q, unless otherwise stated or as the context otherwise requires, references to “Fulcrum,” “Fulcrum Therapeutics,” “the Company,” “we,” “us,” “our” and similar references refer to Fulcrum Therapeutics, Inc. together with its consolidated subsidiary. The Fulcrum Therapeutics logo and other trademarks or service marks of Fulcrum Therapeutics, Inc. appearing in this Quarterly Report on Form 10-Q are the property of Fulcrum Therapeutics, Inc. This Quarterly Report on Form 10-Q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42,588</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58,212</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171,523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182,809</w:t>
            </w: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2,096</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5,262</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6,806</w:t>
            </w:r>
          </w:p>
        </w:tc>
      </w:tr>
      <w:tr>
        <w:trPr>
          <w:trHeight w:val="20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219,373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249,923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3,900</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4,979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5,684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228,838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260,718</w:t>
            </w: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1,751</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1,164</w:t>
            </w:r>
          </w:p>
        </w:tc>
      </w:tr>
      <w:tr>
        <w:trPr>
          <w:trHeight w:val="216"/>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4,941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7,694</w:t>
            </w:r>
          </w:p>
        </w:tc>
      </w:tr>
      <w:tr>
        <w:trPr>
          <w:trHeight w:val="216"/>
        </w:trPr>
        <w:tc>
          <w:tcPr>
            <w:tcW w:w="7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2,293</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2,186</w:t>
            </w: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11,044</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excluding current portion</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5,278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6,443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excluding current portion</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197</w:t>
            </w:r>
          </w:p>
        </w:tc>
      </w:tr>
      <w:tr>
        <w:trPr>
          <w:trHeight w:val="209"/>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14,460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17,684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30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 authorized; 54,091,588 and 53,968,303 shares</w:t>
            </w:r>
          </w:p>
        </w:tc>
        <w:tc>
          <w:tcPr>
            <w:tcW w:w="3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June 30, 2025 and December 31, 2024, respectively</w:t>
            </w:r>
          </w:p>
        </w:tc>
        <w:tc>
          <w:tcPr>
            <w:tcW w:w="30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8"/>
                <w:szCs w:val="18"/>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768,591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762,248</w:t>
            </w: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(554,349)</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(519,398)</w:t>
            </w: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214,378</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243,034</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228,838</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260,718</w:t>
            </w: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-2836545</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-1979295</wp:posOffset>
            </wp:positionV>
            <wp:extent cx="1111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 Income</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r>
      <w:tr>
        <w:trPr>
          <w:trHeight w:val="142"/>
        </w:trPr>
        <w:tc>
          <w:tcPr>
            <w:tcW w:w="4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80,000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12,987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17,261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26,391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37,034</w:t>
            </w:r>
          </w:p>
        </w:tc>
      </w:tr>
      <w:tr>
        <w:trPr>
          <w:trHeight w:val="216"/>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6,828</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10,247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13,827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20,308</w:t>
            </w:r>
          </w:p>
        </w:tc>
      </w:tr>
      <w:tr>
        <w:trPr>
          <w:trHeight w:val="209"/>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19,815</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27,508</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40,218</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57,342</w:t>
            </w:r>
          </w:p>
        </w:tc>
      </w:tr>
      <w:tr>
        <w:trPr>
          <w:trHeight w:val="21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52,492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22,658</w:t>
            </w:r>
          </w:p>
        </w:tc>
      </w:tr>
      <w:tr>
        <w:trPr>
          <w:trHeight w:val="216"/>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2,519</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2,917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5,267</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5,881</w:t>
            </w: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(17,296)</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55,409</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28,539</w:t>
            </w:r>
          </w:p>
        </w:tc>
      </w:tr>
      <w:tr>
        <w:trPr>
          <w:trHeight w:val="20"/>
        </w:trPr>
        <w:tc>
          <w:tcPr>
            <w:tcW w:w="4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share, basic</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0.89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4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0.46</w:t>
            </w: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4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share, diluted</w:t>
            </w:r>
          </w:p>
        </w:tc>
        <w:tc>
          <w:tcPr>
            <w:tcW w:w="92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14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14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4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0.45</w:t>
            </w:r>
          </w:p>
        </w:tc>
      </w:tr>
      <w:tr>
        <w:trPr>
          <w:trHeight w:val="20"/>
        </w:trPr>
        <w:tc>
          <w:tcPr>
            <w:tcW w:w="4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9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9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62,544</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62,205</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62,506</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62,095</w:t>
            </w:r>
          </w:p>
        </w:tc>
      </w:tr>
      <w:tr>
        <w:trPr>
          <w:trHeight w:val="196"/>
        </w:trPr>
        <w:tc>
          <w:tcPr>
            <w:tcW w:w="49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9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62,544</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63,587</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62,506</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63,684</w:t>
            </w:r>
          </w:p>
        </w:tc>
      </w:tr>
      <w:tr>
        <w:trPr>
          <w:trHeight w:val="20"/>
        </w:trPr>
        <w:tc>
          <w:tcPr>
            <w:tcW w:w="4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49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1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(17,296)</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55,409</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(34,951)</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28,539</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0"/>
        </w:trPr>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55,477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(34,999)</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28,309</w:t>
            </w: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-2108200</wp:posOffset>
            </wp:positionV>
            <wp:extent cx="85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-2108200</wp:posOffset>
            </wp:positionV>
            <wp:extent cx="857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-2108200</wp:posOffset>
            </wp:positionV>
            <wp:extent cx="85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-1824990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-1824990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-1824990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-1516380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-1499870</wp:posOffset>
            </wp:positionV>
            <wp:extent cx="85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-1516380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-1499870</wp:posOffset>
            </wp:positionV>
            <wp:extent cx="85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-1516380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-1499870</wp:posOffset>
            </wp:positionV>
            <wp:extent cx="85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-1190625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-1173480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-1190625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-1173480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-1190625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-1173480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-316230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-316230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-316230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rPr>
                <w:sz w:val="17"/>
                <w:szCs w:val="17"/>
                <w:color w:val="auto"/>
              </w:rPr>
            </w:pPr>
          </w:p>
        </w:tc>
        <w:tc>
          <w:tcPr>
            <w:tcW w:w="2100" w:type="dxa"/>
            <w:vAlign w:val="bottom"/>
            <w:gridSpan w:val="3"/>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Comprehensiv</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5"/>
        </w:trPr>
        <w:tc>
          <w:tcPr>
            <w:tcW w:w="3760" w:type="dxa"/>
            <w:vAlign w:val="bottom"/>
          </w:tcPr>
          <w:p>
            <w:pPr>
              <w:spacing w:after="0"/>
              <w:rPr>
                <w:sz w:val="17"/>
                <w:szCs w:val="17"/>
                <w:color w:val="auto"/>
              </w:rPr>
            </w:pPr>
          </w:p>
        </w:tc>
        <w:tc>
          <w:tcPr>
            <w:tcW w:w="2100" w:type="dxa"/>
            <w:vAlign w:val="bottom"/>
            <w:tcBorders>
              <w:bottom w:val="single" w:sz="8" w:color="auto"/>
            </w:tcBorders>
            <w:gridSpan w:val="3"/>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211"/>
              <w:spacing w:after="0"/>
              <w:rPr>
                <w:sz w:val="20"/>
                <w:szCs w:val="20"/>
                <w:color w:val="auto"/>
              </w:rPr>
            </w:pPr>
            <w:r>
              <w:rPr>
                <w:rFonts w:ascii="Times New Roman" w:cs="Times New Roman" w:eastAsia="Times New Roman" w:hAnsi="Times New Roman"/>
                <w:sz w:val="16"/>
                <w:szCs w:val="16"/>
                <w:b w:val="1"/>
                <w:bCs w:val="1"/>
                <w:color w:val="auto"/>
              </w:rPr>
              <w:t>e</w:t>
            </w:r>
          </w:p>
        </w:tc>
        <w:tc>
          <w:tcPr>
            <w:tcW w:w="120" w:type="dxa"/>
            <w:vAlign w:val="bottom"/>
          </w:tcPr>
          <w:p>
            <w:pPr>
              <w:spacing w:after="0"/>
              <w:rPr>
                <w:sz w:val="17"/>
                <w:szCs w:val="17"/>
                <w:color w:val="auto"/>
              </w:rPr>
            </w:pPr>
          </w:p>
        </w:tc>
        <w:tc>
          <w:tcPr>
            <w:tcW w:w="1140" w:type="dxa"/>
            <w:vAlign w:val="bottom"/>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160" w:type="dxa"/>
            <w:vAlign w:val="bottom"/>
            <w:gridSpan w:val="2"/>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96"/>
        </w:trPr>
        <w:tc>
          <w:tcPr>
            <w:tcW w:w="3760" w:type="dxa"/>
            <w:vAlign w:val="bottom"/>
          </w:tcPr>
          <w:p>
            <w:pPr>
              <w:spacing w:after="0"/>
              <w:rPr>
                <w:sz w:val="17"/>
                <w:szCs w:val="17"/>
                <w:color w:val="auto"/>
              </w:rPr>
            </w:pPr>
          </w:p>
        </w:tc>
        <w:tc>
          <w:tcPr>
            <w:tcW w:w="11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Gain</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61,915,367</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744,940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(509,673)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235,193</w:t>
            </w:r>
          </w:p>
        </w:tc>
        <w:tc>
          <w:tcPr>
            <w:tcW w:w="0" w:type="dxa"/>
            <w:vAlign w:val="bottom"/>
          </w:tcPr>
          <w:p>
            <w:pPr>
              <w:spacing w:after="0"/>
              <w:rPr>
                <w:sz w:val="1"/>
                <w:szCs w:val="1"/>
                <w:color w:val="auto"/>
              </w:rPr>
            </w:pPr>
          </w:p>
        </w:tc>
      </w:tr>
      <w:tr>
        <w:trPr>
          <w:trHeight w:val="198"/>
        </w:trPr>
        <w:tc>
          <w:tcPr>
            <w:tcW w:w="376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benefit plans</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214,094</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Vesting of restricted stock awards</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11,550</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3,916</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(26,870)</w:t>
            </w:r>
          </w:p>
        </w:tc>
        <w:tc>
          <w:tcPr>
            <w:tcW w:w="0" w:type="dxa"/>
            <w:vAlign w:val="bottom"/>
          </w:tcPr>
          <w:p>
            <w:pPr>
              <w:spacing w:after="0"/>
              <w:rPr>
                <w:sz w:val="1"/>
                <w:szCs w:val="1"/>
                <w:color w:val="auto"/>
              </w:rPr>
            </w:pPr>
          </w:p>
        </w:tc>
      </w:tr>
      <w:tr>
        <w:trPr>
          <w:trHeight w:val="24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62,141,011</w:t>
            </w:r>
          </w:p>
        </w:tc>
        <w:tc>
          <w:tcPr>
            <w:tcW w:w="92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750,507</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(536,543)</w:t>
            </w:r>
          </w:p>
        </w:tc>
        <w:tc>
          <w:tcPr>
            <w:tcW w:w="3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213,592</w:t>
            </w:r>
          </w:p>
        </w:tc>
        <w:tc>
          <w:tcPr>
            <w:tcW w:w="0" w:type="dxa"/>
            <w:vAlign w:val="bottom"/>
          </w:tcPr>
          <w:p>
            <w:pPr>
              <w:spacing w:after="0"/>
              <w:rPr>
                <w:sz w:val="1"/>
                <w:szCs w:val="1"/>
                <w:color w:val="auto"/>
              </w:rPr>
            </w:pPr>
          </w:p>
        </w:tc>
      </w:tr>
      <w:tr>
        <w:trPr>
          <w:trHeight w:val="178"/>
        </w:trPr>
        <w:tc>
          <w:tcPr>
            <w:tcW w:w="3760" w:type="dxa"/>
            <w:vAlign w:val="bottom"/>
            <w:tcBorders>
              <w:top w:val="single" w:sz="8" w:color="CFF0FC"/>
            </w:tcBorders>
          </w:tcPr>
          <w:p>
            <w:pPr>
              <w:ind w:left="80"/>
              <w:spacing w:after="0" w:line="178" w:lineRule="exact"/>
              <w:rPr>
                <w:sz w:val="20"/>
                <w:szCs w:val="20"/>
                <w:color w:val="auto"/>
              </w:rPr>
            </w:pPr>
            <w:r>
              <w:rPr>
                <w:rFonts w:ascii="Times New Roman" w:cs="Times New Roman" w:eastAsia="Times New Roman" w:hAnsi="Times New Roman"/>
                <w:sz w:val="18"/>
                <w:szCs w:val="18"/>
                <w:color w:val="auto"/>
              </w:rPr>
              <w:t>Issuance of common stock under employee</w:t>
            </w: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benefit plans</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98,844</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Vesting of restricted stock awards</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10,776</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4,344</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55,409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55,409</w:t>
            </w:r>
          </w:p>
        </w:tc>
        <w:tc>
          <w:tcPr>
            <w:tcW w:w="0" w:type="dxa"/>
            <w:vAlign w:val="bottom"/>
          </w:tcPr>
          <w:p>
            <w:pPr>
              <w:spacing w:after="0"/>
              <w:rPr>
                <w:sz w:val="1"/>
                <w:szCs w:val="1"/>
                <w:color w:val="auto"/>
              </w:rPr>
            </w:pPr>
          </w:p>
        </w:tc>
      </w:tr>
      <w:tr>
        <w:trPr>
          <w:trHeight w:val="25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62,250,631</w:t>
            </w:r>
          </w:p>
        </w:tc>
        <w:tc>
          <w:tcPr>
            <w:tcW w:w="92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755,228</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(481,134)</w:t>
            </w:r>
          </w:p>
        </w:tc>
        <w:tc>
          <w:tcPr>
            <w:tcW w:w="3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273,790</w:t>
            </w:r>
          </w:p>
        </w:tc>
        <w:tc>
          <w:tcPr>
            <w:tcW w:w="0" w:type="dxa"/>
            <w:vAlign w:val="bottom"/>
          </w:tcPr>
          <w:p>
            <w:pPr>
              <w:spacing w:after="0"/>
              <w:rPr>
                <w:sz w:val="1"/>
                <w:szCs w:val="1"/>
                <w:color w:val="auto"/>
              </w:rPr>
            </w:pPr>
          </w:p>
        </w:tc>
      </w:tr>
      <w:tr>
        <w:trPr>
          <w:trHeight w:val="196"/>
        </w:trPr>
        <w:tc>
          <w:tcPr>
            <w:tcW w:w="37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Balance at December 31, 2024</w:t>
            </w:r>
          </w:p>
        </w:tc>
        <w:tc>
          <w:tcPr>
            <w:tcW w:w="1180" w:type="dxa"/>
            <w:vAlign w:val="bottom"/>
            <w:tcBorders>
              <w:top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53,968,303</w:t>
            </w:r>
          </w:p>
        </w:tc>
        <w:tc>
          <w:tcPr>
            <w:tcW w:w="120" w:type="dxa"/>
            <w:vAlign w:val="bottom"/>
            <w:tcBorders>
              <w:top w:val="single" w:sz="8" w:color="CFF0FC"/>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762,248</w:t>
            </w: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(519,398)</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243,034</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Vesting of restricted stock awards</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11,003</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0" w:type="dxa"/>
            <w:vAlign w:val="bottom"/>
          </w:tcPr>
          <w:p>
            <w:pPr>
              <w:spacing w:after="0"/>
              <w:rPr>
                <w:sz w:val="1"/>
                <w:szCs w:val="1"/>
                <w:color w:val="auto"/>
              </w:rPr>
            </w:pPr>
          </w:p>
        </w:tc>
      </w:tr>
      <w:tr>
        <w:trPr>
          <w:trHeight w:val="249"/>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53,979,306</w:t>
            </w:r>
          </w:p>
        </w:tc>
        <w:tc>
          <w:tcPr>
            <w:tcW w:w="92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765,415</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(537,053)</w:t>
            </w:r>
          </w:p>
        </w:tc>
        <w:tc>
          <w:tcPr>
            <w:tcW w:w="3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228,486</w:t>
            </w:r>
          </w:p>
        </w:tc>
        <w:tc>
          <w:tcPr>
            <w:tcW w:w="0" w:type="dxa"/>
            <w:vAlign w:val="bottom"/>
          </w:tcPr>
          <w:p>
            <w:pPr>
              <w:spacing w:after="0"/>
              <w:rPr>
                <w:sz w:val="1"/>
                <w:szCs w:val="1"/>
                <w:color w:val="auto"/>
              </w:rPr>
            </w:pPr>
          </w:p>
        </w:tc>
      </w:tr>
      <w:tr>
        <w:trPr>
          <w:trHeight w:val="178"/>
        </w:trPr>
        <w:tc>
          <w:tcPr>
            <w:tcW w:w="3760" w:type="dxa"/>
            <w:vAlign w:val="bottom"/>
            <w:tcBorders>
              <w:top w:val="single" w:sz="8" w:color="CFF0FC"/>
            </w:tcBorders>
          </w:tcPr>
          <w:p>
            <w:pPr>
              <w:ind w:left="80"/>
              <w:spacing w:after="0" w:line="178" w:lineRule="exact"/>
              <w:rPr>
                <w:sz w:val="20"/>
                <w:szCs w:val="20"/>
                <w:color w:val="auto"/>
              </w:rPr>
            </w:pPr>
            <w:r>
              <w:rPr>
                <w:rFonts w:ascii="Times New Roman" w:cs="Times New Roman" w:eastAsia="Times New Roman" w:hAnsi="Times New Roman"/>
                <w:sz w:val="18"/>
                <w:szCs w:val="18"/>
                <w:color w:val="auto"/>
              </w:rPr>
              <w:t>Issuance of common stock under employee</w:t>
            </w:r>
          </w:p>
        </w:tc>
        <w:tc>
          <w:tcPr>
            <w:tcW w:w="11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benefit plans</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103,780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Vesting of restricted stock awards</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8,502</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16"/>
        </w:trPr>
        <w:tc>
          <w:tcPr>
            <w:tcW w:w="3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(17,296)</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54,091,588</w:t>
            </w:r>
          </w:p>
        </w:tc>
        <w:tc>
          <w:tcPr>
            <w:tcW w:w="920" w:type="dxa"/>
            <w:vAlign w:val="bottom"/>
            <w:gridSpan w:val="2"/>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768,591</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(554,349)</w:t>
            </w:r>
          </w:p>
        </w:tc>
        <w:tc>
          <w:tcPr>
            <w:tcW w:w="3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214,378</w:t>
            </w:r>
          </w:p>
        </w:tc>
        <w:tc>
          <w:tcPr>
            <w:tcW w:w="0" w:type="dxa"/>
            <w:vAlign w:val="bottom"/>
          </w:tcPr>
          <w:p>
            <w:pPr>
              <w:spacing w:after="0"/>
              <w:rPr>
                <w:sz w:val="1"/>
                <w:szCs w:val="1"/>
                <w:color w:val="auto"/>
              </w:rPr>
            </w:pP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-2871470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-2853690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-2871470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-2853690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-2871470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-2853690</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-2871470</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-2853690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-2871470</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-2853690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-1876425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-1859915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-1876425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-1859915</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-1876425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-1859915</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-1876425</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-1859915</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-1876425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-1859915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-1019810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-1002665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-1019810</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-1002665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-1019810</wp:posOffset>
            </wp:positionV>
            <wp:extent cx="77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-1002665</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-1019810</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-1002665</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-1019810</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-1002665</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-24765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-8255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774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77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77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7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68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(34,951)</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28,539</w:t>
            </w:r>
          </w:p>
        </w:tc>
      </w:tr>
      <w:tr>
        <w:trPr>
          <w:trHeight w:val="20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provided by operating activities:</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expense</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855</w:t>
            </w:r>
          </w:p>
        </w:tc>
      </w:tr>
      <w:tr>
        <w:trPr>
          <w:trHeight w:val="203"/>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6,042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8,260</w:t>
            </w:r>
          </w:p>
        </w:tc>
      </w:tr>
      <w:tr>
        <w:trPr>
          <w:trHeight w:val="203"/>
        </w:trPr>
        <w:tc>
          <w:tcPr>
            <w:tcW w:w="7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accretion of discounts on marketable securities</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w:t>
            </w:r>
          </w:p>
        </w:tc>
      </w:tr>
      <w:tr>
        <w:trPr>
          <w:trHeight w:val="203"/>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r>
      <w:tr>
        <w:trPr>
          <w:trHeight w:val="203"/>
        </w:trPr>
        <w:tc>
          <w:tcPr>
            <w:tcW w:w="7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1,544</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1,266</w:t>
            </w:r>
          </w:p>
        </w:tc>
      </w:tr>
      <w:tr>
        <w:trPr>
          <w:trHeight w:val="203"/>
        </w:trPr>
        <w:tc>
          <w:tcPr>
            <w:tcW w:w="7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203"/>
        </w:trPr>
        <w:tc>
          <w:tcPr>
            <w:tcW w:w="7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70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807</w:t>
            </w:r>
          </w:p>
        </w:tc>
      </w:tr>
      <w:tr>
        <w:trPr>
          <w:trHeight w:val="203"/>
        </w:trPr>
        <w:tc>
          <w:tcPr>
            <w:tcW w:w="70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7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(2,753)</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(1,693)</w:t>
            </w:r>
          </w:p>
        </w:tc>
      </w:tr>
      <w:tr>
        <w:trPr>
          <w:trHeight w:val="196"/>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1680" w:type="dxa"/>
            <w:vAlign w:val="bottom"/>
            <w:gridSpan w:val="2"/>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(29,077)</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33,615</w:t>
            </w:r>
          </w:p>
        </w:tc>
      </w:tr>
      <w:tr>
        <w:trPr>
          <w:trHeight w:val="20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(136,790)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(119,054)</w:t>
            </w:r>
          </w:p>
        </w:tc>
      </w:tr>
      <w:tr>
        <w:trPr>
          <w:trHeight w:val="20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150,011</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144,702</w:t>
            </w:r>
          </w:p>
        </w:tc>
      </w:t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7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19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13,156</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25,620</w:t>
            </w:r>
          </w:p>
        </w:tc>
      </w:t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issuance of common stock under benefit plans, net</w:t>
            </w:r>
          </w:p>
        </w:tc>
        <w:tc>
          <w:tcPr>
            <w:tcW w:w="76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2,028</w:t>
            </w:r>
          </w:p>
        </w:tc>
      </w:tr>
      <w:tr>
        <w:trPr>
          <w:trHeight w:val="196"/>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7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301</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2,028</w:t>
            </w:r>
          </w:p>
        </w:tc>
      </w:tr>
      <w:tr>
        <w:trPr>
          <w:trHeight w:val="19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7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(15,620)</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61,263</w:t>
            </w:r>
          </w:p>
        </w:tc>
      </w:t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7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59,413</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26,655</w:t>
            </w:r>
          </w:p>
        </w:tc>
      </w:tr>
      <w:tr>
        <w:trPr>
          <w:trHeight w:val="236"/>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16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43,793</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87,918</w:t>
            </w:r>
          </w:p>
        </w:tc>
      </w:tr>
      <w:tr>
        <w:trPr>
          <w:trHeight w:val="183"/>
        </w:trPr>
        <w:tc>
          <w:tcPr>
            <w:tcW w:w="7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760" w:type="dxa"/>
            <w:vAlign w:val="bottom"/>
            <w:tcBorders>
              <w:top w:val="single" w:sz="8" w:color="CFF0FC"/>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20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operating lease liabilities</w:t>
            </w:r>
          </w:p>
        </w:tc>
        <w:tc>
          <w:tcPr>
            <w:tcW w:w="16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1,306</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1,478</w:t>
            </w:r>
          </w:p>
        </w:tc>
      </w:tr>
      <w:tr>
        <w:trPr>
          <w:trHeight w:val="20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purchases unpaid at end of period</w:t>
            </w:r>
          </w:p>
        </w:tc>
        <w:tc>
          <w:tcPr>
            <w:tcW w:w="168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-2125345</wp:posOffset>
            </wp:positionV>
            <wp:extent cx="1028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-1079500</wp:posOffset>
            </wp:positionV>
            <wp:extent cx="1028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-539115</wp:posOffset>
            </wp:positionV>
            <wp:extent cx="1028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-521970</wp:posOffset>
            </wp:positionV>
            <wp:extent cx="1028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reconciliation of the cash, cash equivalents, and restricted cash balances as of each of the periods shown above: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7720" w:type="dxa"/>
            <w:vAlign w:val="bottom"/>
          </w:tcPr>
          <w:p>
            <w:pPr>
              <w:spacing w:after="0"/>
              <w:rPr>
                <w:sz w:val="15"/>
                <w:szCs w:val="15"/>
                <w:color w:val="auto"/>
              </w:rPr>
            </w:pPr>
          </w:p>
        </w:tc>
        <w:tc>
          <w:tcPr>
            <w:tcW w:w="10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shd w:val="clear" w:color="auto" w:fill="CFF0FC"/>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42,588</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7"/>
                <w:szCs w:val="17"/>
                <w:color w:val="auto"/>
              </w:rPr>
              <w:t>86,702</w:t>
            </w:r>
          </w:p>
        </w:tc>
      </w:tr>
      <w:tr>
        <w:trPr>
          <w:trHeight w:val="20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1,205</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1,216</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080" w:type="dxa"/>
            <w:vAlign w:val="bottom"/>
            <w:shd w:val="clear" w:color="auto" w:fill="CFF0FC"/>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43,793</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87,918</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2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Fulcrum Therapeutics, Inc. (the “Company”) was incorporated in Delaware on August 18, 2015. The Company is focused on developing small molecules to improve the lives of patients with genetically-defined rare diseases in areas of high unmet medical need.</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76"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June 30, 2025 and the results of its operations and its cash flows for the three and six months ended June 30, 2025 and 2024. The results for the three and six months ended June 30, 2025 are not necessarily indicative of results to be expected for the year ending December 31, 2025, any other interim periods, or any future year or period. These consolidated financial statements should be read in conjunction with the Company’s audited consolidated financial statements and the notes thereto for the year ended December 31, 2024 included in the Company’s Annual Report on Form 10-K filed with the Securities and Exchange Commission (the “SEC”) on February 25, 2025 (the “Annual Report on Form 10-K”).</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June 30, 2025, the Company had an accumulated deficit of $554.3 million. The Company expects its operating losses and negative operating cash flows to continue into the foreseeable future as it continues to advance and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and estimates used in the preparation of the accompanying consolidated financial statements are described in the Company’s audited consolidated financial statements for the year ended December 31, 2024 included in the Company’s Annual Report on Form 10-K. There have been no material changes in the Company’s significant accounting policies during the six months ended June 30,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collaborative arrangements, revenue from contracts with customers,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Risk and Concentrations of Credit Risk</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U.S. Treasury securities, and government agency securities. The Company’s marketable securities consist of U.S. Treasury securities, government agency securities, and corporate bonds,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To Be Adopted</w:t>
      </w:r>
    </w:p>
    <w:p>
      <w:pPr>
        <w:spacing w:after="0" w:line="22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requires disclosure of additional information about specific expense categories in the notes to the financial statements on an interim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basis. The standard is effective for fiscal years beginning after December 15, 2026, and for interim periods beginning after December 15, 2027, with early adoption permitted. The Company is currently evaluating the disclosure requirements related to this new standard.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 Adopted</w:t>
      </w:r>
    </w:p>
    <w:p>
      <w:pPr>
        <w:spacing w:after="0" w:line="22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standard updates reportable segment disclosure requirements, primarily through enhanced disclosures about significant segment expenses and information used to assess segment performance and requires companies to disclose all annual disclosures about segments in interim periods. The standard also requires companies with a single reportable segment to provide all disclosures required by Topic 280 – Segment Reporting. The new standard became effective for the Company on January 1, 2025. The adoption of this standard did not have a material impact on the Company’s consolidated financial position and results of operations. See Note 17, “Segment Information”, for further information regarding the adoption of this standard.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 and indicate the fair value hierarchy classification of such fair values as of June 30, 2025 and December 31, 2024 (in thousands):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3"/>
        </w:trPr>
        <w:tc>
          <w:tcPr>
            <w:tcW w:w="5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42,588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42,588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13,786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13,786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147,747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147,747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214,111</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42,588</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171,523</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347"/>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3"/>
        </w:trPr>
        <w:tc>
          <w:tcPr>
            <w:tcW w:w="5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45,722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45,722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12,490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12,490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2,496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220" w:type="dxa"/>
            <w:vAlign w:val="bottom"/>
          </w:tcPr>
          <w:p>
            <w:pPr>
              <w:spacing w:after="0"/>
              <w:rPr>
                <w:sz w:val="18"/>
                <w:szCs w:val="18"/>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169,031</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169,031</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241,021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45,722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195,299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-1610995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-1593850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-1610995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-1593850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-1610995</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-1593850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three and six months ended June 30,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equivalents and marketable securities consisted of the following as of June 30, 2025 and December 31, 2024 (in thousands):</w:t>
      </w:r>
    </w:p>
    <w:p>
      <w:pPr>
        <w:spacing w:after="0" w:line="24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June 30, 2025</w:t>
      </w:r>
    </w:p>
    <w:tbl>
      <w:tblPr>
        <w:tblLayout w:type="fixed"/>
        <w:tblInd w:w="0" w:type="dxa"/>
        <w:tblCellMar>
          <w:top w:w="0" w:type="dxa"/>
          <w:left w:w="0" w:type="dxa"/>
          <w:bottom w:w="0" w:type="dxa"/>
          <w:right w:w="0" w:type="dxa"/>
        </w:tblCellMar>
      </w:tblPr>
      <w:tr>
        <w:trPr>
          <w:trHeight w:val="117"/>
        </w:trPr>
        <w:tc>
          <w:tcPr>
            <w:tcW w:w="46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96"/>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216"/>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42,588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42,588</w:t>
            </w:r>
          </w:p>
        </w:tc>
        <w:tc>
          <w:tcPr>
            <w:tcW w:w="0" w:type="dxa"/>
            <w:vAlign w:val="bottom"/>
          </w:tcPr>
          <w:p>
            <w:pPr>
              <w:spacing w:after="0"/>
              <w:rPr>
                <w:sz w:val="1"/>
                <w:szCs w:val="1"/>
                <w:color w:val="auto"/>
              </w:rPr>
            </w:pPr>
          </w:p>
        </w:tc>
      </w:tr>
      <w:tr>
        <w:trPr>
          <w:trHeight w:val="209"/>
        </w:trPr>
        <w:tc>
          <w:tcPr>
            <w:tcW w:w="464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1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42,588</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42,588</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9,990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9,990</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13,791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13,786</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147,660</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147,747</w:t>
            </w:r>
          </w:p>
        </w:tc>
        <w:tc>
          <w:tcPr>
            <w:tcW w:w="0" w:type="dxa"/>
            <w:vAlign w:val="bottom"/>
          </w:tcPr>
          <w:p>
            <w:pPr>
              <w:spacing w:after="0"/>
              <w:rPr>
                <w:sz w:val="1"/>
                <w:szCs w:val="1"/>
                <w:color w:val="auto"/>
              </w:rPr>
            </w:pPr>
          </w:p>
        </w:tc>
      </w:tr>
      <w:tr>
        <w:trPr>
          <w:trHeight w:val="21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171,441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152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171,523</w:t>
            </w:r>
          </w:p>
        </w:tc>
        <w:tc>
          <w:tcPr>
            <w:tcW w:w="0" w:type="dxa"/>
            <w:vAlign w:val="bottom"/>
          </w:tcPr>
          <w:p>
            <w:pPr>
              <w:spacing w:after="0"/>
              <w:rPr>
                <w:sz w:val="1"/>
                <w:szCs w:val="1"/>
                <w:color w:val="auto"/>
              </w:rPr>
            </w:pPr>
          </w:p>
        </w:tc>
      </w:tr>
      <w:tr>
        <w:trPr>
          <w:trHeight w:val="250"/>
        </w:trPr>
        <w:tc>
          <w:tcPr>
            <w:tcW w:w="46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214,029</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214,111</w:t>
            </w:r>
          </w:p>
        </w:tc>
        <w:tc>
          <w:tcPr>
            <w:tcW w:w="0" w:type="dxa"/>
            <w:vAlign w:val="bottom"/>
          </w:tcPr>
          <w:p>
            <w:pPr>
              <w:spacing w:after="0"/>
              <w:rPr>
                <w:sz w:val="1"/>
                <w:szCs w:val="1"/>
                <w:color w:val="auto"/>
              </w:rPr>
            </w:pPr>
          </w:p>
        </w:tc>
      </w:tr>
      <w:tr>
        <w:trPr>
          <w:trHeight w:val="628"/>
        </w:trPr>
        <w:tc>
          <w:tcPr>
            <w:tcW w:w="4640" w:type="dxa"/>
            <w:vAlign w:val="bottom"/>
            <w:tcBorders>
              <w:top w:val="single" w:sz="8" w:color="CFF0FC"/>
            </w:tcBorders>
          </w:tcPr>
          <w:p>
            <w:pPr>
              <w:spacing w:after="0"/>
              <w:rPr>
                <w:sz w:val="24"/>
                <w:szCs w:val="24"/>
                <w:color w:val="auto"/>
              </w:rPr>
            </w:pPr>
          </w:p>
        </w:tc>
        <w:tc>
          <w:tcPr>
            <w:tcW w:w="118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-1782445</wp:posOffset>
            </wp:positionV>
            <wp:extent cx="857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-1782445</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-1782445</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-1224915</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-1224915</wp:posOffset>
            </wp:positionV>
            <wp:extent cx="85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-1224915</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-933450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-916940</wp:posOffset>
            </wp:positionV>
            <wp:extent cx="85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-933450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-916940</wp:posOffset>
            </wp:positionV>
            <wp:extent cx="85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-933450</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-916940</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p>
      <w:pPr>
        <w:jc w:val="center"/>
        <w:ind w:left="5680"/>
        <w:spacing w:after="0"/>
        <w:rPr>
          <w:sz w:val="20"/>
          <w:szCs w:val="20"/>
          <w:color w:val="auto"/>
        </w:rPr>
      </w:pPr>
      <w:r>
        <w:rPr>
          <w:rFonts w:ascii="Times New Roman" w:cs="Times New Roman" w:eastAsia="Times New Roman" w:hAnsi="Times New Roman"/>
          <w:sz w:val="14"/>
          <w:szCs w:val="14"/>
          <w:b w:val="1"/>
          <w:bCs w:val="1"/>
          <w:color w:val="auto"/>
        </w:rPr>
        <w:t>December 31, 2024</w:t>
      </w:r>
    </w:p>
    <w:tbl>
      <w:tblPr>
        <w:tblLayout w:type="fixed"/>
        <w:tblInd w:w="0" w:type="dxa"/>
        <w:tblCellMar>
          <w:top w:w="0" w:type="dxa"/>
          <w:left w:w="0" w:type="dxa"/>
          <w:bottom w:w="0" w:type="dxa"/>
          <w:right w:w="0" w:type="dxa"/>
        </w:tblCellMar>
      </w:tblPr>
      <w:tr>
        <w:trPr>
          <w:trHeight w:val="117"/>
        </w:trPr>
        <w:tc>
          <w:tcPr>
            <w:tcW w:w="58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95"/>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215"/>
              <w:spacing w:after="0" w:line="117"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45,722</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45,722</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12,488</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12,490</w:t>
            </w:r>
          </w:p>
        </w:tc>
        <w:tc>
          <w:tcPr>
            <w:tcW w:w="0" w:type="dxa"/>
            <w:vAlign w:val="bottom"/>
          </w:tcPr>
          <w:p>
            <w:pPr>
              <w:spacing w:after="0"/>
              <w:rPr>
                <w:sz w:val="1"/>
                <w:szCs w:val="1"/>
                <w:color w:val="auto"/>
              </w:rPr>
            </w:pPr>
          </w:p>
        </w:tc>
      </w:tr>
      <w:tr>
        <w:trPr>
          <w:trHeight w:val="20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equivalents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58,210</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58,212</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60" w:type="dxa"/>
            <w:vAlign w:val="bottom"/>
          </w:tcPr>
          <w:p>
            <w:pPr>
              <w:spacing w:after="0"/>
              <w:rPr>
                <w:sz w:val="18"/>
                <w:szCs w:val="18"/>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Government agency securities</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11,260</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11,282</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168,925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169,031</w:t>
            </w:r>
          </w:p>
        </w:tc>
        <w:tc>
          <w:tcPr>
            <w:tcW w:w="0" w:type="dxa"/>
            <w:vAlign w:val="bottom"/>
          </w:tcPr>
          <w:p>
            <w:pPr>
              <w:spacing w:after="0"/>
              <w:rPr>
                <w:sz w:val="1"/>
                <w:szCs w:val="1"/>
                <w:color w:val="auto"/>
              </w:rPr>
            </w:pPr>
          </w:p>
        </w:tc>
      </w:tr>
      <w:tr>
        <w:trPr>
          <w:trHeight w:val="209"/>
        </w:trPr>
        <w:tc>
          <w:tcPr>
            <w:tcW w:w="582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182,681</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182,809</w:t>
            </w:r>
          </w:p>
        </w:tc>
        <w:tc>
          <w:tcPr>
            <w:tcW w:w="0" w:type="dxa"/>
            <w:vAlign w:val="bottom"/>
          </w:tcPr>
          <w:p>
            <w:pPr>
              <w:spacing w:after="0"/>
              <w:rPr>
                <w:sz w:val="1"/>
                <w:szCs w:val="1"/>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240,891</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241,021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-1019175</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-1019175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-1019175</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There were no sales of marketable securities during the three and six months ended June 30, 2025. As of June 30, 2025, the Company held 18 debt securities that were in an unrealized loss position for less than 12 months with an aggregate fair value of $75.5 million. As of June 30, 2025, the Company held no debt securities that were in an unrealized loss position for greater than 12 months. As of June 30, 2025, the aggregate fair value of marketable securities with a remaining contractual maturity of greater than one year was $60.9 million.</w:t>
      </w:r>
    </w:p>
    <w:p>
      <w:pPr>
        <w:spacing w:after="0" w:line="1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the intent and ability to hold its debt securities until recovery. As a result, the Company did not record any charges for credit-related impairments for its marketable securities for the three and six months ended June 30, 2025</w:t>
      </w:r>
      <w:r>
        <w:rPr>
          <w:rFonts w:ascii="Times New Roman" w:cs="Times New Roman" w:eastAsia="Times New Roman" w:hAnsi="Times New Roman"/>
          <w:sz w:val="18"/>
          <w:szCs w:val="18"/>
          <w:color w:val="212529"/>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9,909</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9,844</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7,121</w:t>
            </w: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18,157</w:t>
            </w: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(14,257)</w:t>
            </w: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-453390</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-170815</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June 30, 2025 and 2024 was $0.3 million and $0.4 million, respectively. Depreciation expense for the six months ended June 30, 2025 and 2024 was $0.7 million and $0.9 million, respectively.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Additional Balance Sheet Detail</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7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receivable</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Prepaid sign-on bonuses subject to vesting provisions</w:t>
            </w: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49"/>
        </w:trPr>
        <w:tc>
          <w:tcPr>
            <w:tcW w:w="1700" w:type="dxa"/>
            <w:vAlign w:val="bottom"/>
          </w:tcPr>
          <w:p>
            <w:pPr>
              <w:spacing w:after="0"/>
              <w:rPr>
                <w:sz w:val="21"/>
                <w:szCs w:val="21"/>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680" w:type="dxa"/>
            <w:vAlign w:val="bottom"/>
          </w:tcPr>
          <w:p>
            <w:pPr>
              <w:spacing w:after="0"/>
              <w:rPr>
                <w:sz w:val="21"/>
                <w:szCs w:val="21"/>
                <w:color w:val="auto"/>
              </w:rPr>
            </w:pPr>
          </w:p>
        </w:tc>
      </w:tr>
      <w:tr>
        <w:trPr>
          <w:trHeight w:val="629"/>
        </w:trPr>
        <w:tc>
          <w:tcPr>
            <w:tcW w:w="1700" w:type="dxa"/>
            <w:vAlign w:val="bottom"/>
          </w:tcPr>
          <w:p>
            <w:pPr>
              <w:spacing w:after="0"/>
              <w:rPr>
                <w:sz w:val="24"/>
                <w:szCs w:val="24"/>
                <w:color w:val="auto"/>
              </w:rPr>
            </w:pPr>
          </w:p>
        </w:tc>
        <w:tc>
          <w:tcPr>
            <w:tcW w:w="3860" w:type="dxa"/>
            <w:vAlign w:val="bottom"/>
            <w:tcBorders>
              <w:top w:val="single" w:sz="8" w:color="CFF0FC"/>
            </w:tcBorders>
          </w:tcPr>
          <w:p>
            <w:pPr>
              <w:spacing w:after="0"/>
              <w:rPr>
                <w:sz w:val="24"/>
                <w:szCs w:val="24"/>
                <w:color w:val="auto"/>
              </w:rPr>
            </w:pPr>
          </w:p>
        </w:tc>
        <w:tc>
          <w:tcPr>
            <w:tcW w:w="1520" w:type="dxa"/>
            <w:vAlign w:val="bottom"/>
            <w:tcBorders>
              <w:top w:val="single" w:sz="8" w:color="CFF0FC"/>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8</w:t>
            </w:r>
          </w:p>
        </w:tc>
        <w:tc>
          <w:tcPr>
            <w:tcW w:w="2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-933450</wp:posOffset>
            </wp:positionV>
            <wp:extent cx="774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-916305</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benefits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2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7,694</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-25400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Preferred Stock</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5,000,000 shares of undesignated preferred stock were authorized. No shares of preferred stock were issued or outstanding as of June 30, 2025 and December 31, 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2025 and December 31, 2024, 200,000,000 shares of common stock, $0.001 par value per share, were authorized.</w:t>
      </w:r>
    </w:p>
    <w:p>
      <w:pPr>
        <w:spacing w:after="0" w:line="22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of June 30, 2025 and December 31, 2024, the Company has reserved for future issuance the following number of shares of common stock:</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3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6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3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exercises of outstanding stock options</w:t>
            </w: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12,082,312</w:t>
            </w:r>
          </w:p>
        </w:tc>
        <w:tc>
          <w:tcPr>
            <w:tcW w:w="1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9,354,699</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w w:val="99"/>
              </w:rPr>
              <w:t>Shares reserved for vesting of restricted stock units</w:t>
            </w:r>
          </w:p>
        </w:tc>
        <w:tc>
          <w:tcPr>
            <w:tcW w:w="3600" w:type="dxa"/>
            <w:vAlign w:val="bottom"/>
          </w:tcPr>
          <w:p>
            <w:pPr>
              <w:spacing w:after="0"/>
              <w:rPr>
                <w:sz w:val="18"/>
                <w:szCs w:val="18"/>
                <w:color w:val="auto"/>
              </w:rPr>
            </w:pP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70,669</w:t>
            </w:r>
          </w:p>
        </w:tc>
        <w:tc>
          <w:tcPr>
            <w:tcW w:w="15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43,072</w:t>
            </w: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w:t>
            </w: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Incentive Plan</w:t>
            </w: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4,445,551</w:t>
            </w:r>
          </w:p>
        </w:tc>
        <w:tc>
          <w:tcPr>
            <w:tcW w:w="1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5,207,362</w:t>
            </w: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2019</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2,052,030</w:t>
            </w:r>
          </w:p>
        </w:tc>
        <w:tc>
          <w:tcPr>
            <w:tcW w:w="15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1,671,843</w:t>
            </w:r>
          </w:p>
        </w:tc>
      </w:tr>
      <w:tr>
        <w:trPr>
          <w:trHeight w:val="216"/>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future issuance under the 2022</w:t>
            </w:r>
          </w:p>
        </w:tc>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Inducement Stock Incentive Plan</w:t>
            </w:r>
          </w:p>
        </w:tc>
        <w:tc>
          <w:tcPr>
            <w:tcW w:w="13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1,827,909</w:t>
            </w:r>
          </w:p>
        </w:tc>
        <w:tc>
          <w:tcPr>
            <w:tcW w:w="15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1,896,209</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reserved for future issuance for pre-funded warrants</w:t>
            </w:r>
          </w:p>
        </w:tc>
        <w:tc>
          <w:tcPr>
            <w:tcW w:w="13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8,500,000</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8,500,000</w:t>
            </w:r>
          </w:p>
        </w:tc>
      </w:tr>
      <w:tr>
        <w:trPr>
          <w:trHeight w:val="250"/>
        </w:trPr>
        <w:tc>
          <w:tcPr>
            <w:tcW w:w="3680" w:type="dxa"/>
            <w:vAlign w:val="bottom"/>
            <w:tcBorders>
              <w:bottom w:val="single" w:sz="8" w:color="CFF0FC"/>
            </w:tcBorders>
            <w:shd w:val="clear" w:color="auto" w:fill="CFF0FC"/>
          </w:tcPr>
          <w:p>
            <w:pPr>
              <w:spacing w:after="0"/>
              <w:rPr>
                <w:sz w:val="21"/>
                <w:szCs w:val="21"/>
                <w:color w:val="auto"/>
              </w:rPr>
            </w:pPr>
          </w:p>
        </w:tc>
        <w:tc>
          <w:tcPr>
            <w:tcW w:w="36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28,978,471</w:t>
            </w:r>
          </w:p>
        </w:tc>
        <w:tc>
          <w:tcPr>
            <w:tcW w:w="1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26,673,185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August 2024, the Company entered into separate exchange agreements with RA Capital Healthcare Fund, L.P. (“RA Capital”) and another existing institutional stockholder, pursuant to which (i) RA Capital exchanged 8,500,000 shares of the Company's common stock for a pre-funded warrant to acquire 8,500,000 shares of the Company's common stock and (ii) the other existing institutional stockholder exchanged an aggregate of 850,000 shares of the Company's common stock, for pre-funded warrants to acquire an aggregate of 850,000 shares of the Company's common stock. The aggregate 9,350,000 shares of common stock subject to the exchange agreements were retired on the date of the exchanges. As of June 30, 2025, 850,000 pre-funded warrants have been exercised.</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pre-funded warrants have an exercise price of $0.001 per underlying share of common stock, are immediately exercisable and have no expiration date. The number of shares of the Company’s common stock issuable upon exercise of each pre-funded warrant is subject to adjustment upon certain corporate events, including certain stock dividends and splits, combinations, reclassifications, and certain other events. The pre-funded warrants include a beneficial ownership blocker that provides that the holder may not exercise (nor may we allow the exercise) if upon giving effect to such exercise, it would cause the aggregate number of shares of the Company’s common stock beneficially owned by the holder (together with affiliates and any other persons whose beneficial ownership of the Company’s common stock would be aggregated for the purposes of Section 13(d) of the Securities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4" w:name="page15"/>
    <w:bookmarkEnd w:id="14"/>
    <w:p>
      <w:pPr>
        <w:ind w:right="80"/>
        <w:spacing w:after="0" w:line="261" w:lineRule="auto"/>
        <w:rPr>
          <w:sz w:val="20"/>
          <w:szCs w:val="20"/>
          <w:color w:val="auto"/>
        </w:rPr>
      </w:pPr>
      <w:r>
        <w:rPr>
          <w:rFonts w:ascii="Times New Roman" w:cs="Times New Roman" w:eastAsia="Times New Roman" w:hAnsi="Times New Roman"/>
          <w:sz w:val="18"/>
          <w:szCs w:val="18"/>
          <w:color w:val="auto"/>
        </w:rPr>
        <w:t>Exchange Act of 1934, as amended) to exceed 9.99% of the total number of then issued and outstanding shares of the Company’s common stock as determined in accordance with the terms of the pre-funded warrant. This threshold may be increased or decreased upon 61 days’ prior notice at the discretion of RA Capital, but not in excess of 19.99% or, with respect to the other existing institutional stockholder’s pre-funded warrants, not in excess of 9.99%.</w:t>
      </w:r>
    </w:p>
    <w:p>
      <w:pPr>
        <w:spacing w:after="0" w:line="11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assessed the pre-funded warrants for appropriate classification as either equity or liability pursuant to the Company’s accounting policy described in Note 2, “Summary of Significant Accounting Policies” in the Annual Report on Form 10-K. The Company determined the pre-funded warrants are freestanding instruments that do not meet the definition of a liability pursuant to ASC 480 and do not meet the definition of a derivative pursuant to ASC 815. The pre-funded warrants are indexed to the Company’s common stock and meet all other conditions for equity classification under ASC 480 and ASC 815. Accordingly, the pre-funded warrants are classified as equity and are accounted for as a component of additional paid-in capital at the time of issuance. The Company also determined that the pre-funded warrants should be included in the determination of basic and diluted earnings per share.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Stock Incentive Plan</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June 30, 2025, no shares remained available for future issuance under the 2016 Plan. Any options or other awards outstanding under the 2016 Plan remain outstanding and effective.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2025, the number of shares reserved for issuance under the 2019 Plan was increased by 2,000,000 shares. As of June 30, 2025, there were 4,445,551 shares available for future issuance under the 2019 Plan.</w:t>
      </w:r>
    </w:p>
    <w:p>
      <w:pPr>
        <w:spacing w:after="0" w:line="19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Inducement Stock Incentive Plan</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of shares reserved for issuance by 1,400,000 shares. Effective June 17, 2024, the Company’s board of directors amended the Inducement Plan to increase the number of shares reserved for issuance by 1,000,000 shares. As of June 30, 2025, there were 1,827,909 shares available for future issuance under the Inducement Plan.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six months ended June 30, 2025:</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16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080" w:type="dxa"/>
            <w:vAlign w:val="bottom"/>
            <w:tcBorders>
              <w:bottom w:val="single" w:sz="8" w:color="auto"/>
            </w:tcBorders>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11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9,354,699</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7.46</w:t>
            </w:r>
          </w:p>
        </w:tc>
        <w:tc>
          <w:tcPr>
            <w:tcW w:w="1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8.03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5,353,463</w:t>
            </w:r>
          </w:p>
        </w:tc>
        <w:tc>
          <w:tcPr>
            <w:tcW w:w="0" w:type="dxa"/>
            <w:vAlign w:val="bottom"/>
          </w:tcPr>
          <w:p>
            <w:pPr>
              <w:spacing w:after="0"/>
              <w:rPr>
                <w:sz w:val="1"/>
                <w:szCs w:val="1"/>
                <w:color w:val="auto"/>
              </w:rPr>
            </w:pPr>
          </w:p>
        </w:tc>
      </w:tr>
      <w:tr>
        <w:trPr>
          <w:trHeight w:val="216"/>
        </w:trPr>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3,603,573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(820,564)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June 30, 2025</w:t>
            </w:r>
          </w:p>
        </w:tc>
        <w:tc>
          <w:tcPr>
            <w:tcW w:w="11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12,082,312</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6.60</w:t>
            </w:r>
          </w:p>
        </w:tc>
        <w:tc>
          <w:tcPr>
            <w:tcW w:w="128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8.08</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22,168,239</w:t>
            </w:r>
          </w:p>
        </w:tc>
        <w:tc>
          <w:tcPr>
            <w:tcW w:w="0" w:type="dxa"/>
            <w:vAlign w:val="bottom"/>
          </w:tcPr>
          <w:p>
            <w:pPr>
              <w:spacing w:after="0"/>
              <w:rPr>
                <w:sz w:val="1"/>
                <w:szCs w:val="1"/>
                <w:color w:val="auto"/>
              </w:rPr>
            </w:pPr>
          </w:p>
        </w:tc>
      </w:tr>
      <w:tr>
        <w:trPr>
          <w:trHeight w:val="197"/>
        </w:trPr>
        <w:tc>
          <w:tcPr>
            <w:tcW w:w="5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June 30, 2025</w:t>
            </w:r>
          </w:p>
        </w:tc>
        <w:tc>
          <w:tcPr>
            <w:tcW w:w="1160" w:type="dxa"/>
            <w:vAlign w:val="bottom"/>
            <w:tcBorders>
              <w:bottom w:val="single" w:sz="8" w:color="auto"/>
            </w:tcBorders>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5,418,213</w:t>
            </w: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5"/>
              <w:spacing w:after="0" w:line="196" w:lineRule="exact"/>
              <w:rPr>
                <w:sz w:val="20"/>
                <w:szCs w:val="20"/>
                <w:color w:val="auto"/>
              </w:rPr>
            </w:pPr>
            <w:r>
              <w:rPr>
                <w:rFonts w:ascii="Times New Roman" w:cs="Times New Roman" w:eastAsia="Times New Roman" w:hAnsi="Times New Roman"/>
                <w:sz w:val="18"/>
                <w:szCs w:val="18"/>
                <w:color w:val="auto"/>
              </w:rPr>
              <w:t>8.46</w:t>
            </w:r>
          </w:p>
        </w:tc>
        <w:tc>
          <w:tcPr>
            <w:tcW w:w="1280" w:type="dxa"/>
            <w:vAlign w:val="bottom"/>
            <w:gridSpan w:val="2"/>
          </w:tcPr>
          <w:p>
            <w:pPr>
              <w:jc w:val="right"/>
              <w:ind w:right="28"/>
              <w:spacing w:after="0" w:line="196" w:lineRule="exact"/>
              <w:rPr>
                <w:sz w:val="20"/>
                <w:szCs w:val="20"/>
                <w:color w:val="auto"/>
              </w:rPr>
            </w:pPr>
            <w:r>
              <w:rPr>
                <w:rFonts w:ascii="Times New Roman" w:cs="Times New Roman" w:eastAsia="Times New Roman" w:hAnsi="Times New Roman"/>
                <w:sz w:val="18"/>
                <w:szCs w:val="18"/>
                <w:color w:val="auto"/>
              </w:rPr>
              <w:t>7.16</w:t>
            </w:r>
          </w:p>
        </w:tc>
        <w:tc>
          <w:tcPr>
            <w:tcW w:w="2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7,593,294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-187960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-170815</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in the three and six months ended June 30, 2025 was $5.11 per share and $3.83 per share, respectively. The weighted average grant date fair value of stock options granted in the three and six months ended June 30, 2024 was $5.79 per share and $6.17 per share, respectively. The total intrinsic value of stock options exercised during the three and six months ended June 30, 2025 was $0.2 million. The total intrinsic value of stock options exercised during the three and six months ended June 30, 2024 was $0.1 million and $0.9 million, respectively.</w:t>
      </w:r>
    </w:p>
    <w:p>
      <w:pPr>
        <w:spacing w:after="0" w:line="183"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three and six months ended June 30, 2025 and 2024 has been calculated on the date of grant using the following weighted average assumptions:</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20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2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3"/>
                <w:szCs w:val="13"/>
                <w:color w:val="auto"/>
              </w:rPr>
            </w:pPr>
          </w:p>
        </w:tc>
        <w:tc>
          <w:tcPr>
            <w:tcW w:w="12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0" w:type="dxa"/>
            <w:vAlign w:val="bottom"/>
          </w:tcPr>
          <w:p>
            <w:pPr>
              <w:spacing w:after="0"/>
              <w:rPr>
                <w:sz w:val="13"/>
                <w:szCs w:val="13"/>
                <w:color w:val="auto"/>
              </w:rPr>
            </w:pPr>
          </w:p>
        </w:tc>
        <w:tc>
          <w:tcPr>
            <w:tcW w:w="12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8"/>
        </w:trPr>
        <w:tc>
          <w:tcPr>
            <w:tcW w:w="4980" w:type="dxa"/>
            <w:vAlign w:val="bottom"/>
          </w:tcPr>
          <w:p>
            <w:pPr>
              <w:spacing w:after="0"/>
              <w:rPr>
                <w:sz w:val="12"/>
                <w:szCs w:val="12"/>
                <w:color w:val="auto"/>
              </w:rPr>
            </w:pPr>
          </w:p>
        </w:tc>
        <w:tc>
          <w:tcPr>
            <w:tcW w:w="120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20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120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24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4980" w:type="dxa"/>
            <w:vAlign w:val="bottom"/>
          </w:tcPr>
          <w:p>
            <w:pPr>
              <w:spacing w:after="0"/>
              <w:rPr>
                <w:sz w:val="15"/>
                <w:szCs w:val="15"/>
                <w:color w:val="auto"/>
              </w:rPr>
            </w:pPr>
          </w:p>
        </w:tc>
        <w:tc>
          <w:tcPr>
            <w:tcW w:w="120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Pr>
          <w:p>
            <w:pPr>
              <w:spacing w:after="0"/>
              <w:rPr>
                <w:sz w:val="15"/>
                <w:szCs w:val="15"/>
                <w:color w:val="auto"/>
              </w:rPr>
            </w:pPr>
          </w:p>
        </w:tc>
        <w:tc>
          <w:tcPr>
            <w:tcW w:w="12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0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00" w:type="dxa"/>
            <w:vAlign w:val="bottom"/>
            <w:shd w:val="clear" w:color="auto" w:fill="CFF0FC"/>
          </w:tcPr>
          <w:p>
            <w:pPr>
              <w:jc w:val="right"/>
              <w:ind w:right="118"/>
              <w:spacing w:after="0"/>
              <w:rPr>
                <w:sz w:val="20"/>
                <w:szCs w:val="20"/>
                <w:color w:val="auto"/>
              </w:rPr>
            </w:pPr>
            <w:r>
              <w:rPr>
                <w:rFonts w:ascii="Times New Roman" w:cs="Times New Roman" w:eastAsia="Times New Roman" w:hAnsi="Times New Roman"/>
                <w:sz w:val="18"/>
                <w:szCs w:val="18"/>
                <w:color w:val="auto"/>
              </w:rPr>
              <w:t>5.9</w:t>
            </w:r>
          </w:p>
        </w:tc>
        <w:tc>
          <w:tcPr>
            <w:tcW w:w="13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5.8</w:t>
            </w: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6.0</w:t>
            </w:r>
          </w:p>
        </w:tc>
        <w:tc>
          <w:tcPr>
            <w:tcW w:w="1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w:t>
            </w:r>
          </w:p>
        </w:tc>
      </w:tr>
    </w:tbl>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200" w:firstLine="509"/>
        <w:spacing w:after="0" w:line="313" w:lineRule="auto"/>
        <w:rPr>
          <w:sz w:val="20"/>
          <w:szCs w:val="20"/>
          <w:color w:val="auto"/>
        </w:rPr>
      </w:pPr>
      <w:r>
        <w:rPr>
          <w:rFonts w:ascii="Times New Roman" w:cs="Times New Roman" w:eastAsia="Times New Roman" w:hAnsi="Times New Roman"/>
          <w:sz w:val="18"/>
          <w:szCs w:val="18"/>
          <w:color w:val="auto"/>
        </w:rPr>
        <w:t>The Company has also granted restricted stock units. The shares of common stock underlying restricted stock units typically vest over a four-year period. The shares of common stock are recorded in stockholders’ equity as they vest.</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 during the six months ended June 30, 2025:</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5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15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43,072</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57,105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(19,505)</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16"/>
        </w:trPr>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June 30, 2025</w:t>
            </w:r>
          </w:p>
        </w:tc>
        <w:tc>
          <w:tcPr>
            <w:tcW w:w="15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70,669</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-25400</wp:posOffset>
            </wp:positionV>
            <wp:extent cx="102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1028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right="500" w:firstLine="509"/>
        <w:spacing w:after="0" w:line="280" w:lineRule="auto"/>
        <w:rPr>
          <w:sz w:val="20"/>
          <w:szCs w:val="20"/>
          <w:color w:val="auto"/>
        </w:rPr>
      </w:pPr>
      <w:r>
        <w:rPr>
          <w:rFonts w:ascii="Times New Roman" w:cs="Times New Roman" w:eastAsia="Times New Roman" w:hAnsi="Times New Roman"/>
          <w:sz w:val="18"/>
          <w:szCs w:val="18"/>
          <w:color w:val="auto"/>
        </w:rPr>
        <w:t>The total compensation cost recognized in the statements of operations and comprehensive loss associated with all stock-based compensation awards granted by the Company is as follows (in thousands)</w:t>
      </w:r>
      <w:r>
        <w:rPr>
          <w:rFonts w:ascii="Times New Roman" w:cs="Times New Roman" w:eastAsia="Times New Roman" w:hAnsi="Times New Roman"/>
          <w:sz w:val="21"/>
          <w:szCs w:val="21"/>
          <w:color w:val="auto"/>
        </w:rPr>
        <w:t>:</w:t>
      </w:r>
    </w:p>
    <w:p>
      <w:pPr>
        <w:spacing w:after="0" w:line="16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4"/>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r>
      <w:tr>
        <w:trPr>
          <w:trHeight w:val="142"/>
        </w:trPr>
        <w:tc>
          <w:tcPr>
            <w:tcW w:w="4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2,320</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2,681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4,503</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5,268</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1,663</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2,992</w:t>
            </w:r>
          </w:p>
        </w:tc>
      </w:tr>
      <w:tr>
        <w:trPr>
          <w:trHeight w:val="22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2,875</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4,344</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6,042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8,260</w:t>
            </w: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-25400</wp:posOffset>
            </wp:positionV>
            <wp:extent cx="77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-8255</wp:posOffset>
            </wp:positionV>
            <wp:extent cx="774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768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an aggregate of $26.1 million of unrecognized stock-based compensation expense, which is expected to be recognized over a weighted average period of 2.56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Employee Stock Purchase Plan</w:t>
      </w:r>
    </w:p>
    <w:p>
      <w:pPr>
        <w:spacing w:after="0" w:line="22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2025, the number of shares reserved for issuance under the 2019 ESPP was increased by 428,571 shares. As of June 30, 2025, there were 2,052,030 shares available for future issuance under the ESPP.</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Agreement</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May 2024, the Company entered into a collaboration and license agreement (the “Sanofi Agreement”) with Genzyme Corporation (“Sanofi”) pursuant to which the Company granted Sanofi an exclusive license under certain intellectual property rights to commercialize losmapimod, an oral small molecule for the treatment of facioscapulohumeral muscular dystrophy (“FSHD”), outside of the United States. Per the terms of the agreement, Sanofi made an upfront payment of $80.0 million to the Company. In September 2024, the Company announced topline data showing that it did not demonstrate a statistically significant difference between losmapimod and placebo on the primary endpoint in the Phase 3 REACH trial, and thereafter discontinued development. On December 18, 2024, the Company received written notice of Sanofi’s election to terminate for convenience the collaboration and license agreement. In accordance with the agreement, the termination became effective on April 17, 2025, which is 120 days following the date of receipt of the notice by the Company.</w:t>
      </w:r>
    </w:p>
    <w:p>
      <w:pPr>
        <w:spacing w:after="0" w:line="19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the termination date, the agreement was terminated in its entirety, and the Company is not entitled to receive any further milestone payments, royalties, or global development cost reimbursement.</w:t>
      </w:r>
    </w:p>
    <w:p>
      <w:pPr>
        <w:spacing w:after="0" w:line="162" w:lineRule="exact"/>
        <w:rPr>
          <w:sz w:val="20"/>
          <w:szCs w:val="20"/>
          <w:color w:val="auto"/>
        </w:rPr>
      </w:pPr>
    </w:p>
    <w:p>
      <w:pPr>
        <w:ind w:right="920" w:firstLine="509"/>
        <w:spacing w:after="0" w:line="282" w:lineRule="auto"/>
        <w:rPr>
          <w:sz w:val="20"/>
          <w:szCs w:val="20"/>
          <w:color w:val="auto"/>
        </w:rPr>
      </w:pPr>
      <w:r>
        <w:rPr>
          <w:rFonts w:ascii="Times New Roman" w:cs="Times New Roman" w:eastAsia="Times New Roman" w:hAnsi="Times New Roman"/>
          <w:sz w:val="18"/>
          <w:szCs w:val="18"/>
          <w:color w:val="auto"/>
        </w:rPr>
        <w:t>The Company determined that the Sanofi Agreement contained three material promises: (i) the license granted to Sanofi to develop and commercialize losmapimod outside of the United States (the “losmapimod license”); (ii) the parties’ joint global</w:t>
      </w: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7" w:name="page18"/>
    <w:bookmarkEnd w:id="17"/>
    <w:p>
      <w:pPr>
        <w:ind w:right="240"/>
        <w:spacing w:after="0" w:line="261" w:lineRule="auto"/>
        <w:rPr>
          <w:sz w:val="20"/>
          <w:szCs w:val="20"/>
          <w:color w:val="auto"/>
        </w:rPr>
      </w:pPr>
      <w:r>
        <w:rPr>
          <w:rFonts w:ascii="Times New Roman" w:cs="Times New Roman" w:eastAsia="Times New Roman" w:hAnsi="Times New Roman"/>
          <w:sz w:val="18"/>
          <w:szCs w:val="18"/>
          <w:color w:val="auto"/>
        </w:rPr>
        <w:t>development activities for losmapimod; and (iii) the Sanofi territory-specific manufacturing activities for losmapimod, subject to the terms of a supply agreement. The Company considered the guidance in ASC 606 to determine which, if any, of the components of the losmapimod agreement are performance obligations with a customer and concluded that the losmapimod license and the Sanofi territory-specific manufacturing activities are within the scope of ASC 606 because Sanofi is the Company’s customer in those transactions.</w:t>
      </w:r>
    </w:p>
    <w:p>
      <w:pPr>
        <w:spacing w:after="0" w:line="112"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the losmapimod license under ASC 606 and concluded that the losmapimod license is a functional intellectual property license and is a distinct performance obligation. The Company determined that Sanofi benefited from the losmapimod license at the time of grant, and therefore the related performance obligation is satisfied at a point in time.</w:t>
      </w:r>
    </w:p>
    <w:p>
      <w:pPr>
        <w:spacing w:after="0" w:line="9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Company evaluated the Sanofi territory-specific manufacturing activities under ASC 606 and identified one material promise associated with manufacturing activities related to development and commercial supply of losmapimod. Given that Sanofi is not obligated to purchase any minimum amount or quantities of the development and commercial supply from the Company, the Company concluded that, for the purpose of ASC 606, the provision of manufacturing activities related to development and commercial supply of losmapimod in the Sanofi territory was an option but not a performance obligation of the Company at the inception of the Sanofi agreement and would have been accounted for if and when exercised. The Company also concluded that there is no separate material right in connection with the development and commercial supply of losmapimod, as the expected pricing was not issued at a significant and incremental discount. Therefore, the manufacturing activities were excluded as a performance obligation at the outset of the arrangement. Additionally, the Company was entitled to sales milestones and royalties from Sanofi upon future sales of losmapimod in the Sanofi territory, and revenue would have been recognized when the related sales occur. Costs that are incurred associated with the Sanofi territory-specific manufacturing activities are reimbursable from Sanofi and will be recognized as revenue.</w:t>
      </w:r>
    </w:p>
    <w:p>
      <w:pPr>
        <w:spacing w:after="0" w:line="12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the purposes of ASC 606, the transaction price of the Sanofi Agreement as of the outset of the arrangement consists of the upfront cash payment of $80.0 million, which was allocated to the performance obligation related to the losmapimod license and recognized as revenue during the year ended December 31, 2024. During the six months ended June 30, 2025, the Company recognized no revenue associated with the upfront license payment.</w:t>
      </w:r>
    </w:p>
    <w:p>
      <w:pPr>
        <w:spacing w:after="0" w:line="10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For the parties’ participation in global development for losmapimod, the Company concluded that those activities and cost-sharing payments related to such activities are within the scope of ASC 808, as both parties are active participants in the development activities and are exposed to significant risks and rewards of those activities under the Sanofi agreement. The Company assessed its relationship with Sanofi, the economics and nature of the global development activities, and the contractual terms of the Sanofi Agreement and concluded that, in accordance with its policy, payments to or reimbursements from Sanofi related to the global development activities will be accounted for as an increase to or reduction of research and development expenses. During the three and six months ended June 30, 2025, the Company recorded a reduction in research and development expenses in connection with global development activities for losmapimod of less than $0.1 million and $1.0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CAMP4 Agreement</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July 2023, the Company entered into a license agreement (the “CAMP4 Agreement”) with CAMP4 Therapeutics Corporation (“CAMP4”) pursuant to which the Company received a worldwide exclusive license (including the right to sublicense) from CAMP4 to rights under its Diamond-Blackfan Anemia (“DBA”) program, which includes certain small molecule compounds, composition of matter and method of use patent rights, and know-how for the Company to research, develop, manufacture, use, commercialize or otherwise exploit therapeutic products in any indication, including the grant of a sublicense under certain intellectual property rights that CAMP4 has licensed under an agreement with Children’s Medical Center Corporation (“CMCC”).</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made an undisclosed upfront non-refundable, non-creditable payment to CAMP4. If the Company succeeds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w:t>
      </w:r>
    </w:p>
    <w:p>
      <w:pPr>
        <w:spacing w:after="0" w:line="3"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all valid patent claims covering the compounds in such country, (ii) the expiration of all regulatory exclusivities in such country, and</w:t>
      </w:r>
    </w:p>
    <w:p>
      <w:pPr>
        <w:spacing w:after="0" w:line="9" w:lineRule="exact"/>
        <w:rPr>
          <w:rFonts w:ascii="Times New Roman" w:cs="Times New Roman" w:eastAsia="Times New Roman" w:hAnsi="Times New Roman"/>
          <w:sz w:val="18"/>
          <w:szCs w:val="18"/>
          <w:color w:val="auto"/>
        </w:rPr>
      </w:pPr>
    </w:p>
    <w:p>
      <w:pPr>
        <w:ind w:right="40" w:firstLine="8"/>
        <w:spacing w:after="0" w:line="255"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years following the first commercial sale in such country. The Company is responsible for the costs associated with the development and regulatory approvals of licensed products. In April 2025, the Company achieved a $0.6 million preclinical milestone that the Company recorded as research and development expense during the three and six months ended June 30, 2025.</w:t>
      </w:r>
    </w:p>
    <w:p>
      <w:pPr>
        <w:spacing w:after="0" w:line="18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license agreement continues on a country-by-country and licensed product-by-licensed product basis until the expiration of the royalty term in each country, at which time the license agreement expires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220"/>
        <w:spacing w:after="0" w:line="255" w:lineRule="auto"/>
        <w:rPr>
          <w:sz w:val="20"/>
          <w:szCs w:val="20"/>
          <w:color w:val="auto"/>
        </w:rPr>
      </w:pPr>
      <w:r>
        <w:rPr>
          <w:rFonts w:ascii="Times New Roman" w:cs="Times New Roman" w:eastAsia="Times New Roman" w:hAnsi="Times New Roman"/>
          <w:sz w:val="18"/>
          <w:szCs w:val="18"/>
          <w:color w:val="auto"/>
        </w:rPr>
        <w:t>with respect to such licensed product in such country and the Company will have a fully-paid up, royalty-free and perpetual license to the licensed patent rights and know-how with respect to such licensed product in such country. CAMP4 has the right to terminate the license agreement in the event of the Company’s non-payment (subject to cure periods and tolling for bona fide disputes). CAMP4 may also terminate the license agreement if the Company challenges certain patents sublicensed to the Company by CAMP4. Either party may terminate the license agreement in its entirety for the other party’s material breach if such other party fails to cure the breach. Either party may also terminate the agreement in its entirety upon certain insolvency events involving the other party. The Company has the right to terminate the license agreement with CAMP4 for any or no reason upon prior written notice to CAMP4.</w:t>
      </w:r>
    </w:p>
    <w:p>
      <w:pPr>
        <w:spacing w:after="0" w:line="18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recognizes development and regulatory milestone payments when the underlying contingency is resolved and the consideration is paid or becomes payable. The milestone payments are capitalized or expensed depending on the nature of the associated asset as of the date of recognition.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26 Landsdowne Street</w:t>
      </w:r>
    </w:p>
    <w:p>
      <w:pPr>
        <w:spacing w:after="0" w:line="227"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June 30, 2025 and December 31, 2024. Operating lease expense associated with this lease for the three and six months ended June 30, 2025 was approximately $0.5 million and $1.0 million, respectively. Variable lease expense associated with this lease for the three and six months ended June 30, 2025 was approximately $0.3 million and $0.6 million, respectively.</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future minimum lease payments associated with the 26 Landsdowne Street lease as of June 30, 2025,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1360" w:type="dxa"/>
            <w:vAlign w:val="bottom"/>
          </w:tcPr>
          <w:p>
            <w:pPr>
              <w:spacing w:after="0"/>
              <w:rPr>
                <w:sz w:val="2"/>
                <w:szCs w:val="2"/>
                <w:color w:val="auto"/>
              </w:rPr>
            </w:pPr>
          </w:p>
        </w:tc>
        <w:tc>
          <w:tcPr>
            <w:tcW w:w="7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3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2025</w:t>
            </w:r>
            <w:r>
              <w:rPr>
                <w:rFonts w:ascii="Times New Roman" w:cs="Times New Roman" w:eastAsia="Times New Roman" w:hAnsi="Times New Roman"/>
                <w:sz w:val="24"/>
                <w:szCs w:val="24"/>
                <w:color w:val="auto"/>
                <w:vertAlign w:val="superscript"/>
              </w:rPr>
              <w:t>(1)</w:t>
            </w:r>
          </w:p>
        </w:tc>
        <w:tc>
          <w:tcPr>
            <w:tcW w:w="7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 w:type="dxa"/>
            <w:vAlign w:val="bottom"/>
            <w:shd w:val="clear" w:color="auto" w:fill="CFF0FC"/>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78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Pr>
          <w:p>
            <w:pPr>
              <w:spacing w:after="0"/>
              <w:rPr>
                <w:sz w:val="18"/>
                <w:szCs w:val="18"/>
                <w:color w:val="auto"/>
              </w:rPr>
            </w:pPr>
          </w:p>
        </w:tc>
      </w:tr>
      <w:tr>
        <w:trPr>
          <w:trHeight w:val="210"/>
        </w:trPr>
        <w:tc>
          <w:tcPr>
            <w:tcW w:w="9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7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8,309</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(738)</w:t>
            </w:r>
          </w:p>
        </w:tc>
      </w:tr>
      <w:tr>
        <w:trPr>
          <w:trHeight w:val="250"/>
        </w:trPr>
        <w:tc>
          <w:tcPr>
            <w:tcW w:w="92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78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15"/>
        </w:trPr>
        <w:tc>
          <w:tcPr>
            <w:tcW w:w="1360" w:type="dxa"/>
            <w:vAlign w:val="bottom"/>
            <w:tcBorders>
              <w:bottom w:val="single" w:sz="8" w:color="auto"/>
            </w:tcBorders>
          </w:tcPr>
          <w:p>
            <w:pPr>
              <w:spacing w:after="0"/>
              <w:rPr>
                <w:sz w:val="10"/>
                <w:szCs w:val="10"/>
                <w:color w:val="auto"/>
              </w:rPr>
            </w:pPr>
          </w:p>
        </w:tc>
        <w:tc>
          <w:tcPr>
            <w:tcW w:w="7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-102235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 w:lineRule="exact"/>
        <w:rPr>
          <w:sz w:val="20"/>
          <w:szCs w:val="20"/>
          <w:color w:val="auto"/>
        </w:rPr>
      </w:pPr>
    </w:p>
    <w:p>
      <w:pPr>
        <w:ind w:left="620" w:hanging="252"/>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for the six months ending December 31, 2025.</w:t>
      </w:r>
    </w:p>
    <w:p>
      <w:pPr>
        <w:spacing w:after="0" w:line="32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June 30, 2025 or December 31, 2024.</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Other than attorneys’ fees and costs related to the defense of a securities action, which closed in March 28, 2025, no such costs have been incurred during the three and six months ended June 30,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$0.1 million and $0.2 million, respectively, in contributions to the 401(k) Plan for the three and six months ended June 30, 2025. The Company made $0.2 million and $0.4 million, respectively, in contributions to the 401(k) Plan for the three and six months ended June 30,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Income per Share</w:t>
      </w:r>
    </w:p>
    <w:p>
      <w:pPr>
        <w:spacing w:after="0" w:line="22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Basic net (loss) income per share is calculated by dividing net (loss) income by the weighted average number of common shares outstanding during the period, including the 8,500,000 shares of common stock issuable upon the exercise of pre-funded warrants that are exercisable for little or no consideration, as described in Note 8. Diluted net (loss) income per share is calculated by dividing the net (loss) income by the weighted-average number of common equivalent shares outstanding for the period, including the 8,500,000 shares of common stock issuable upon the exercise of pre-funded warrants that are exercisable for little or no consideration as well as any dilutive effect from outstanding stock options, unvested restricted stock, restricted stock units, and employee stock purchase plan stock using the treasury stock method. In periods with reported net operating losses, all common stock equivalents are deemed anti-dilutive such that basic net loss per share and diluted net loss per share are equal.</w:t>
      </w:r>
    </w:p>
    <w:p>
      <w:pPr>
        <w:spacing w:after="0" w:line="18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calculation of net (loss) income and the number of shares used to compute basic and diluted net (loss) income per share for the three and six months ended June 30, 2025 and 2024 are as follows (in thousands, except per share data):</w:t>
      </w:r>
    </w:p>
    <w:p>
      <w:pPr>
        <w:spacing w:after="0" w:line="35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5"/>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basic and diluted</w:t>
            </w: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(17,296)</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(34,951)</w:t>
            </w:r>
          </w:p>
        </w:tc>
        <w:tc>
          <w:tcPr>
            <w:tcW w:w="5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62,205</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options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Restricted stock units</w:t>
            </w: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4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62,544</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63,587</w:t>
            </w: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62,506</w:t>
            </w:r>
          </w:p>
        </w:tc>
        <w:tc>
          <w:tcPr>
            <w:tcW w:w="1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63,684</w:t>
            </w:r>
          </w:p>
        </w:tc>
        <w:tc>
          <w:tcPr>
            <w:tcW w:w="100" w:type="dxa"/>
            <w:vAlign w:val="bottom"/>
            <w:tcBorders>
              <w:top w:val="single" w:sz="8" w:color="CFF0F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(0.56)</w:t>
            </w:r>
          </w:p>
        </w:tc>
        <w:tc>
          <w:tcPr>
            <w:tcW w:w="5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per share, diluted</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(0.56)</w:t>
            </w: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-431165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-431165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-431165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-431165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calculation of diluted net (loss) income per share for the periods indicated because including them would have had an anti-dilutive effect: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276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3840" w:type="dxa"/>
            <w:vAlign w:val="bottom"/>
            <w:gridSpan w:val="5"/>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11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720" w:type="dxa"/>
            <w:vAlign w:val="bottom"/>
            <w:tcBorders>
              <w:bottom w:val="single" w:sz="8" w:color="auto"/>
            </w:tcBorders>
            <w:gridSpan w:val="3"/>
          </w:tcPr>
          <w:p>
            <w:pPr>
              <w:jc w:val="center"/>
              <w:ind w:left="81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bottom w:val="single" w:sz="8" w:color="auto"/>
            </w:tcBorders>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5"/>
                <w:szCs w:val="15"/>
                <w:color w:val="auto"/>
              </w:rPr>
            </w:pPr>
          </w:p>
        </w:tc>
        <w:tc>
          <w:tcPr>
            <w:tcW w:w="112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320" w:type="dxa"/>
            <w:vAlign w:val="bottom"/>
            <w:tcBorders>
              <w:bottom w:val="single" w:sz="8" w:color="auto"/>
            </w:tcBorders>
          </w:tcPr>
          <w:p>
            <w:pPr>
              <w:jc w:val="right"/>
              <w:ind w:right="4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300" w:type="dxa"/>
            <w:vAlign w:val="bottom"/>
            <w:tcBorders>
              <w:bottom w:val="single" w:sz="8" w:color="auto"/>
            </w:tcBorders>
          </w:tcPr>
          <w:p>
            <w:pPr>
              <w:jc w:val="right"/>
              <w:ind w:right="4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Pr>
          <w:p>
            <w:pPr>
              <w:spacing w:after="0"/>
              <w:rPr>
                <w:sz w:val="12"/>
                <w:szCs w:val="12"/>
                <w:color w:val="auto"/>
              </w:rPr>
            </w:pPr>
          </w:p>
        </w:tc>
      </w:tr>
      <w:tr>
        <w:trPr>
          <w:trHeight w:val="210"/>
        </w:trPr>
        <w:tc>
          <w:tcPr>
            <w:tcW w:w="114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3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12,082,312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8,027,624</w:t>
            </w:r>
          </w:p>
        </w:tc>
        <w:tc>
          <w:tcPr>
            <w:tcW w:w="140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12,082,312</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7,306,339</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70,669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27,401</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8"/>
                <w:szCs w:val="18"/>
                <w:color w:val="auto"/>
              </w:rPr>
              <w:t>70,669</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18,309</w:t>
            </w: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12,152,981</w:t>
            </w: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8,055,025</w:t>
            </w:r>
          </w:p>
        </w:tc>
        <w:tc>
          <w:tcPr>
            <w:tcW w:w="140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12,152,981</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7,324,648</w:t>
            </w:r>
          </w:p>
        </w:tc>
        <w:tc>
          <w:tcPr>
            <w:tcW w:w="1120" w:type="dxa"/>
            <w:vAlign w:val="bottom"/>
          </w:tcPr>
          <w:p>
            <w:pPr>
              <w:spacing w:after="0"/>
              <w:rPr>
                <w:sz w:val="21"/>
                <w:szCs w:val="21"/>
                <w:color w:val="auto"/>
              </w:rPr>
            </w:pPr>
          </w:p>
        </w:tc>
      </w:tr>
      <w:tr>
        <w:trPr>
          <w:trHeight w:val="844"/>
        </w:trPr>
        <w:tc>
          <w:tcPr>
            <w:tcW w:w="1140" w:type="dxa"/>
            <w:vAlign w:val="bottom"/>
          </w:tcPr>
          <w:p>
            <w:pPr>
              <w:spacing w:after="0"/>
              <w:rPr>
                <w:sz w:val="24"/>
                <w:szCs w:val="24"/>
                <w:color w:val="auto"/>
              </w:rPr>
            </w:pPr>
          </w:p>
        </w:tc>
        <w:tc>
          <w:tcPr>
            <w:tcW w:w="3400" w:type="dxa"/>
            <w:vAlign w:val="bottom"/>
            <w:tcBorders>
              <w:top w:val="single" w:sz="8" w:color="CFF0FC"/>
            </w:tcBorders>
          </w:tcPr>
          <w:p>
            <w:pPr>
              <w:spacing w:after="0"/>
              <w:rPr>
                <w:sz w:val="24"/>
                <w:szCs w:val="24"/>
                <w:color w:val="auto"/>
              </w:rPr>
            </w:pPr>
          </w:p>
        </w:tc>
        <w:tc>
          <w:tcPr>
            <w:tcW w:w="132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-1070610</wp:posOffset>
            </wp:positionV>
            <wp:extent cx="5969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-1053465</wp:posOffset>
            </wp:positionV>
            <wp:extent cx="596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-1070610</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-1053465</wp:posOffset>
            </wp:positionV>
            <wp:extent cx="603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-1070610</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-1053465</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15. Restructuring Activities</w:t>
      </w:r>
    </w:p>
    <w:p>
      <w:pPr>
        <w:spacing w:after="0" w:line="229"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In September 2024, the Company announced a plan to reprioritize research and development activities to focus on advancing pociredir for the treatment of sickle cell disease, novel therapeutic agents for the treatment of DBA, and the Company's early discovery programs. The plan reduced the Company’s workforce from 80 to 51 full-time employees, including a reduction of positions across both research and development and general and administrative functions. During the three and six months ended June 30, 2025, the Company recorded no restructuring charges related to severance and other employee-related costs. During the three and six months ended June 30, 2025, the Company paid $0.1 million and $0.4 million in restructuring charges.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restructuring charges as of December 31, 2024</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 incurred during the period</w:t>
            </w:r>
          </w:p>
        </w:tc>
        <w:tc>
          <w:tcPr>
            <w:tcW w:w="8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paid during the period</w:t>
            </w:r>
          </w:p>
        </w:tc>
        <w:tc>
          <w:tcPr>
            <w:tcW w:w="8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(377)</w:t>
            </w:r>
          </w:p>
        </w:tc>
      </w:tr>
      <w:tr>
        <w:trPr>
          <w:trHeight w:val="209"/>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restructuring charges as of June 30, 2025</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Related-Party Transactions</w:t>
      </w:r>
    </w:p>
    <w:p>
      <w:pPr>
        <w:spacing w:after="0" w:line="22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August 2024, the Company entered into an exchange agreement with RA Capital, one of the Company's principal stockholders and a related party in accordance with </w:t>
      </w:r>
      <w:r>
        <w:rPr>
          <w:rFonts w:ascii="Times New Roman" w:cs="Times New Roman" w:eastAsia="Times New Roman" w:hAnsi="Times New Roman"/>
          <w:sz w:val="18"/>
          <w:szCs w:val="18"/>
          <w:color w:val="212529"/>
        </w:rPr>
        <w:t>ASC 850,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xml:space="preserve"> pursuant to which RA Capital exchanged 8,500,000 shares of the Company's common stock, par value $0.001 per share, or common stock, for a pre-funded warrant to acquire 8,500,000 shares of the Company's common stock. No cash was exchanged related to the transaction. See Note 8, "Common Stock", for additional details of the transaction.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22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Segment reporting is prepared on the same basis that the Company's chief executive officer, who is the Company's chief operating decision maker (the “CODM”), utilizes to manage the business and makes decisions on how to allocate resources and assess performance of the business. The Company and the CODM view the Company's operations as a single operating segment. The Company's singular focus is on developing small molecules to improve the lives of patients with genetically defined rare diseases in areas of high unmet medical need.</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and the CODM primarily utilize the segment's consolidated net (loss ) income, disaggregated between (a) research and development and (b) general and administrative, as the key indicator to assess the segment's performance and for allocating resources.</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Company's reportable segment revenue, operating expenses, and net (loss) income for the three and six months ended June 30, 2025 and 2024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5"/>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51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4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Pociredir external expenses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6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Employee compensation expenses (excluding stock-based compensation</w:t>
            </w: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27,508</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40,218</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57,342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(40,218)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(17,296)</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(34,951)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46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-1362075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-1362075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-1362075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-1362075</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-1079500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-1079500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-1079500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-1079500</wp:posOffset>
            </wp:positionV>
            <wp:extent cx="774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elsewhere in this Quarterly Report on Form 10-Q and our Annual Report on Form 10-K filed with the Securities and Exchange Commission, or SEC, on February 25, 2025.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developing small molecules to improve the lives of patients with genetically defined rare diseases in areas of high unmet medical need. Our clinical-stage product candidate, pociredir, is being developed for the potential treatment of sickle cell disease, or SCD.</w:t>
      </w:r>
    </w:p>
    <w:p>
      <w:pPr>
        <w:spacing w:after="0" w:line="1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January 2023, we announced interim data from the 6 mg and 2 mg once daily dose cohorts of our Phase 1b clinical trial of pociredir in SCD. Although we commenced enrollment in the 12 mg dose cohort, in February 2023 the FDA placed a full clinical hold on the investigational new drug, or IND, application for pociredir for SCD, which was lifted in August 2023. Following the clinical hold, we amended the protocol to revise the inclusion and exclusion criteria for the Phase 1b clinical trial to target subjects with higher disease severity. We reinitiated the Phase 1b clinical trial at the 12 mg once daily dose level in the fourth quarter of 2023.</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July 2025, we announced results from the 12 mg dose cohort of our Phase 1b trial, following conclusion of the 12-week treatment period (n=16).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are as follows:</w:t>
      </w:r>
    </w:p>
    <w:p>
      <w:pPr>
        <w:spacing w:after="0" w:line="99" w:lineRule="exact"/>
        <w:rPr>
          <w:sz w:val="20"/>
          <w:szCs w:val="20"/>
          <w:color w:val="auto"/>
        </w:rPr>
      </w:pPr>
    </w:p>
    <w:p>
      <w:pPr>
        <w:ind w:left="1020" w:hanging="503"/>
        <w:spacing w:after="0" w:line="25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absolute fetal hemoglobin, or HbF, increased by 8.6% at 12 weeks of treatment with pociredir, representing an increase from a baseline of 7.6% to 16.2%. Seven of 16 patients achieved absolute HbF levels greater than 20% after 12 weeks of treatment with pociredir. HbF levels of 20% are associated with approximately 90% of individual patients experiencing zero vaso-occlusive crises, or VOCs, per year, based on a recent analysis of real-world data we conducted, which has been accepted for publication at the 20th Annual Sickle Cell &amp; Thalassaemia Conference (ASCAT), to be held in London, United Kingdom, October 1-4, 2025.</w:t>
      </w:r>
    </w:p>
    <w:p>
      <w:pPr>
        <w:spacing w:after="0" w:line="75" w:lineRule="exact"/>
        <w:rPr>
          <w:rFonts w:ascii="Times New Roman" w:cs="Times New Roman" w:eastAsia="Times New Roman" w:hAnsi="Times New Roman"/>
          <w:sz w:val="18"/>
          <w:szCs w:val="18"/>
          <w:color w:val="auto"/>
        </w:rPr>
      </w:pPr>
    </w:p>
    <w:p>
      <w:pPr>
        <w:ind w:left="1020" w:right="36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Proportion of F-cells (HbF-containing red blood cells) increased from a mean of 34% at baseline to 67% at 12 weeks of treatment (n=8), consistent with pan-cellular HbF induction (evenly distributed across red blood cells). F-cells are resistant to red blood cell sickling and hemolysis because of HbF-mediated inhibition of sickle hemoglobin polymerization. Consequently, a higher proportion of F-cells is associated with improved red blood cell health.</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Markers of hemolysis and erythropoiesis improved with pociredir treatment at 12 weeks:</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oDecreased indirect bilirubin (mean decrease of 37%)</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oDecreased lactate dehydrogenase (mean decrease of 28%)</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Decreased red cell distribution width (mean decrease of 27%), indicating a more uniform red blood cell population</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Decreased reticulocyte counts (mean decrease of 30%), indicating healthier bone marrow function</w:t>
      </w:r>
    </w:p>
    <w:p>
      <w:pPr>
        <w:spacing w:after="0" w:line="11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hemoglobin concentration increased by 0.9 g/dL at 12 weeks of treatment with pociredir, from a baseline of 7.8 g/dL to 8.7 g/dL. Together with the observed decrease in reticulocyte counts, the increase in total hemoglobin indicates that pociredir decreased red blood cell destruction and showed reductions in anemia.</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trend of reduced VOC rates was observed during the study period (as assessed by VOCs reported as adverse events, or AEs), compared to cohort patients’ VOC frequency over the 6–12 months prior to enrollment. Eight of 16 patients (50%) reported no VOCs during the treatment period (12 weeks); three VOCs occurred during the follow-up period as of the June 26, 2025 data cut-off date.</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completion of the 12 mg dose cohort, pociredir has been dosed in 135 adults, including 76 subjects in multiple dose cohorts up to 12 weeks.</w:t>
      </w:r>
    </w:p>
    <w:p>
      <w:pPr>
        <w:spacing w:after="0" w:line="5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103 healthy subjects, including 44 who received pociredir from 10 to 14 days treatment duration</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32 SCD patients who received pociredir up to 12 weeks treatment duration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2" w:name="page23"/>
    <w:bookmarkEnd w:id="22"/>
    <w:p>
      <w:pPr>
        <w:ind w:left="1020" w:right="50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profile for pociredir observed in the 12 mg dose cohort was consistent with previously reported safety data. Pociredir was generally well-tolerated, with no drug-related serious adverse events and no discontinuations due to treatment-emergent adverse events through the completion of the 12 mg dose cohort. In addition, all treatment-related adverse events were Grade 1.</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observations after completion of the 4-week follow-up period for 12 mg dose cohort (ongoing) will be shared at a future medical meeting.</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12 mg data (n=16) discussed in this report relates to cohort 3b (incomplete prior 12 mg cohort (3a) conducted prior to study hold not included in this analysis).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 mg once daily dose cohort is ongoing, and we expect to provide clinical data from this cohort by the end of 2025.</w:t>
      </w:r>
    </w:p>
    <w:p>
      <w:pPr>
        <w:spacing w:after="0" w:line="225"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7"/>
          <w:szCs w:val="17"/>
          <w:color w:val="auto"/>
        </w:rPr>
        <w:t>In addition to our product candidates, we developed a discovery approach that we employ to systematically identify and validate cellular drug targets that can potentially modulate gene expression to treat known root causes of genetically defined rare diseases. Our discovery approach led to the identification of pociredir for SCD, as well as other drug candidates. We continue to advance our program for the potential treatment of inherited aplastic anemias, such as DBA, Shwachman-Diamond syndrome, and Fanconi anemia, and we plan to submit an IND for DBA during the fourth quarter of 2025.</w:t>
      </w:r>
    </w:p>
    <w:p>
      <w:pPr>
        <w:spacing w:after="0" w:line="16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 was $35.0 million for the six months ended June 30, 2025. Our net income was $28.5 million for the six months ended June 30, 2024, primarily due to the $80.0 million of collaboration revenue associated with our collaboration and license agreement with Sanofi that we recognized during the second quarter of 2024. As of June 30, 2025, we had an accumulated deficit of $554.3 million. We expect our expenses and operating losses will increase over the next several years in connection with our ongoing activities, as we:</w:t>
      </w:r>
    </w:p>
    <w:p>
      <w:pPr>
        <w:spacing w:after="0" w:line="79"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pociredir;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clinical-stage product candidates into later stage trials;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 including for the potential treatment of inherited aplastic anemias, such as DBA, Shwachman-Diamond syndrome, and Fanconi anemia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53"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agreement with CAMP4;</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CAMP4 under our license agreement;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and</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8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As of June 30, 2025, we had $214.1 million in cash, cash equivalents, and marketable securities. We believe that our existing cash, cash equivalents, and marketable securities as of June 30, 2025 will enable us to fund our operating expenses and capital expenditure requirements into 2028. We have based this estimate on assumptions that may prove to be wrong, and we could exhaust our available capital resources sooner than we expect. See “—Liquidity and Capital Resources.”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In May 2024, we entered into a collaboration and license agreement with Sanofi, pursuant to which we granted Sanofi an exclusive license under certain intellectual property rights to commercialize losmapimod, an oral small molecule for the treatment of facioscapulohumeral muscular dystrophy, or FSHD, outside of the United States and received an upfront payment of $80.0 million.</w:t>
      </w:r>
    </w:p>
    <w:p>
      <w:pPr>
        <w:spacing w:after="0" w:line="17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June 30, 2025, we recorded a less than $0.1 million and $1.0 million reduction in research and development expenses, respectively, in connection with global development activities for losmapimod. During the three and six months ended June 30, 2025, we recognized no revenue associated with the Sanofi territory-specific manufacturing activities for losmapimod. As a result of the suspension of future development of losmapimod following our September 2024 announcement that there was no statistically significant difference between losmapimod and placebo on the primary endpoint in the Phase 3 REACH trial, Sanofi terminated the license. Accordingly, we will not recognize additional revenues under the Sanofi collaboration agreement.</w:t>
      </w:r>
    </w:p>
    <w:p>
      <w:pPr>
        <w:spacing w:after="0" w:line="120"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 the future, we may enter into additional license or collaboration agreements for our product candidates or intellectual property, and we may generate revenue in the future from payments as a result of such license or collaboration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by us for the discovery, development, and manufacture of our product candidates and include:</w:t>
      </w:r>
    </w:p>
    <w:p>
      <w:pPr>
        <w:spacing w:after="0" w:line="54" w:lineRule="exact"/>
        <w:rPr>
          <w:sz w:val="20"/>
          <w:szCs w:val="20"/>
          <w:color w:val="auto"/>
        </w:rPr>
      </w:pPr>
    </w:p>
    <w:p>
      <w:pPr>
        <w:ind w:left="900" w:right="76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contract manufacturing organizations, and consultants;</w:t>
      </w:r>
    </w:p>
    <w:p>
      <w:pPr>
        <w:spacing w:after="0" w:line="53" w:lineRule="exact"/>
        <w:rPr>
          <w:rFonts w:ascii="Times New Roman" w:cs="Times New Roman" w:eastAsia="Times New Roman" w:hAnsi="Times New Roman"/>
          <w:sz w:val="18"/>
          <w:szCs w:val="18"/>
          <w:color w:val="auto"/>
        </w:rPr>
      </w:pPr>
    </w:p>
    <w:p>
      <w:pPr>
        <w:ind w:left="900" w:right="560" w:hanging="383"/>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payroll taxes, employee benefits and stock-based compensation expenses for individuals involved in research and development efforts;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other operating costs.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8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0"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for the three and six months ended June 30, 2025 and 2024. Pre-development candidate expenses, unallocated expenses and internal research and development expenses are classified separately. Payments to or reimbursements from Sanofi related to global development activities are accounted for as an increase to or reduction of losmapimod external expenses.</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Pociredir external expenses</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4,093</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1,706</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8,357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3,804</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Losmapimod external expenses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14,475</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5,620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3,339</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9,673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7,004</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3,363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6,035</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7,426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11,751</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12,987</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17,261</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26,391</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37,034</w:t>
            </w: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768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2" w:lineRule="exact"/>
        <w:rPr>
          <w:sz w:val="20"/>
          <w:szCs w:val="20"/>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necessary to complete clinical development of and, if applicable, commercialize our product candidates if and when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development efforts of parties with whom we may enter into collaboration arrangements;</w:t>
      </w:r>
    </w:p>
    <w:p>
      <w:pPr>
        <w:spacing w:after="0" w:line="11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and completion of clinical trials with safety, tolerability and efficacy profiles that are satisfactory to the FDA or any comparable foreign regulatory authority;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and related terms of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raw materials and active pharmaceutical ingredient, or API, for use in production of our product candidates;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operate a manufacturing facility, or secure manufacturing supply through relationships with third parties;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consistently manufacture our product candidates in quantities sufficient for use in clinical trials;</w:t>
      </w:r>
    </w:p>
    <w:p>
      <w:pPr>
        <w:spacing w:after="0" w:line="117"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and regulatory exclusivity, both in the United States and internationally (including defending and enforcing our rights);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approved;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 candidates,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products;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our products following receipt of any regulatory approvals.</w:t>
      </w:r>
    </w:p>
    <w:p>
      <w:pPr>
        <w:spacing w:after="0" w:line="22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6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account for a significant portion of our operating expenses. We expect our research and development expenses to increase in future periods as we continue to implement our business strategy, which includes advancing pociredir for the treatment of SCD,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approval and commercialization. There are numerous factors associated with obtaining regulatory approval and the successful commercialization of any of our product candidates, including future trial design and various regulatory requirements, many of which cannot be determined with accuracy at this time based on our stage of development.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to support continued research and development activities and planned commercialization activities, including establishing a sales, marketing and distribution infrastructure to commercialize any medicines for which we may obtain marketing approval. These increases will likely include increased costs related to the hiring of additional personnel, legal, audit, filing fees, and general compliance and consulting expenses, among other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related to our investments in cash equivalents and marketable securities.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229" w:lineRule="exact"/>
        <w:rPr>
          <w:sz w:val="20"/>
          <w:szCs w:val="20"/>
          <w:color w:val="auto"/>
        </w:rPr>
      </w:pPr>
    </w:p>
    <w:p>
      <w:pPr>
        <w:ind w:right="320" w:firstLine="509"/>
        <w:spacing w:after="0" w:line="257"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three months ended June 30, 2025 and 2024 along with the changes in those items in dollars:</w:t>
      </w:r>
    </w:p>
    <w:tbl>
      <w:tblPr>
        <w:tblLayout w:type="fixed"/>
        <w:tblInd w:w="86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40" w:type="dxa"/>
            <w:vAlign w:val="bottom"/>
            <w:gridSpan w:val="5"/>
          </w:tcPr>
          <w:p>
            <w:pPr>
              <w:jc w:val="center"/>
              <w:ind w:right="192"/>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5"/>
                <w:szCs w:val="15"/>
                <w:color w:val="auto"/>
              </w:rPr>
            </w:pPr>
          </w:p>
        </w:tc>
        <w:tc>
          <w:tcPr>
            <w:tcW w:w="1380" w:type="dxa"/>
            <w:vAlign w:val="bottom"/>
            <w:gridSpan w:val="4"/>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right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27,508</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(17,296)</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-453390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-453390</wp:posOffset>
            </wp:positionV>
            <wp:extent cx="596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-453390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-170815</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decreased by $80.0 million from the three months ended June 30, 2024 to the three months ended June 30, 2025. The decrease was attributable to the recognition of $80.0 million of revenue associated with the upfront license payment received during the second quarter of 2024 under the Sanofi collaboration agreement.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months ended June 30, 2025 and 2024:</w:t>
      </w:r>
    </w:p>
    <w:tbl>
      <w:tblPr>
        <w:tblLayout w:type="fixed"/>
        <w:tblInd w:w="86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60" w:type="dxa"/>
            <w:vAlign w:val="bottom"/>
            <w:gridSpan w:val="3"/>
          </w:tcPr>
          <w:p>
            <w:pPr>
              <w:jc w:val="right"/>
              <w:ind w:right="2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5"/>
                <w:szCs w:val="15"/>
                <w:color w:val="auto"/>
              </w:rPr>
            </w:pPr>
          </w:p>
        </w:tc>
        <w:tc>
          <w:tcPr>
            <w:tcW w:w="18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gridSpan w:val="2"/>
            <w:vMerge w:val="continue"/>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78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12,987</w:t>
            </w: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17,261</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-170815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596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-170815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$4.3 million from $17.3 million for the three months ended June 30, 2024 to $13.0 million for the three months ended June 30, 2025. The decrease in research and development expense was primarily attributable to the following:</w:t>
      </w:r>
    </w:p>
    <w:p>
      <w:pPr>
        <w:spacing w:after="0" w:line="54" w:lineRule="exact"/>
        <w:rPr>
          <w:sz w:val="20"/>
          <w:szCs w:val="20"/>
          <w:color w:val="auto"/>
        </w:rPr>
      </w:pPr>
    </w:p>
    <w:p>
      <w:pPr>
        <w:ind w:left="900" w:right="7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of decreased employee compensation costs due to decreased headcount, including a $1.1 million decrease in stock-based compensation expense; and</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of decreased external research and development costs, primarily due to the suspension of the losmapimod program, partially offset by increased development costs associated with the advancement of the Phase 1b PIONEER trial of pociredir;</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increased laboratory supplies costs of $0.3 million and $0.2 million of increased other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three months ended June 30, 2025 and 2024:</w:t>
      </w:r>
    </w:p>
    <w:tbl>
      <w:tblPr>
        <w:tblLayout w:type="fixed"/>
        <w:tblInd w:w="920" w:type="dxa"/>
        <w:tblCellMar>
          <w:top w:w="0" w:type="dxa"/>
          <w:left w:w="0" w:type="dxa"/>
          <w:bottom w:w="0" w:type="dxa"/>
          <w:right w:w="0" w:type="dxa"/>
        </w:tblCellMar>
      </w:tblPr>
      <w:tr>
        <w:trPr>
          <w:trHeight w:val="151"/>
        </w:trPr>
        <w:tc>
          <w:tcPr>
            <w:tcW w:w="3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gridSpan w:val="3"/>
          </w:tcPr>
          <w:p>
            <w:pPr>
              <w:jc w:val="right"/>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4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0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7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4,268</w:t>
            </w:r>
          </w:p>
        </w:tc>
        <w:tc>
          <w:tcPr>
            <w:tcW w:w="860" w:type="dxa"/>
            <w:vAlign w:val="bottom"/>
            <w:shd w:val="clear" w:color="auto" w:fill="CFF0FC"/>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5,482</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1,645</w:t>
            </w:r>
          </w:p>
        </w:tc>
        <w:tc>
          <w:tcPr>
            <w:tcW w:w="8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3,612</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(1,967)</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8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329</w:t>
            </w:r>
          </w:p>
        </w:tc>
        <w:tc>
          <w:tcPr>
            <w:tcW w:w="8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586</w:t>
            </w:r>
          </w:p>
        </w:tc>
        <w:tc>
          <w:tcPr>
            <w:tcW w:w="8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882</w:t>
            </w:r>
          </w:p>
        </w:tc>
        <w:tc>
          <w:tcPr>
            <w:tcW w:w="2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7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6,828</w:t>
            </w:r>
          </w:p>
        </w:tc>
        <w:tc>
          <w:tcPr>
            <w:tcW w:w="860" w:type="dxa"/>
            <w:vAlign w:val="bottom"/>
            <w:shd w:val="clear" w:color="auto" w:fill="CFF0FC"/>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10,247</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-25400</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514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-8255</wp:posOffset>
            </wp:positionV>
            <wp:extent cx="514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-25400</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-8255</wp:posOffset>
            </wp:positionV>
            <wp:extent cx="514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$3.4 million from $10.2 million for the three months ended June 30, 2024 to $6.8 million for the three months ended June 30, 2025. The decrease in general and administrative expenses was primarily attributable to the following:</w:t>
      </w:r>
    </w:p>
    <w:p>
      <w:pPr>
        <w:spacing w:after="0" w:line="54"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of decreased professional services costs, primarily due to decreased commercial and legal costs;</w:t>
      </w:r>
    </w:p>
    <w:p>
      <w:pPr>
        <w:spacing w:after="0" w:line="117" w:lineRule="exact"/>
        <w:rPr>
          <w:rFonts w:ascii="Times New Roman" w:cs="Times New Roman" w:eastAsia="Times New Roman" w:hAnsi="Times New Roman"/>
          <w:sz w:val="18"/>
          <w:szCs w:val="18"/>
          <w:color w:val="auto"/>
        </w:rPr>
      </w:pPr>
    </w:p>
    <w:p>
      <w:pPr>
        <w:ind w:left="900" w:right="62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of decreased employee compensation costs due to decreased headcount, including a $0.4 million decrease in stock-based compensation expense;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of decreased other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decreased by $0.4 million from $2.9 million for the three months ended June 30, 2024 to $2.5 million for the three months ended June 30, 2025. The decrease was primarily due to decreased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229" w:lineRule="exact"/>
        <w:rPr>
          <w:sz w:val="20"/>
          <w:szCs w:val="20"/>
          <w:color w:val="auto"/>
        </w:rPr>
      </w:pPr>
    </w:p>
    <w:p>
      <w:pPr>
        <w:ind w:right="400" w:firstLine="509"/>
        <w:spacing w:after="0" w:line="257" w:lineRule="auto"/>
        <w:rPr>
          <w:sz w:val="20"/>
          <w:szCs w:val="20"/>
          <w:color w:val="auto"/>
        </w:rPr>
      </w:pPr>
      <w:r>
        <w:rPr>
          <w:rFonts w:ascii="Times New Roman" w:cs="Times New Roman" w:eastAsia="Times New Roman" w:hAnsi="Times New Roman"/>
          <w:sz w:val="18"/>
          <w:szCs w:val="18"/>
          <w:color w:val="auto"/>
        </w:rPr>
        <w:t>The following summarizes our results of operations for the six months ended June 30, 2025 and 2024 along with the changes in those items in dollars:</w:t>
      </w:r>
    </w:p>
    <w:tbl>
      <w:tblPr>
        <w:tblLayout w:type="fixed"/>
        <w:tblInd w:w="92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20" w:type="dxa"/>
            <w:vAlign w:val="bottom"/>
            <w:gridSpan w:val="4"/>
          </w:tcPr>
          <w:p>
            <w:pPr>
              <w:jc w:val="center"/>
              <w:ind w:right="192"/>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5"/>
                <w:szCs w:val="15"/>
                <w:color w:val="auto"/>
              </w:rPr>
            </w:pPr>
          </w:p>
        </w:tc>
        <w:tc>
          <w:tcPr>
            <w:tcW w:w="1360" w:type="dxa"/>
            <w:vAlign w:val="bottom"/>
            <w:gridSpan w:val="3"/>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00" w:type="dxa"/>
            <w:vAlign w:val="bottom"/>
            <w:gridSpan w:val="2"/>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26,391</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37,034</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40,218</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57,342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(17,124)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(40,218)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(34,951)</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-453390</wp:posOffset>
            </wp:positionV>
            <wp:extent cx="514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-453390</wp:posOffset>
            </wp:positionV>
            <wp:extent cx="514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-453390</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-170815</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514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-170815</wp:posOffset>
            </wp:positionV>
            <wp:extent cx="514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decreased by $80.0 million from the six months ended June 30, 2024 to the six months ended June 30, 2025. The decrease was attributable to the recognition of $80.0 million of revenue associated with the upfront license payment received during the second quarter of 2024 under the Sanofi collaboration agreement.</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7"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six months ended June 30, 2025 and 2024:</w:t>
      </w:r>
    </w:p>
    <w:tbl>
      <w:tblPr>
        <w:tblLayout w:type="fixed"/>
        <w:tblInd w:w="92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tcPr>
          <w:p>
            <w:pPr>
              <w:jc w:val="right"/>
              <w:ind w:right="40"/>
              <w:spacing w:after="0" w:line="15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5"/>
                <w:szCs w:val="15"/>
                <w:color w:val="auto"/>
              </w:rPr>
            </w:pPr>
          </w:p>
        </w:tc>
        <w:tc>
          <w:tcPr>
            <w:tcW w:w="17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gridSpan w:val="2"/>
            <w:vMerge w:val="continue"/>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14,769</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21,801</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26,391</w:t>
            </w:r>
          </w:p>
        </w:tc>
        <w:tc>
          <w:tcPr>
            <w:tcW w:w="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37,034</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-170815</wp:posOffset>
            </wp:positionV>
            <wp:extent cx="514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-170815</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-170815</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decreased by $10.6 million from $37.0 million for the six months ended June 30, 2024 to $26.4 million for the six months ended June 30, 2025. The decrease in research and development expense was primarily attributable to the following:</w:t>
      </w:r>
    </w:p>
    <w:p>
      <w:pPr>
        <w:spacing w:after="0" w:line="54" w:lineRule="exact"/>
        <w:rPr>
          <w:sz w:val="20"/>
          <w:szCs w:val="20"/>
          <w:color w:val="auto"/>
        </w:rPr>
      </w:pPr>
    </w:p>
    <w:p>
      <w:pPr>
        <w:ind w:left="900" w:hanging="383"/>
        <w:spacing w:after="0" w:line="26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of decreased external research and development costs, primarily due to the suspension of the losmapimod program as well as $1.0 million of reimbursement from the global development cost sharing under our collaboration with Sanofi for losmapimod, partially offset by increased development costs associated with the advancement of the Phase 1b PIONEER trial of pociredir; and</w:t>
      </w:r>
    </w:p>
    <w:p>
      <w:pPr>
        <w:spacing w:after="0" w:line="67"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million of decreased employee compensation costs due to decreased headcount, including a $1.5 million decrease in stock-based compensation expense;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$0.5 million of increased laboratory supplies costs and $0.2 million of increased other costs.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six months ended June 30, 2025 and 2024:</w:t>
      </w:r>
    </w:p>
    <w:tbl>
      <w:tblPr>
        <w:tblLayout w:type="fixed"/>
        <w:tblInd w:w="960" w:type="dxa"/>
        <w:tblCellMar>
          <w:top w:w="0" w:type="dxa"/>
          <w:left w:w="0" w:type="dxa"/>
          <w:bottom w:w="0" w:type="dxa"/>
          <w:right w:w="0" w:type="dxa"/>
        </w:tblCellMar>
      </w:tblPr>
      <w:tr>
        <w:trPr>
          <w:trHeight w:val="151"/>
        </w:trPr>
        <w:tc>
          <w:tcPr>
            <w:tcW w:w="3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60" w:type="dxa"/>
            <w:vAlign w:val="bottom"/>
            <w:gridSpan w:val="3"/>
          </w:tcPr>
          <w:p>
            <w:pPr>
              <w:jc w:val="right"/>
              <w:ind w:right="40"/>
              <w:spacing w:after="0" w:line="15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(2,659)</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(3,054)</w:t>
            </w: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costs</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70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20,308</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(6,481)</w:t>
            </w: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-24765</wp:posOffset>
            </wp:positionV>
            <wp:extent cx="51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514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514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$6.5 million from $20.3 million for the six months ended June 30, 2024 to $13.8 million for the six months ended June 30, 2025. The decrease in general and administrative expenses was primarily attributable to the following:</w:t>
      </w:r>
    </w:p>
    <w:p>
      <w:pPr>
        <w:spacing w:after="0" w:line="54"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of decreased professional services costs, primarily due to decreased commercial and legal costs;</w:t>
      </w:r>
    </w:p>
    <w:p>
      <w:pPr>
        <w:spacing w:after="0" w:line="117"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of decreased employee compensation costs due to decreased headcount, including a $0.8 million decrease in stock-based compensation expense;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of decreased facility costs as a result of the expiration of our lease agreement for office space at 125 Sidney Street;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of decreased other costs.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decreased by $0.6 million from $5.9 million for the six months ended June 30, 2024 to $5.3 million for the six months ended June 30, 2025. The decrease was primarily attributable to the expiration of our sublease agreement for office space at 125 Sidney Street as well as due to decreased interest income.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June 30, 2025, we have funded our operations primarily with aggregate gross proceeds of $792.5 million from the sale of shares of our capital stock and from upfront payments received under our collaboration and license agreements. As of June 30, 2025, we had cash, cash equivalents, and marketable securities of $214.1 million.</w:t>
      </w:r>
    </w:p>
    <w:p>
      <w:pPr>
        <w:spacing w:after="0" w:line="190"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8"/>
          <w:szCs w:val="18"/>
          <w:color w:val="auto"/>
        </w:rPr>
        <w:t>In February 2024,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agreement with Cantor Fitzgerald &amp; Co. and Stifel, Nicolaus &amp; Company, Incorporated, as agents, with respect to an at-the-market offering program pursuant to which we may offer and sell, from time to time in our sole discretion, shares of our common stock, par value $0.001 per share, having an aggregate offering price of up to $100.0 million through the agents. As of June 30, 2025, we have not issued or sold any shares of common stock under the at-the-market offering program.</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six months ended June 30, 2025:</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40" w:type="dxa"/>
            <w:vAlign w:val="bottom"/>
            <w:gridSpan w:val="2"/>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(29,077)</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33,615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-170815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22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$29.1 million during the six months ended June 30, 2025 compared to net cash provided by operating activities of $33.6 million during the six months ended June 30, 2024. Net cash used in operating activities during the six months ended June 30, 2025 was primarily due to our net loss of $35.0 for the six months ended June 30, 2025. Net cash provided by operating activities during the six months ended June 30, 2024 primarily consisted of the $80.0 million upfront license payment during the second quarter of 2024 under the Sanofi collaboration agreement.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$13.2 million during the six months ended June 30, 2025 compared to net cash provided by investing activities of $25.6 million during the six months ended June 30, 2024. The decrease in net cash provided by investing activities of $12.4 million was primarily due a decrease in net maturities of marketable securities during the six months ended June 30, 2025, as compared to the six months ended June 30, 2024.</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$0.3 million during the six months ended June 30, 2025 compared to net cash provided by financing activities of $2.0 million during the six months ended June 30, 2024. Net cash provided by financing activities during the six months ended June 30, 2025 primarily consisted of net proceeds of $0.2 million from the issuance of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30" w:name="page31"/>
    <w:bookmarkEnd w:id="30"/>
    <w:p>
      <w:pPr>
        <w:ind w:right="260"/>
        <w:spacing w:after="0" w:line="282" w:lineRule="auto"/>
        <w:rPr>
          <w:sz w:val="20"/>
          <w:szCs w:val="20"/>
          <w:color w:val="auto"/>
        </w:rPr>
      </w:pPr>
      <w:r>
        <w:rPr>
          <w:rFonts w:ascii="Times New Roman" w:cs="Times New Roman" w:eastAsia="Times New Roman" w:hAnsi="Times New Roman"/>
          <w:sz w:val="18"/>
          <w:szCs w:val="18"/>
          <w:color w:val="auto"/>
        </w:rPr>
        <w:t>under our benefit plans. Net cash provided by financing activities during the six months ended June 30, 2024 primarily consisted of net proceeds of $1.8 million from the issuance of common stock under our benefit plans.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some of which are in the discovery stage of development. In addition, we expect to incur additional costs to support the growth of our organization when appropriate. As a result, we expect to incur substantial operating losses and negative operating cash flows for the foreseeable future.</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cash equivalents, and marketable securities as of June 30, 2025 will enable us to fund our operating expenses and capital expenditure requirements into 2028. However, we have based this estimate on assumptions that may prove to be wrong and we could exhaust our capital resources sooner than we expect.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clinical trials of pociredir;</w:t>
      </w:r>
    </w:p>
    <w:p>
      <w:pPr>
        <w:spacing w:after="0" w:line="117" w:lineRule="exact"/>
        <w:rPr>
          <w:rFonts w:ascii="Times New Roman" w:cs="Times New Roman" w:eastAsia="Times New Roman" w:hAnsi="Times New Roman"/>
          <w:sz w:val="18"/>
          <w:szCs w:val="18"/>
          <w:color w:val="auto"/>
        </w:rPr>
      </w:pPr>
    </w:p>
    <w:p>
      <w:pPr>
        <w:ind w:left="900" w:right="280" w:hanging="383"/>
        <w:spacing w:after="0" w:line="266"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 including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right="66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to a third party;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82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7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ind w:right="60"/>
        <w:spacing w:after="0" w:line="258" w:lineRule="auto"/>
        <w:rPr>
          <w:sz w:val="20"/>
          <w:szCs w:val="20"/>
          <w:color w:val="auto"/>
        </w:rPr>
      </w:pPr>
      <w:r>
        <w:rPr>
          <w:rFonts w:ascii="Times New Roman" w:cs="Times New Roman" w:eastAsia="Times New Roman" w:hAnsi="Times New Roman"/>
          <w:sz w:val="18"/>
          <w:szCs w:val="18"/>
          <w:color w:val="auto"/>
        </w:rPr>
        <w:t>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June 30, 2025, there were no material changes to our critical accounting policies from those described in our Annual Report on Form 10-K filed with the SEC on February 25,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(our principal executive officer) and our Chief Financial Officer (our principal financial officer), evaluated the effectiveness of our disclosure controls and procedures as of June 30, 2025.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June 30, 2025, our Chief Executive Officer and our Chief Financial Officer concluded that, as of such date, our disclosure controls and procedures were effective at the reasonable assurance level.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59"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$9.7 million for the year ended December 31, 2024 and $35.0 million for the six months ended June 30, 2025. As of June 30, 2025, we had an accumulated deficit of $554.3 million. To date, we have funded our operations primarily from the sale of shares of our capital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1" w:lineRule="exact"/>
        <w:rPr>
          <w:sz w:val="20"/>
          <w:szCs w:val="20"/>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development of pociredir and any future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preclinical studies;</w:t>
      </w:r>
    </w:p>
    <w:p>
      <w:pPr>
        <w:spacing w:after="0" w:line="117" w:lineRule="exact"/>
        <w:rPr>
          <w:rFonts w:ascii="Times New Roman" w:cs="Times New Roman" w:eastAsia="Times New Roman" w:hAnsi="Times New Roman"/>
          <w:sz w:val="18"/>
          <w:szCs w:val="18"/>
          <w:color w:val="auto"/>
        </w:rPr>
      </w:pPr>
    </w:p>
    <w:p>
      <w:pPr>
        <w:ind w:left="900" w:right="300" w:hanging="368"/>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the discovery of drug targets for other genetically-defined rare diseases and the subsequent development of any resulting product candidates, including for the potential treatment of inherited aplastic anemias, such as DBA, Shwachman-Diamond syndrome, and Fanconi anemia under our license agreement with CAMP4;</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products, product candidates, technologies and/or data referencing rights, such as our agreement with CAMP4;</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milestone payments to CAMP4 under our license agreement with CAMP4;</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 as needed;</w:t>
      </w:r>
    </w:p>
    <w:p>
      <w:pPr>
        <w:spacing w:after="0" w:line="117" w:lineRule="exact"/>
        <w:rPr>
          <w:rFonts w:ascii="Times New Roman" w:cs="Times New Roman" w:eastAsia="Times New Roman" w:hAnsi="Times New Roman"/>
          <w:sz w:val="18"/>
          <w:szCs w:val="18"/>
          <w:color w:val="auto"/>
        </w:rPr>
      </w:pPr>
    </w:p>
    <w:p>
      <w:pPr>
        <w:ind w:left="900" w:right="24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manufacturing processes and capabilities, or arrange for a third party to do so on our behalf, to support our clinical trials of any product candidate and commercialization of any of product candidates for which we may obtain marketing approval;</w:t>
      </w:r>
    </w:p>
    <w:p>
      <w:pPr>
        <w:spacing w:after="0" w:line="53" w:lineRule="exact"/>
        <w:rPr>
          <w:rFonts w:ascii="Times New Roman" w:cs="Times New Roman" w:eastAsia="Times New Roman" w:hAnsi="Times New Roman"/>
          <w:sz w:val="18"/>
          <w:szCs w:val="18"/>
          <w:color w:val="auto"/>
        </w:rPr>
      </w:pPr>
    </w:p>
    <w:p>
      <w:pPr>
        <w:ind w:left="900" w:right="28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regulatory approval and that we have not out-licensed; and</w:t>
      </w:r>
    </w:p>
    <w:p>
      <w:pPr>
        <w:spacing w:after="0" w:line="53" w:lineRule="exact"/>
        <w:rPr>
          <w:rFonts w:ascii="Times New Roman" w:cs="Times New Roman" w:eastAsia="Times New Roman" w:hAnsi="Times New Roman"/>
          <w:sz w:val="18"/>
          <w:szCs w:val="18"/>
          <w:color w:val="auto"/>
        </w:rPr>
      </w:pPr>
    </w:p>
    <w:p>
      <w:pPr>
        <w:ind w:left="900" w:right="220" w:hanging="368"/>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any future commercialization efforts, as needed, and our operations as a public company.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3" w:name="page34"/>
    <w:bookmarkEnd w:id="33"/>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for our current product candidates.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84" w:lineRule="exact"/>
        <w:rPr>
          <w:sz w:val="20"/>
          <w:szCs w:val="20"/>
          <w:color w:val="auto"/>
        </w:rPr>
      </w:pPr>
    </w:p>
    <w:p>
      <w:pPr>
        <w:ind w:left="900" w:right="640" w:hanging="368"/>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the FDA, the EMA, or other regulatory authorities to perform trials or studies in addition to, or different than, those expected;</w:t>
      </w:r>
    </w:p>
    <w:p>
      <w:pPr>
        <w:spacing w:after="0" w:line="53" w:lineRule="exact"/>
        <w:rPr>
          <w:rFonts w:ascii="Times New Roman" w:cs="Times New Roman" w:eastAsia="Times New Roman" w:hAnsi="Times New Roman"/>
          <w:sz w:val="18"/>
          <w:szCs w:val="18"/>
          <w:color w:val="auto"/>
        </w:rPr>
      </w:pPr>
    </w:p>
    <w:p>
      <w:pPr>
        <w:ind w:left="900" w:right="100" w:hanging="368"/>
        <w:spacing w:after="0" w:line="261"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further delays in completing our ongoing clinical trial or otherwise in the development of any of our current or future product candidates, such as due to any further clinical holds imposed by the FDA (similar to the hold on the IND application for pociredir in SCD that was lifted in August 2023), or due to enrollment challenges (such as for our ongoing clinical trial of pociredir in light of the more stringent inclusion and exclusion criteria); or</w:t>
      </w:r>
    </w:p>
    <w:p>
      <w:pPr>
        <w:spacing w:after="0" w:line="71"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to devote substantial financial resources to our ongoing and planned activities, particularly as we continue our clinical development of pociredir, continue research and development and initiate additional clinical trials of, and seek regulatory approval for, this and any other product candidates. We expect our expenses to increase substantially in connection with our ongoing activities, particularly as we advance our preclinical activities and Phase 1b clinical trial of pociredir in SCD. In addition, if we obtain regulatory approval for any of our product candidates, we expect to incur significant commercialization expenses related to product manufacturing, sales, marketing and distribution, particularly if we do not out-license our product candidate. Accordingly, we will need to obtain substantial additional funding in connection with our continuing operations. Given current uncertainty in the capital markets and other factors, such funding may not be available on terms favorable to us or at all. If we are unable to raise capital when needed or on acceptable terms, we could be forced to delay, reduce or eliminate our research and development programs or any future commercialization efforts.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Phase 1b clinical trial of pociredir in SCD;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planned clinical trials;</w:t>
      </w:r>
    </w:p>
    <w:p>
      <w:pPr>
        <w:spacing w:after="0" w:line="117"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discovery research, preclinical development, laboratory testing and clinical trials for any of our product candidates in additional indications or for any future product candidates that we may pursue;</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and development requirements for other product candidates that we pursue;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API and manufacture of our product candidates and the terms of such arrangements;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license agreement with CAMP4;</w:t>
      </w:r>
    </w:p>
    <w:p>
      <w:pPr>
        <w:spacing w:after="0" w:line="117" w:lineRule="exact"/>
        <w:rPr>
          <w:rFonts w:ascii="Times New Roman" w:cs="Times New Roman" w:eastAsia="Times New Roman" w:hAnsi="Times New Roman"/>
          <w:sz w:val="18"/>
          <w:szCs w:val="18"/>
          <w:color w:val="auto"/>
        </w:rPr>
      </w:pPr>
    </w:p>
    <w:p>
      <w:pPr>
        <w:ind w:left="900" w:right="640" w:hanging="368"/>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strategic collaborations, licensing or other arrangements and the financial terms of such arrangements;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royalties and other collaboration-based revenues, if any;</w:t>
      </w:r>
    </w:p>
    <w:p>
      <w:pPr>
        <w:spacing w:after="0" w:line="117" w:lineRule="exact"/>
        <w:rPr>
          <w:rFonts w:ascii="Times New Roman" w:cs="Times New Roman" w:eastAsia="Times New Roman" w:hAnsi="Times New Roman"/>
          <w:sz w:val="18"/>
          <w:szCs w:val="18"/>
          <w:color w:val="auto"/>
        </w:rPr>
      </w:pPr>
    </w:p>
    <w:p>
      <w:pPr>
        <w:ind w:left="900" w:right="160" w:hanging="368"/>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sales, marketing and distribution, for any of our product candidates for which we may receive marketing approval and that we do not out-license for commercialization;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right="820" w:hanging="368"/>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of June 30, 2025, we had cash, cash equivalents, and marketable securities of approximately $214.1 million. We believe that our cash, cash equivalents, and marketable securities as of June 30, 2025 will enable us to fund our operating expenses and capital expenditure requirements into 2028.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80"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For example, we invested significant time and effort into developing losmapimod for FSHD but did not demonstrate a statistically significant difference between losmapimod and placebo on the primary endpoint in the Phase 3 REACH trial, for which we announced topline data in September 2024 and thereafter discontinued development. In addition, our product candidates, if approved, may not achieve commercial success. Commercial revenues, if any, will not be derived unless and until we can achieve sales of products, which we do not anticipate for several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and the recent downturn in the U.S. capital markets and the biotechnology sector in general.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bring our product candidates to market. We may also choose to further realign our operations to achieve additional operational efficiencies beyond the recent strategic realignment effected in September 2024.</w:t>
      </w:r>
    </w:p>
    <w:p>
      <w:pPr>
        <w:spacing w:after="0" w:line="30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relied, and in the future anticipate we will rely, in part on sales of our common stock through an at-the-market, or ATM, offering program. Increased volatility and decreases in market prices of equity securities generally and of our common stock in particular may have an adverse impact on our willingness and/or ability to continue to sell our common stock through our ATM offering program. Decreases in these sales could affect the cost or availability of equity capital, which could in turn have an adverse effect on our business, including current operations, future growth, revenues, net income and the market prices of our common stock.</w:t>
      </w:r>
    </w:p>
    <w:p>
      <w:pPr>
        <w:spacing w:after="0" w:line="18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February 2024, we established a new ATM offering program to sell shares of our common stock having an aggregate offering price of up to $100.0 million from time to time. Given the overall volatility in the capital markets, we may not be willing or able to continue to raise equity capital through our ATM offering program. We may, therefore, need to turn to other sources of funding that may have terms that are not favorable to us, or reduce our business operations given capital constraints.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firstLine="509"/>
        <w:spacing w:after="0" w:line="256" w:lineRule="auto"/>
        <w:rPr>
          <w:sz w:val="20"/>
          <w:szCs w:val="20"/>
          <w:color w:val="auto"/>
        </w:rPr>
      </w:pPr>
      <w:r>
        <w:rPr>
          <w:rFonts w:ascii="Times New Roman" w:cs="Times New Roman" w:eastAsia="Times New Roman" w:hAnsi="Times New Roman"/>
          <w:sz w:val="18"/>
          <w:szCs w:val="18"/>
          <w:color w:val="auto"/>
        </w:rPr>
        <w:t>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our equity ownership in the subsidiary, which would adversely affect the rights of holders of both our equity securities and, if any, our debt and debt securities.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Interest on any newly-issued debt securities and/or newly-incurred borrowings would increase our operating costs and reduce our net income, and these impacts may be material. If the issuance of new securities results in diminished rights to holders of our common stock, the market price of our common stock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2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have been focused on research and development and conducting clinical trials, which may make it difficult for stockholders to evaluate the success of our business to date and to assess our future viability.</w:t>
      </w:r>
    </w:p>
    <w:p>
      <w:pPr>
        <w:spacing w:after="0" w:line="15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commenced activities in 2015 and are a clinical-stage biotechnology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or arrange for a third party to do so on our behalf. Consequently, any predictions stockholders make about our future success or viability may not be as accurate as they could be if we had a history of successfully developing and commercializing products.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as our business evolves, we may encounter unforeseen expenses, difficulties, complications, delays and other known and unknown factors, such as our announcement in September 2024 that our Phase 3 REACH trial evaluating losmapimod for FSHD did not achieve its primary endpoint of change from baseline in relative surface area compared to placebo, and subsequent implementation of a plan to reprioritize research and development activities to focus on our other programs and reduction in workforce. If we are successful in moving our current pipeline programs through the clinic, we will need to transition at some point from a company with a research and development focus to a company capable of supporting commercial activities. We may not be successful in such a transition.</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For example, under a prior version of the U.S. Internal Revenue Code of 1986, as amended, or the Code, in taxable years beginning after December 31, 2021, we were required to capitalize and amortize expenses incurred for research and development in the United States. However, recent legislation signed into law on July 4, 2025 made significant changes to U.S. federal tax law, which may have an adverse effect on our cash flow.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9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159"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we had federal net operating loss carryforwards of $5.0 million, which may be available to offset future taxable income and do not expire, but are limited in their usage to an annual deduction equal to 80% of annual taxable income. As of December 31, 2024, we had state net operating loss carryforwards of $6.2 million, which begin to expire in 2044. As 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ind w:right="100"/>
        <w:spacing w:after="0" w:line="266" w:lineRule="auto"/>
        <w:rPr>
          <w:sz w:val="20"/>
          <w:szCs w:val="20"/>
          <w:color w:val="auto"/>
        </w:rPr>
      </w:pPr>
      <w:r>
        <w:rPr>
          <w:rFonts w:ascii="Times New Roman" w:cs="Times New Roman" w:eastAsia="Times New Roman" w:hAnsi="Times New Roman"/>
          <w:sz w:val="18"/>
          <w:szCs w:val="18"/>
          <w:color w:val="auto"/>
        </w:rPr>
        <w:t>December 31, 2024, we also had federal orphan drug credits of $2.2 million, which begin to expire in 2044. As of December 31, 2024, we also had federal and state research and development tax credit carryforwards of $0.3 million and $0.2 million, respectively, which begin to expire in 2039. These net operating loss and tax credit carryforwards could expire unused and be unavailable to offset future income tax liabilities.</w:t>
      </w:r>
    </w:p>
    <w:p>
      <w:pPr>
        <w:spacing w:after="0" w:line="17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general, under Section 382 of the Code, or Section 382,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and determined that for purposes of Section 382, we were deemed to have undergone an ownership change as of September 12, 2024. Accordingly, we determined that all net operating loss carryforwards and credits generated before September 12, 2024 are limited. As a result, the carryforwards before the deemed ownership change date of September 12, 2024 are not available for utilization and have been written off. The carryforwards as of December 31, 2024 were generated after the deemed ownership change. If we experience a further deemed change of control for purposes of Section 382, utilization of the net operating loss carryforwards or research and development tax credit carryforwards generated after September 12, 2024 would be subject to an annual limitation under Section 382.</w:t>
      </w:r>
    </w:p>
    <w:p>
      <w:pPr>
        <w:spacing w:after="0" w:line="188"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24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7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March 2023, a number of banks (e.g., Silicon Valley Bank, Signature Bank and Silvergate Capital Corp.) were placed into receivership, followed by First Republic Bank in May 2023. Although the Federal Deposit Insurance Corporation, or FDIC, and others have taken steps to reduce risk to uninsured depositors, borrowers under credit agreements, letters of credit and certain other financial instruments with such banks or any other financial institution that is placed into receivership by the FDIC may be unable to access undrawn amounts thereunder. Even 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and the supervision thereof. 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which could have material adverse effect on our liquidity and on our business, financial condition or results of operations.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we currently have one product candidate in active clinical development. If we are unable to commercialize directly or out-license to a third party any of our product candidates or experience significant delays in doing so, our business will be materially harmed.</w:t>
      </w:r>
    </w:p>
    <w:p>
      <w:pPr>
        <w:spacing w:after="0" w:line="6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early in our development efforts, and we have advanced only two product candidates into clinical trials. In September 2024, we announced that REACH, our Phase 3 clinical trial of losmapimod for the treatment of FSHD, did not meet its primary endpoint and we suspended development of losmapimod. As a result, we currently only have one product candidate in active clinical development, pociredir for the treatment of SCD. We have invested substantially all of our efforts and financial resources in identifying and validating and conducting clinical trials on cellular drug targets that can potentially modulate gene expression to address the root cause of genetically-defined rare diseases. Our ability to generate product revenues, which we do not expect will occur for several years, if ever, will depend heavily on the successful development, regulatory approval and eventual commercialization of any of our product candidates. The success of any of our product candidates will depend on several factors, including the following:</w:t>
      </w:r>
    </w:p>
    <w:p>
      <w:pPr>
        <w:spacing w:after="0" w:line="81" w:lineRule="exact"/>
        <w:rPr>
          <w:sz w:val="20"/>
          <w:szCs w:val="20"/>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completing preclinical studies and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by the FDA or other regulatory agencies of the INDs, clinical trial applications, or CTAs, or other regulatory filings;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maintaining a workforce of experienced scientists and others to continue development efforts;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for and receiving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intellectual property protection and regulatory exclusivity;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for, or establishing, commercial manufacturing capabilities;</w:t>
      </w:r>
    </w:p>
    <w:p>
      <w:pPr>
        <w:spacing w:after="0" w:line="11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successfully launching commercial sales,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adequate pricing and adequate reimbursement from third-party payors, including government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enforcing, defending and protecting our rights in our intellectual property portfolio;</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misappropriating or otherwise violating others’ intellectual property or proprietary rights;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following receipt of any regulatory approvals.</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develop and commercialize any product candidates, which would materially harm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product candidates.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current strategy is focused on developing small molecules to improve the lives of patients with genetically defined rare diseases.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discovery technologies or any of our research or development programs will not cause significant delays or unanticipated costs, or that such development problems can be solved. If we do not successfully identify, develop, obtain regulatory approval for and commercialize product candidates, we will not be able to generate product revenues.</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38" w:name="page39"/>
    <w:bookmarkEnd w:id="38"/>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7"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We currently only have one product candidate in active clinical development following our recent decision to suspend further development of losmapimod. The risk of failure for product candidates is high and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 in humans. We have not yet completed a pivotal clinical trial of any product candidate that demonstrated that our product candidate is safe and effective for its intended use. For example, in September 2024, we announced that REACH, our Phase 3 trial evaluating losmapimod in patients with FSHD, did not successfully achieve its primary endpoint as compared to placebo, and we suspended further development of losmapimod. Additionally, pociredir, our clinical-stage candidate to treat SCD, is an embryonic ectoderm development, or EED, inhibitor. EED is a member of the PRC2 complex, which also includes EZH2. There are approved products in the EZH2 class of medications and their approved labeling outlines safety risks, including an increased risk of malignancies. In the event that pociredir has similar safety risks as other PRC2 medications, this could impact its acceptance.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or continue. For example, in February 2023, the FDA imposed a clinical hold on our IND for pociredir in SCD. We worked diligently to resolve the hold as soon as possible, and in August 2023, the FDA lifted the clinical hold.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86"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Clinical testing is expensive, difficult to design and implement, can take many years to complete and is uncertain as to outcome. We cannot guarantee that any clinical trials will be conducted as planned or completed on schedule, or at all. For example, we revised the inclusion and exclusion criteria of our clinical trial of pociredir in SCD to address the clinical hold imposed by the FDA, and are experiencing some difficulty enrolling patients who meet the updated more stringent criteria. While we are expanding our clinical trial sites, including outside the United States, to identify suitable patients that meet the new criteria, there can be no certainty as to whether we will be successful in completing the clinical trial with its revised design.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In September 2024 we suspended further development of losmapimod after topline data from the Phase 3 REACH trial indicated that it did not achieve its primary endpoint of change from baseline in relative surface area, a measure of reachable work space, compared to placebo.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39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54" w:lineRule="exact"/>
        <w:rPr>
          <w:sz w:val="20"/>
          <w:szCs w:val="20"/>
          <w:color w:val="auto"/>
        </w:rPr>
      </w:pPr>
    </w:p>
    <w:p>
      <w:pPr>
        <w:ind w:left="900" w:right="180" w:hanging="36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900" w:right="760" w:hanging="368"/>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9" w:name="page40"/>
    <w:bookmarkEnd w:id="39"/>
    <w:p>
      <w:pPr>
        <w:ind w:left="900" w:right="38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decide the design of our clinical trials is flawed, for example if our trial protocol does not evaluate treatment effects in trial subjects for a sufficient length of time;</w:t>
      </w:r>
    </w:p>
    <w:p>
      <w:pPr>
        <w:spacing w:after="0" w:line="53"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such as with the recent Phase 3 REACH trial,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900" w:right="380" w:hanging="368"/>
        <w:spacing w:after="0" w:line="312"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31" w:lineRule="exact"/>
        <w:rPr>
          <w:rFonts w:ascii="Times New Roman" w:cs="Times New Roman" w:eastAsia="Times New Roman" w:hAnsi="Times New Roman"/>
          <w:sz w:val="17"/>
          <w:szCs w:val="17"/>
          <w:color w:val="auto"/>
        </w:rPr>
      </w:pPr>
    </w:p>
    <w:p>
      <w:pPr>
        <w:ind w:left="900" w:hanging="368"/>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67"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(for example, we initially experienced difficulty enrolling patients who met the updated inclusion and exclusion criteria for our trial of pociredir in SCD) or participants may drop out of these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900" w:right="4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900" w:right="440" w:hanging="368"/>
        <w:spacing w:after="0" w:line="312" w:lineRule="auto"/>
        <w:tabs>
          <w:tab w:leader="none" w:pos="9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31" w:lineRule="exact"/>
        <w:rPr>
          <w:rFonts w:ascii="Times New Roman" w:cs="Times New Roman" w:eastAsia="Times New Roman" w:hAnsi="Times New Roman"/>
          <w:sz w:val="17"/>
          <w:szCs w:val="17"/>
          <w:color w:val="auto"/>
        </w:rPr>
      </w:pPr>
    </w:p>
    <w:p>
      <w:pPr>
        <w:ind w:left="900" w:right="26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17" w:lineRule="exact"/>
        <w:rPr>
          <w:rFonts w:ascii="Times New Roman" w:cs="Times New Roman" w:eastAsia="Times New Roman" w:hAnsi="Times New Roman"/>
          <w:sz w:val="18"/>
          <w:szCs w:val="18"/>
          <w:color w:val="auto"/>
        </w:rPr>
      </w:pPr>
    </w:p>
    <w:p>
      <w:pPr>
        <w:ind w:left="900" w:right="68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IRBs to suspend or terminate the trials;</w:t>
      </w:r>
    </w:p>
    <w:p>
      <w:pPr>
        <w:spacing w:after="0" w:line="53" w:lineRule="exact"/>
        <w:rPr>
          <w:rFonts w:ascii="Times New Roman" w:cs="Times New Roman" w:eastAsia="Times New Roman" w:hAnsi="Times New Roman"/>
          <w:sz w:val="18"/>
          <w:szCs w:val="18"/>
          <w:color w:val="auto"/>
        </w:rPr>
      </w:pPr>
    </w:p>
    <w:p>
      <w:pPr>
        <w:ind w:left="900" w:hanging="368"/>
        <w:spacing w:after="0" w:line="261"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global instability, including political instability, such as the Russian invasion of Ukraine or hostilities in Israel and the Gaza Strip or Iran, changes in U.S. economic policy that adversely impact the U.S. economy and/or economies worldwide, or instability from an outbreak of pandemic or contagious disease in or around the countries in which we conduct our clinical trials (such as closure of clinical trial sites, as we experienced in our ReDUX4 clinical trial due to COVID-19), could delay the commencement or rate of completion of our clinical trials; and</w:t>
      </w:r>
    </w:p>
    <w:p>
      <w:pPr>
        <w:spacing w:after="0" w:line="71" w:lineRule="exact"/>
        <w:rPr>
          <w:rFonts w:ascii="Times New Roman" w:cs="Times New Roman" w:eastAsia="Times New Roman" w:hAnsi="Times New Roman"/>
          <w:sz w:val="18"/>
          <w:szCs w:val="18"/>
          <w:color w:val="auto"/>
        </w:rPr>
      </w:pPr>
    </w:p>
    <w:p>
      <w:pPr>
        <w:ind w:left="900" w:right="460" w:hanging="368"/>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withdraw their approval of a product or impose restrictions on its distribution, such as in the form of a risk evaluation and mitigation strategy, or REMS.</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Further, in February 2023, the FDA imposed a clinical hold on our IND for pociredir in SCD, which halted our clinical trial until the FDA lifted the clinical hold in August 2023.</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such as our recent topline data from the Phase 3 REACH trial, or are only modestly positive or if there are safety concerns, we may:</w:t>
      </w:r>
    </w:p>
    <w:p>
      <w:pPr>
        <w:spacing w:after="0" w:line="68" w:lineRule="exact"/>
        <w:rPr>
          <w:sz w:val="20"/>
          <w:szCs w:val="20"/>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further development (such as with losmapimod for FSHD);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or a REMS that includes significant use or distribution restrictions or safety warnings;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0" w:name="page41"/>
    <w:bookmarkEnd w:id="40"/>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Identifying and qualifying patients to participate in and complete clinical trials for our product candidates is critical to our success. Successful and timely completion of clinical trials requires that we enroll a sufficient number of patients that meet both the enrollment criteria, and who remain in the trial until its conclusion. For example, in our Phase 1b trial of pociredir, although we enrolled six subjects in the initial cohort, only three subjects remained evaluable as of the initial data cutoff date. Subsequently, we modified the study protocol to monitor subject adherence. However, if such protocols do not improve adherence and improve compliance, we may not be able to generate meaningful data. Furthermore,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We revised the design of our clinical trial of pociredir in SCD to address the clinical hold imposed by the FDA, and there can be no certainty as to whether we will be successful in completing the clinical trial with its revised design, which include updated inclusion and exclusion criteria and thus a narrower set of eligible patients, which necessitated our expansion of the trial outside of the United States to address initial enrollment difficulties. Because of our primary focus on genetically-defined rare diseases, we may have difficulty enrolling a sufficient number of eligible patients.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a variety of other factors, including:</w:t>
      </w:r>
    </w:p>
    <w:p>
      <w:pPr>
        <w:spacing w:after="0" w:line="117" w:lineRule="exact"/>
        <w:rPr>
          <w:sz w:val="20"/>
          <w:szCs w:val="20"/>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 disease under investigation;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 (such as with our trial of pociredir for SCD);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trial;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trial protocols, including invasive procedures;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existing treatments for the indications for which we are conducting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clinical trials by competitors for product candidates that treat the same indications as our current or future product candidates;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specific patient populations for biomarker-defined trial cohort(s);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or lack of adequate compensation for, prospective patients.</w:t>
      </w:r>
    </w:p>
    <w:p>
      <w:pPr>
        <w:spacing w:after="0" w:line="11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w:t>
      </w:r>
    </w:p>
    <w:p>
      <w:pPr>
        <w:spacing w:after="0" w:line="5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41" w:name="page42"/>
    <w:bookmarkEnd w:id="41"/>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or unacceptable side effects are identified during the development of our product candidates, we may need to abandon or limit our development of our product candidate.</w:t>
      </w:r>
    </w:p>
    <w:p>
      <w:pPr>
        <w:spacing w:after="0" w:line="5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w:t>
      </w:r>
    </w:p>
    <w:p>
      <w:pPr>
        <w:spacing w:after="0" w:line="7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example, in February 2023, the FDA placed our IND for pociredir on clinical hold based on hematological malignancies observed in nonclinical toxicology studies. We addressed the FDA’s concern as diligently as possible, including FDA’s request for information about an SCD patient population with an appropriate benefit-risk profile for further clinical development of pociredir, and FDA's request for information to define the potential risk in any further studies that may be conducted in healthy volunteers. Although the FDA lifted the clinical hold in August 2023, we cannot make assurances that patients treated with pociredir will not develop hematological malignancies or other adverse events in the future. We also cannot make assurances that additional observations in preclinical studies of hematological malignancies or other adverse events will not occur. If such additional adverse events were to emerge, further advancement of our clinical studies could be halted or delayed and we may not receive regulatory approval for pociredir. Even if we receive regulatory approval for pociredir, our labeling may be restricted and/or market acceptance for our product may be diminished, and the commercial potential of our pociredir program may be materially and negatively impacted.</w:t>
      </w:r>
    </w:p>
    <w:p>
      <w:pPr>
        <w:spacing w:after="0" w:line="8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In pharmaceutical development, many compounds that initially show promise in early-stage or clinical testing are later found to cause side effects that delay or prevent further development of the compound.</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2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5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75" w:lineRule="exact"/>
        <w:rPr>
          <w:sz w:val="20"/>
          <w:szCs w:val="20"/>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or limitation by regulatory authorities of approvals of such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of the product by regulatory authorities;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the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the product or the manufacturing process for any component thereof;</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by regulatory authorities of additional warnings on the label, such as a “black box” warning or contraindication;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 that we implement a REMS or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expensive post-marketing studies as a prerequisite of approval by regulatory authorities of such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regulatory investigations and government enforcement actions;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legal action against us to hold us liable for harm caused to patients;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 and resulting harm to physician or patient acceptance of our products.</w:t>
      </w:r>
    </w:p>
    <w:p>
      <w:pPr>
        <w:spacing w:after="0" w:line="225"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2" w:name="page43"/>
    <w:bookmarkEnd w:id="42"/>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For example, we suspended further development of losmapimod after devoting significant time, effort and capital on the program but it did not meet its primary endpoint in the Phase 3 REACH trial.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92"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conducting a clinical trial of pociredir in patients with SCD in Africa, and the FDA may not accept data from trials conducted in such locations.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are currently conducting a Phase 1b clinical trial of pociredir in patients with SCD in Africa. We may also conduct additional clinical trials of other product candidates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good clinical practices, and FDA’s ability to validate the data.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6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75" w:lineRule="exact"/>
        <w:rPr>
          <w:sz w:val="20"/>
          <w:szCs w:val="20"/>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of our product candidates compared to the advantages and relative risks of alternative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any similar generic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117" w:lineRule="exact"/>
        <w:rPr>
          <w:rFonts w:ascii="Times New Roman" w:cs="Times New Roman" w:eastAsia="Times New Roman" w:hAnsi="Times New Roman"/>
          <w:sz w:val="18"/>
          <w:szCs w:val="18"/>
          <w:color w:val="auto"/>
        </w:rPr>
      </w:pPr>
    </w:p>
    <w:p>
      <w:pPr>
        <w:ind w:left="900" w:right="20" w:hanging="368"/>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3" w:name="page44"/>
    <w:bookmarkEnd w:id="43"/>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225"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our product candidate may be smaller than we expect, and as a result our product revenue may be limited and it may be more difficult for us to achieve or maintain profitability.</w:t>
      </w:r>
    </w:p>
    <w:p>
      <w:pPr>
        <w:spacing w:after="0" w:line="29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5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6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the future, we may build a focused, specialty sales and marketing infrastructure to market one or more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900" w:right="120" w:hanging="368"/>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or closed distribution channels that make it difficult to distribute our products to segments of the patient population;</w:t>
      </w:r>
    </w:p>
    <w:p>
      <w:pPr>
        <w:spacing w:after="0" w:line="117" w:lineRule="exact"/>
        <w:rPr>
          <w:rFonts w:ascii="Times New Roman" w:cs="Times New Roman" w:eastAsia="Times New Roman" w:hAnsi="Times New Roman"/>
          <w:sz w:val="18"/>
          <w:szCs w:val="18"/>
          <w:color w:val="auto"/>
        </w:rPr>
      </w:pPr>
    </w:p>
    <w:p>
      <w:pPr>
        <w:ind w:left="900" w:right="300" w:hanging="368"/>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We likely will have little control over such third parties, and any of them may fail to devote the necessary resources and attention to sell and market our products effectively. Further, there can be no guarantee that we will be able to successfully enter into arrangements with third parties to perform sales, marketing or distribution services. If we do not establish sales, marketing and distribution capabilities successfully, either on our own or in collaboration with third parties, we will not be successful in commercializing our product candidates.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For example, we are aware of several product candidates in clinical development that could be competitive with product candidates that we may successfully develop and commercialize. See Item 1 “Business — Competition” in the 2024 Annual Report.</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For example, in December 2023, the FDA approved CASGEVY (exagamglogene autotemcel) and LYFGENIA (lovotibeglogene autotemcel), the first ex vivo cell-based gene therapies for the treatment of SCD. CASGEVY has also been FDA-approved for the treatment of transfusion-dependent beta-thalassemia.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84"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8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6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82"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Further, the pricing and reimbursement of our product candidates, if approved, is uncertain, but must be adequate to support commercial infrastructure. If we are unable to obtain adequate levels of reimbursement, our ability to successfully market and sell any approved products will be adversely affected.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45" w:name="page46"/>
    <w:bookmarkEnd w:id="45"/>
    <w:p>
      <w:pPr>
        <w:ind w:right="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2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do not have any manufacturing facilities and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 supply sources.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80"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8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increases the risk that we will not have sufficient quantities of our product candidate or products or such quantities at an acceptable cost or quality, which could delay, prevent or impair our development or commercialization efforts.</w:t>
      </w:r>
    </w:p>
    <w:p>
      <w:pPr>
        <w:spacing w:after="0" w:line="51"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We do not have any manufacturing facilities. Although we believe we have obtained sufficient quantities of pociredir from a CMO for the completion of our Phase 1b clinical trial for SCD, we cannot be sure we have correctly estimated our drug product requirements, which could delay, prevent or impair our development efforts.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6" w:name="page47"/>
    <w:bookmarkEnd w:id="46"/>
    <w:p>
      <w:pPr>
        <w:ind w:firstLine="509"/>
        <w:spacing w:after="0" w:line="258" w:lineRule="auto"/>
        <w:rPr>
          <w:sz w:val="20"/>
          <w:szCs w:val="20"/>
          <w:color w:val="auto"/>
        </w:rPr>
      </w:pPr>
      <w:r>
        <w:rPr>
          <w:rFonts w:ascii="Times New Roman" w:cs="Times New Roman" w:eastAsia="Times New Roman" w:hAnsi="Times New Roman"/>
          <w:sz w:val="18"/>
          <w:szCs w:val="18"/>
          <w:color w:val="auto"/>
        </w:rPr>
        <w:t>We expect to rely on third parties for the manufacture of pociredir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7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addition, legislative proposals are pending that, if enacted, could negatively impact U.S. funding for certain biotechnology providers having relationships with foreign adversaries or which pose a threat to national security. The potential downstream adverse impacts on entities having commercial relationships with any impacted biotechnology providers are unknown but may include supply chain disruptions or delays. 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72"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Item 1 “Business — Government Regulation and Product Approval — Pharmaceutical Insurance Coverage and Health Care Reform” in the 2024 Annual Report.</w:t>
      </w:r>
    </w:p>
    <w:p>
      <w:pPr>
        <w:spacing w:after="0" w:line="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7" w:name="page48"/>
    <w:bookmarkEnd w:id="47"/>
    <w:p>
      <w:pPr>
        <w:ind w:firstLine="509"/>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8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profitability will depend, in part, on our ability to commercialize our product candidates in markets outside of the United States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Union. If we commercialize our product candidates in foreign markets, we will be subject to additional risks and uncertainties, including:</w:t>
      </w:r>
    </w:p>
    <w:p>
      <w:pPr>
        <w:spacing w:after="0" w:line="99" w:lineRule="exact"/>
        <w:rPr>
          <w:sz w:val="20"/>
          <w:szCs w:val="20"/>
          <w:color w:val="auto"/>
        </w:rPr>
      </w:pPr>
    </w:p>
    <w:p>
      <w:pPr>
        <w:ind w:left="900" w:right="60" w:hanging="368"/>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economies and markets, which could include localized disputes that have a broader regional or global impact (such as the Russian invasion of Ukraine or ongoing hostilities in Israel and the Gaza Strip, and the recent conflict in Iran);</w:t>
      </w:r>
    </w:p>
    <w:p>
      <w:pPr>
        <w:spacing w:after="0" w:line="67"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many of which vary between countries;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barriers, as well as other governmental controls and trade restrictions;</w:t>
      </w:r>
    </w:p>
    <w:p>
      <w:pPr>
        <w:spacing w:after="0" w:line="117" w:lineRule="exact"/>
        <w:rPr>
          <w:rFonts w:ascii="Times New Roman" w:cs="Times New Roman" w:eastAsia="Times New Roman" w:hAnsi="Times New Roman"/>
          <w:sz w:val="18"/>
          <w:szCs w:val="18"/>
          <w:color w:val="auto"/>
        </w:rPr>
      </w:pPr>
    </w:p>
    <w:p>
      <w:pPr>
        <w:ind w:left="900" w:right="120" w:hanging="3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trade protection measures, import or export licensing requirements or other restrictive actions by U.S. or foreign governments (such as the announced tariffs by the current U.S. administration, which have led to volatility in the market and uncertainty);</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common;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 and related prevalence of generic alternatives to therapeutics;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 currency controls;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foreign reimbursement landscapes;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and potentially inadequate reimbursement of our products;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risks related to any of these uncertainties materializes, it could have a material adverse effect on our business.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48" w:name="page49"/>
    <w:bookmarkEnd w:id="48"/>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9" w:lineRule="exact"/>
        <w:rPr>
          <w:sz w:val="20"/>
          <w:szCs w:val="20"/>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any related litigation;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We currently rely on third-party contract CROs to conduct our clinical trials. We plan to rely on third-party CROs or third-party research collaboratives to conduct any future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7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8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6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9" w:name="page50"/>
    <w:bookmarkEnd w:id="49"/>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companies and biotechnology companies. These third party arrangements generally do not provide us with the ability to control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that we enter into may not be successful, and any success will depend heavily on the efforts and activities of such collaborators.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pose a number of risks, including the following:</w:t>
      </w:r>
    </w:p>
    <w:p>
      <w:pPr>
        <w:spacing w:after="0" w:line="99" w:lineRule="exact"/>
        <w:rPr>
          <w:sz w:val="20"/>
          <w:szCs w:val="20"/>
          <w:color w:val="auto"/>
        </w:rPr>
      </w:pPr>
    </w:p>
    <w:p>
      <w:pPr>
        <w:ind w:left="900" w:right="90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00" w:right="10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any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67" w:lineRule="exact"/>
        <w:rPr>
          <w:rFonts w:ascii="Times New Roman" w:cs="Times New Roman" w:eastAsia="Times New Roman" w:hAnsi="Times New Roman"/>
          <w:sz w:val="18"/>
          <w:szCs w:val="18"/>
          <w:color w:val="auto"/>
        </w:rPr>
      </w:pPr>
    </w:p>
    <w:p>
      <w:pPr>
        <w:ind w:left="900" w:right="58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00" w:right="14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67" w:lineRule="exact"/>
        <w:rPr>
          <w:rFonts w:ascii="Times New Roman" w:cs="Times New Roman" w:eastAsia="Times New Roman" w:hAnsi="Times New Roman"/>
          <w:sz w:val="18"/>
          <w:szCs w:val="18"/>
          <w:color w:val="auto"/>
        </w:rPr>
      </w:pPr>
    </w:p>
    <w:p>
      <w:pPr>
        <w:ind w:left="900" w:right="56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0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900" w:right="16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900" w:right="60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00" w:right="60" w:hanging="368"/>
        <w:spacing w:after="0" w:line="261"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00" w:right="12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900" w:right="540" w:hanging="368"/>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53" w:lineRule="exact"/>
        <w:rPr>
          <w:rFonts w:ascii="Times New Roman" w:cs="Times New Roman" w:eastAsia="Times New Roman" w:hAnsi="Times New Roman"/>
          <w:sz w:val="18"/>
          <w:szCs w:val="18"/>
          <w:color w:val="auto"/>
        </w:rPr>
      </w:pPr>
    </w:p>
    <w:p>
      <w:pPr>
        <w:ind w:left="900" w:right="260" w:hanging="368"/>
        <w:spacing w:after="0" w:line="266"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(e.g., our former collaborations with Acceleron Pharma, Inc. and MyoKardia, Inc., the latter of which was terminated on June 26, 2025), and, if terminated, we could be required to raise additional capital to pursue further development or commercialization of the applicable product candidates.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7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a collaborator of ours is involved in a business combination, the collaborator might deemphasize or terminate the development or commercialization of any product candidate licensed to it by us. If our collaborator terminates its agreement with us, we may find it more difficult to attract new collaborators and our perception in the business and financial communities could be adversely affected.</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we may have to alter our development and commercialization plans and our business could be adversely affected.</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For some of our product candidates, we may decide to collaborate with pharmaceutical or biotechnology companies for the development and potential commercialization of those product candidates.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or future license agreements from entering into agreements on certain terms with potential collaborators.</w:t>
      </w:r>
    </w:p>
    <w:p>
      <w:pPr>
        <w:spacing w:after="0" w:line="89"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3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6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ind w:firstLine="509"/>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7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 in the 2024 Annual Report.</w:t>
      </w:r>
    </w:p>
    <w:p>
      <w:pPr>
        <w:spacing w:after="0" w:line="195"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issued and pending U.S. non-provisional and provisional applications provide protection for the pharmaceutical compositions and methods of use for pociredir,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9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3"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Under our current license agreements, we may not have the final or sole decision on whether we are able to opt out certain of our in-licensed European patents and patent applications from the recently created Unified Patent Court, or the UPC, for the European Union. While our licensors have decided to opt out of the UPC, we cannot guarantee that our in-licensed European patents and patent applications will be challenged for non-compliance during the opt-out procedure and if successful, brought under the jurisdiction of the UPC, nor can we guarantee that our licensors will decide to opt back into the UPC at a later time.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 product candidate receives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3" w:name="page54"/>
    <w:bookmarkEnd w:id="53"/>
    <w:p>
      <w:pPr>
        <w:ind w:right="100"/>
        <w:spacing w:after="0" w:line="282" w:lineRule="auto"/>
        <w:rPr>
          <w:sz w:val="20"/>
          <w:szCs w:val="20"/>
          <w:color w:val="auto"/>
        </w:rPr>
      </w:pPr>
      <w:r>
        <w:rPr>
          <w:rFonts w:ascii="Times New Roman" w:cs="Times New Roman" w:eastAsia="Times New Roman" w:hAnsi="Times New Roman"/>
          <w:sz w:val="18"/>
          <w:szCs w:val="18"/>
          <w:color w:val="auto"/>
        </w:rPr>
        <w:t>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Item 1 “Business—Intellectual Property” in the 2024 Annual Report for additional information regarding patent laws and patent protection.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issued European patents could be subject to the jurisdiction of the UPC.</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European patents and patent applications could be challenged in the UPC. We decided to remove, i.e., opt out, our European patents and patent applications from the jurisdiction of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1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4" w:name="page55"/>
    <w:bookmarkEnd w:id="54"/>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or our licensors are not currently involved in any litigation to protect or enforce our patent or other intellectual property rights, we may become involved in such lawsuits, which could be expensive, time-consuming and unsuccessful.</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The outcome following legal assertions of invalidity and unenforceability is unpredictable.</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5" w:name="page56"/>
    <w:bookmarkEnd w:id="55"/>
    <w:p>
      <w:pPr>
        <w:ind w:right="60"/>
        <w:spacing w:after="0" w:line="266" w:lineRule="auto"/>
        <w:rPr>
          <w:sz w:val="20"/>
          <w:szCs w:val="20"/>
          <w:color w:val="auto"/>
        </w:rPr>
      </w:pPr>
      <w:r>
        <w:rPr>
          <w:rFonts w:ascii="Times New Roman" w:cs="Times New Roman" w:eastAsia="Times New Roman" w:hAnsi="Times New Roman"/>
          <w:sz w:val="18"/>
          <w:szCs w:val="18"/>
          <w:color w:val="auto"/>
        </w:rPr>
        <w:t>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8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9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29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spacing w:after="0" w:line="254" w:lineRule="auto"/>
        <w:rPr>
          <w:sz w:val="20"/>
          <w:szCs w:val="20"/>
          <w:color w:val="auto"/>
        </w:rPr>
      </w:pPr>
      <w:r>
        <w:rPr>
          <w:rFonts w:ascii="Times New Roman" w:cs="Times New Roman" w:eastAsia="Times New Roman" w:hAnsi="Times New Roman"/>
          <w:sz w:val="18"/>
          <w:szCs w:val="18"/>
          <w:color w:val="auto"/>
        </w:rPr>
        <w:t>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96"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5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We are party to license and funding agreements,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that we use in our discovery efforts, all of which are non-exclusive. While we still face all of the risks described herein with respect to those agreements, we cannot prevent third parties from also accessing those technologies. In addition, our licenses may place restrictions on our future business opportunities.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117" w:lineRule="exact"/>
        <w:rPr>
          <w:sz w:val="20"/>
          <w:szCs w:val="20"/>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00" w:right="260" w:hanging="368"/>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8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0"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ind w:right="80"/>
        <w:spacing w:after="0" w:line="282" w:lineRule="auto"/>
        <w:rPr>
          <w:sz w:val="20"/>
          <w:szCs w:val="20"/>
          <w:color w:val="auto"/>
        </w:rPr>
      </w:pPr>
      <w:r>
        <w:rPr>
          <w:rFonts w:ascii="Times New Roman" w:cs="Times New Roman" w:eastAsia="Times New Roman" w:hAnsi="Times New Roman"/>
          <w:sz w:val="18"/>
          <w:szCs w:val="18"/>
          <w:color w:val="auto"/>
        </w:rPr>
        <w:t>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8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9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discovery technology.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w:t>
      </w:r>
    </w:p>
    <w:p>
      <w:pPr>
        <w:spacing w:after="0" w:line="117"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in-licensed intellectual property rights;</w:t>
      </w:r>
    </w:p>
    <w:p>
      <w:pPr>
        <w:spacing w:after="0" w:line="53" w:lineRule="exact"/>
        <w:rPr>
          <w:rFonts w:ascii="Times New Roman" w:cs="Times New Roman" w:eastAsia="Times New Roman" w:hAnsi="Times New Roman"/>
          <w:sz w:val="18"/>
          <w:szCs w:val="18"/>
          <w:color w:val="auto"/>
        </w:rPr>
      </w:pPr>
    </w:p>
    <w:p>
      <w:pPr>
        <w:ind w:left="900" w:right="6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and in-licensed pending patent applications or those we may own or in-license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900" w:right="82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900" w:right="380" w:hanging="368"/>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9" w:name="page60"/>
    <w:bookmarkEnd w:id="59"/>
    <w:p>
      <w:pPr>
        <w:ind w:left="90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117" w:lineRule="exact"/>
        <w:rPr>
          <w:rFonts w:ascii="Times New Roman" w:cs="Times New Roman" w:eastAsia="Times New Roman" w:hAnsi="Times New Roman"/>
          <w:sz w:val="18"/>
          <w:szCs w:val="18"/>
          <w:color w:val="auto"/>
        </w:rPr>
      </w:pPr>
    </w:p>
    <w:p>
      <w:pPr>
        <w:ind w:left="900" w:right="42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53" w:lineRule="exact"/>
        <w:rPr>
          <w:rFonts w:ascii="Times New Roman" w:cs="Times New Roman" w:eastAsia="Times New Roman" w:hAnsi="Times New Roman"/>
          <w:sz w:val="18"/>
          <w:szCs w:val="18"/>
          <w:color w:val="auto"/>
        </w:rPr>
      </w:pPr>
    </w:p>
    <w:p>
      <w:pPr>
        <w:ind w:left="900" w:right="100" w:hanging="368"/>
        <w:spacing w:after="0" w:line="266"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our discovery technology are protected by trade secrets, but much is not protected by intellectual property, including patents, trade secrets and know-how, and we may not be able to develop, acquire or in-license any patentable technologies or other intellectual property related to the unprotected portions of our discovery portfolio;</w:t>
      </w:r>
    </w:p>
    <w:p>
      <w:pPr>
        <w:spacing w:after="0" w:line="6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7" w:lineRule="exact"/>
        <w:rPr>
          <w:rFonts w:ascii="Times New Roman" w:cs="Times New Roman" w:eastAsia="Times New Roman" w:hAnsi="Times New Roman"/>
          <w:sz w:val="18"/>
          <w:szCs w:val="18"/>
          <w:color w:val="auto"/>
        </w:rPr>
      </w:pPr>
    </w:p>
    <w:p>
      <w:pPr>
        <w:ind w:left="900" w:right="400" w:hanging="368"/>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8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0" w:name="page61"/>
    <w:bookmarkEnd w:id="60"/>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the change in presidential administration, funding shortages or potential funding shortages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 and our timelines.</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shifting policy priorities as a result of changes in the presidential administration and political appointees tasked to oversee the agency, and statutory, regulatory,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 Currently, federal agencies in the United States are operating under a continuing resolution that is set to expire on September 30, 2025.</w:t>
      </w:r>
    </w:p>
    <w:p>
      <w:pPr>
        <w:spacing w:after="0" w:line="7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Disruptions at the FDA and other federal agencies, including substantial leadership departures, personnel cuts, and policy changes, may also slow the time necessary for new drugs to be reviewed and/or approved, which would harm our business. Changes and cuts in FDA staffing also could result in delays in the FDA’s responsiveness or in its ability to review IND submissions or applications, issue regulations or guidance, or implement or enforce regulatory requirements in a timely fashion or at all.</w:t>
      </w:r>
    </w:p>
    <w:p>
      <w:pPr>
        <w:spacing w:after="0" w:line="72"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and the SEC to timely review and process our submissions, which could have a material adverse effect on our business and our timelines.</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With the change in the U.S. presidential administration in 2025, there is substantial uncertainty as to whether and how the current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new administration could issue or promulgate executive orders, regulations, policies or guidance that adversely affect us or create a more challenging or costly environment to pursue the development of new therapeutic candidates.</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51"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European Union, may designate drugs for relatively small patient populations as orphan drugs. We may seek orphan drug designation for our other current and future product candidates.</w:t>
      </w:r>
    </w:p>
    <w:p>
      <w:pPr>
        <w:spacing w:after="0" w:line="5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product no longer meets the criteria for orphan designation, including if the product is sufficiently profitable so that market exclusivity is no longer justified. Proposed amendments to European Union regulations regarding orphan medicines are under consideration which, if approved, could reduce the ten-year marketing exclusivity period.</w:t>
      </w:r>
    </w:p>
    <w:p>
      <w:pPr>
        <w:spacing w:after="0" w:line="8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54"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the FDA or the EMA can subsequently approve the same drug for the same condition if the FDA or the EMA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29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Designation by the FDA, such as fast track or breakthrough therapy, may not lead to a faster development or regulatory review or approval process, and it does not increase the likelihood that our product candidates will receive marketing approval.</w:t>
      </w:r>
    </w:p>
    <w:p>
      <w:pPr>
        <w:spacing w:after="0" w:line="5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FDA granted fast track designation to pociredir for the treatment of SCD, and we may seek fast track designation for some of our other product candidates as well as breakthrough therapy designation. If a drug is intended for the treatment of a serious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1" w:name="page62"/>
    <w:bookmarkEnd w:id="61"/>
    <w:p>
      <w:pPr>
        <w:spacing w:after="0" w:line="258" w:lineRule="auto"/>
        <w:rPr>
          <w:sz w:val="20"/>
          <w:szCs w:val="20"/>
          <w:color w:val="auto"/>
        </w:rPr>
      </w:pPr>
      <w:r>
        <w:rPr>
          <w:rFonts w:ascii="Times New Roman" w:cs="Times New Roman" w:eastAsia="Times New Roman" w:hAnsi="Times New Roman"/>
          <w:sz w:val="18"/>
          <w:szCs w:val="18"/>
          <w:color w:val="auto"/>
        </w:rPr>
        <w:t>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5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an intermediate clinical endpoint).</w:t>
      </w:r>
    </w:p>
    <w:p>
      <w:pPr>
        <w:spacing w:after="0" w:line="72"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Prior to seeking such accelerated approval, we will seek feedback from the FDA and otherwise evaluate our ability to seek and receive such accelerated approval.</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7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Moreover,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of 2022, or FDORA, the FDA may require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even if we seek to utilize the accelerated approval pathway for a product candidate, we may not experience a faster development or regulatory review or approval process for that product. In addition, receiving accelerated approval does not assure that the product’s accelerated approval will ultimately be converted to a traditional approval.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any product candidates from being marketed abroad.</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spacing w:after="0" w:line="256" w:lineRule="auto"/>
        <w:rPr>
          <w:sz w:val="20"/>
          <w:szCs w:val="20"/>
          <w:color w:val="auto"/>
        </w:rPr>
      </w:pPr>
      <w:r>
        <w:rPr>
          <w:rFonts w:ascii="Times New Roman" w:cs="Times New Roman" w:eastAsia="Times New Roman" w:hAnsi="Times New Roman"/>
          <w:sz w:val="18"/>
          <w:szCs w:val="18"/>
          <w:color w:val="auto"/>
        </w:rPr>
        <w:t>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the necessary approvals to commercialize our products in any market.</w:t>
      </w:r>
    </w:p>
    <w:p>
      <w:pPr>
        <w:spacing w:after="0" w:line="7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Additionally, now that the United Kingdom is no longer part of the European Union, separate applications and procedures will be required to obtain regulatory approval for our products in the United Kingdom and the European Union. Any delay in obtaining, or an inability to obtain, any marketing approvals could prevent us from commercializing any product candidates in the United Kingdom and/or the European Union and restrict our ability to generate revenue and achieve and sustain profitability.</w:t>
      </w:r>
    </w:p>
    <w:p>
      <w:pPr>
        <w:spacing w:after="0" w:line="28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67"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7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54" w:lineRule="exact"/>
        <w:rPr>
          <w:sz w:val="20"/>
          <w:szCs w:val="20"/>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jc w:val="both"/>
        <w:ind w:right="520" w:firstLine="509"/>
        <w:spacing w:after="0" w:line="289" w:lineRule="auto"/>
        <w:rPr>
          <w:sz w:val="20"/>
          <w:szCs w:val="20"/>
          <w:color w:val="auto"/>
        </w:rPr>
      </w:pPr>
      <w:r>
        <w:rPr>
          <w:rFonts w:ascii="Times New Roman" w:cs="Times New Roman" w:eastAsia="Times New Roman" w:hAnsi="Times New Roman"/>
          <w:sz w:val="17"/>
          <w:szCs w:val="17"/>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w:t>
      </w:r>
    </w:p>
    <w:p>
      <w:pPr>
        <w:spacing w:after="0" w:line="5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We will also be subject to other regulatory requirements, including submissions of safety and other post-marketing information and reports, registration and listing requirements, requirements regarding the distribution of samples to clinicians, and recordkeeping.</w:t>
      </w:r>
    </w:p>
    <w:p>
      <w:pPr>
        <w:spacing w:after="0" w:line="291"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Item 1 “Business—Government Regulation and Product Approvals—Health Care Law and Regulation” in the 2024 Annual Report.</w:t>
      </w:r>
    </w:p>
    <w:p>
      <w:pPr>
        <w:spacing w:after="0" w:line="8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92"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67"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legislative and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Economic Area, or EEA, including personal health data, is subject to the European Union’s General Data Protection Regulation, or EU GDPR. Following the withdrawal of the United Kingdom from the European Union, or Brexit, the EU GDPR has been incorporated into United Kingdom’s laws, or UK GDPR, alongside the UK Data Protection Act 2018, and together with the EU GDPR, is referred to as GDPR.</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us to implement a variety of different contractual clauses approved by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4" w:name="page65"/>
    <w:bookmarkEnd w:id="64"/>
    <w:p>
      <w:pPr>
        <w:ind w:right="180"/>
        <w:spacing w:after="0" w:line="261" w:lineRule="auto"/>
        <w:rPr>
          <w:sz w:val="20"/>
          <w:szCs w:val="20"/>
          <w:color w:val="auto"/>
        </w:rPr>
      </w:pPr>
      <w:r>
        <w:rPr>
          <w:rFonts w:ascii="Times New Roman" w:cs="Times New Roman" w:eastAsia="Times New Roman" w:hAnsi="Times New Roman"/>
          <w:sz w:val="18"/>
          <w:szCs w:val="18"/>
          <w:color w:val="auto"/>
        </w:rPr>
        <w:t>European Union’s or United Kingdom’s regulators, and carry out transfer impact assessments to establish whether the third country can ensure essential equivalency. This complexity and the additional contractual burden increases our overall risk exposure, and may result in us needing to make strategic considerations around where EEA and UK personal data is stored and which service providers we can utilize for the processing of EEA and UK personal data.</w:t>
      </w:r>
    </w:p>
    <w:p>
      <w:pPr>
        <w:spacing w:after="0" w:line="7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may be further divergence in the future, including with regard to administrative burdens. The UK Government has also now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This may lead to additional compliance costs and could increase our overall risk exposure as we may no longer be able to take a unified approach across the European Union and the United Kingdom, and we will need to amend our processes and procedures to align with the new framework.</w:t>
      </w:r>
    </w:p>
    <w:p>
      <w:pPr>
        <w:spacing w:after="0" w:line="7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Similar data protection laws are either in place or under way in the United States. There are a broad variety of privacy and data security laws and regulations that may be applicable to our activities governing the collection, use, disclosure, and protection of health-related and other personal information (including, state data breach notification laws, health information and/or genetic privacy laws and federal and state consumer protection laws including Section 5 of the FTC Act, HIPAA, and the California Consumer Privacy Act, or CCPA). For example, the CCPA as amended by the California Privacy Rights Act, has created certain requirements for data use, sharing and transparency, and provides California residents certain rights concerning their personal information, such as access, correction, deletion and opt out of selling or sharing such data. More than a dozen other states have implemented privacy legislation similar to the CCPA or are preparing to implement their own regulatory frameworks. For example, Washington state’s My Health My Data Act, which took effect in March 2024, expands the definition of consumer health data, affords consumers with privacy rights and creates a private right of action, which could generate litigation. A wide range of enforcement agencies at both the state and federal levels, such as the Federal Trade Commission and state Attorneys General have been increasingly aggressive in reviewing and enforcing privacy and data security-related consumer protection laws. Regulators and legislators in the U.S. are increasingly scrutinizing and restricting certain personal data transfers and transactions involving foreign countries. See Item 1 “Business –Government Regulation and Product Approvals” in the 2024 Annual Report.</w:t>
      </w:r>
    </w:p>
    <w:p>
      <w:pPr>
        <w:spacing w:after="0" w:line="82"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Given the breadth and depth of changes in privacy, data protection and consumer protection obligations, preparing for and complying with these requirements is rigorous and time intensive and requires significant resources and ongoing review of our technologies, systems and practices, as well as those of any third-party collaborators, service providers, contractors or consultants that store, process or transfer personal data on our behalf. Compliance with the GDPR and other similar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Any failure or perceived failure by us to comply with such laws and regulations could lead to government enforcement actions, private litigation and significant fines and penalties against us and could have a material adverse effect on our business, financial condition or results of operations. There is also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9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 and affect the prices we may obtain for any products that are approved in the United States or foreign jurisdictions.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Approval—Pharmaceutical Insurance Coverage and Health Care Reform” in the 2024 Annual Report.</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example, the Inflation Reduction Act of 2022, among other things, allows for Centers for Medicare &amp; Medicaid Services to negotiate prices for certain single-source drugs and biologics reimbursed under Medicare Part B and Part D, beginning with select high-cost drugs in 2026. The legislation subjects drug manufacturers to civil monetary penalties and a potential excise tax for offering a price that is not equal to or less than the price negotiated under the law or for taking price increases that exceed inflation. The legislation also requires manufacturers to pay rebates for drugs in Medicare Part B and Part D whose price increases exceed inflation. Further, the legislation caps Medicare beneficiaries’ annual out-of-pocket drug expenses at $2,000. The implementation of the IRA is currently subject to ongoing litigation challenging the constitutionality of the IRA’s Medicare drug price negotiation program. The effect of Inflation Reduction Act of 2022 on our business and the healthcare industry in general is not yet known.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5" w:name="page66"/>
    <w:bookmarkEnd w:id="65"/>
    <w:p>
      <w:pPr>
        <w:ind w:firstLine="509"/>
        <w:spacing w:after="0" w:line="252" w:lineRule="auto"/>
        <w:rPr>
          <w:sz w:val="20"/>
          <w:szCs w:val="20"/>
          <w:color w:val="auto"/>
        </w:rPr>
      </w:pPr>
      <w:r>
        <w:rPr>
          <w:rFonts w:ascii="Times New Roman" w:cs="Times New Roman" w:eastAsia="Times New Roman" w:hAnsi="Times New Roman"/>
          <w:sz w:val="18"/>
          <w:szCs w:val="18"/>
          <w:color w:val="auto"/>
        </w:rPr>
        <w:t>Further, on April 15, 2025, the current U.S.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current U.S.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U.S. patients in line with comparably developed nations. Further, the Executive Order directs the federal government to support regulatory paths to allow direct-to-patient sales for companies that meet these targets. It also states that the current U.S. administration will take additional aggressive action (for example, examining whether marketing approvals should be modified or rescinded or opening the door for individual drug importation waivers) should manufacturers fail to offer U.S.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during the current President’s first term in office was subject to an injunction resulting from judicial challenges to the rule, which was formally rescinded in August 2021.</w:t>
      </w:r>
    </w:p>
    <w:p>
      <w:pPr>
        <w:spacing w:after="0" w:line="8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6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if any.</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8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6" w:name="page67"/>
    <w:bookmarkEnd w:id="66"/>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2"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6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75"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 GDPR.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2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information technology systems and infrastructure, or those of our collaborators or other contractors or consultants, may fail or suffer security compromises or breaches, which could result in a disruption of our product development programs.</w:t>
      </w:r>
    </w:p>
    <w:p>
      <w:pPr>
        <w:spacing w:after="0" w:line="5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Our internal computer and information technology systems and infrastructure and those of our CROs, collaborators, and other contractors or consultants upon which our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our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We, and our third party service providers, have experienced cyber incidents in the past, and we cannot guarantee that the measures we take to prevent, detect and respond to cyber-attacks will be effective to prevent or remediate future incidents. If our cybersecurity measures or those of our service providers fail to protect against unauthorized access, attacks, compromise or the mishandling of data by our employees or contractors, then our reputation, customer trust, business, results of operations and financial condition could be adversely affected. Because the techniques used by threat actors who may attempt to penetrate and sabotage our computer systems or those of our collaborators or other contractors or consultants change frequently and may not be recognized until launched against a target, we may be unable to anticipate these techniques.</w:t>
      </w:r>
    </w:p>
    <w:p>
      <w:pPr>
        <w:spacing w:after="0" w:line="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compromise or breach were to result in a loss of, damage to, unauthorized access, or misuse of our data, systems, infrastructure or applications, or inappropriate disclosure of confidential or proprietary information, we could incur liability (including in connection with or resulting from litigation or governmental investigations and enforcement actions), our competitive position could be harmed and the further development and commercialization of our product candidates could be delayed and our business could be otherwise adversely affected. We cannot be sure that our cyber insurance coverage will be adequate or sufficient to protect us from or to mitigate liabilities arising out of any such disruption in, or failure or security incident, breach, or compromise of our system or third-party systems.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8" w:name="page69"/>
    <w:bookmarkEnd w:id="68"/>
    <w:p>
      <w:pPr>
        <w:ind w:right="300"/>
        <w:spacing w:after="0" w:line="282" w:lineRule="auto"/>
        <w:rPr>
          <w:sz w:val="20"/>
          <w:szCs w:val="20"/>
          <w:color w:val="auto"/>
        </w:rPr>
      </w:pPr>
      <w:r>
        <w:rPr>
          <w:rFonts w:ascii="Times New Roman" w:cs="Times New Roman" w:eastAsia="Times New Roman" w:hAnsi="Times New Roman"/>
          <w:sz w:val="18"/>
          <w:szCs w:val="18"/>
          <w:color w:val="auto"/>
        </w:rPr>
        <w:t>not maintain “key person” insurance for any of our executives or other employees. Recruiting and retaining qualified scientific, clinical, manufacturing, accounting, legal and sales and marketing personnel will also be critical to our success.</w:t>
      </w:r>
    </w:p>
    <w:p>
      <w:pPr>
        <w:spacing w:after="0" w:line="5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have had executive transitions, including of our chief executive officer, chief financial officer, president of research and development, chief scientific officer, and chief medical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Even if we are successful in our efforts to replace our executive leadership, we cannot guarantee that we will not face similar turnover in the future. In addition, we rely on consultants and advisors, including scientific and clinical advisors, to assist us in formulating our research and development and commercialization strategy. In August 2022 and September 2024, we announced a workforce reduction in our research and development function, which may make us a less attractive employer to future candidates.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300"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if appropriate, potentially implement sales, marketing and distribution capabilities, and as a result, we may encounter difficulties in managing our growth, which could disrupt our operations.</w:t>
      </w:r>
    </w:p>
    <w:p>
      <w:pPr>
        <w:spacing w:after="0" w:line="51"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color w:val="auto"/>
        </w:rPr>
        <w:t>As we continue to expand our pipeline, we expect that we will experience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5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of July 22, 2025, our executive officers and directors and our stockholders who owned more than 5% of our outstanding common stock in the aggregate beneficially owned shares representing approximately 74.9%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control may:</w:t>
      </w:r>
    </w:p>
    <w:p>
      <w:pPr>
        <w:spacing w:after="0" w:line="117" w:lineRule="exact"/>
        <w:rPr>
          <w:sz w:val="20"/>
          <w:szCs w:val="20"/>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and board of directors; or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prevent a merger, consolidation, takeover or other business combination involving us that other stockholders may desire.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both"/>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28"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9" w:lineRule="exact"/>
        <w:rPr>
          <w:sz w:val="20"/>
          <w:szCs w:val="20"/>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only one of three classes of directors is elected each year;</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our board of directors;</w:t>
      </w:r>
    </w:p>
    <w:p>
      <w:pPr>
        <w:spacing w:after="0" w:line="117" w:lineRule="exact"/>
        <w:rPr>
          <w:rFonts w:ascii="Times New Roman" w:cs="Times New Roman" w:eastAsia="Times New Roman" w:hAnsi="Times New Roman"/>
          <w:sz w:val="18"/>
          <w:szCs w:val="18"/>
          <w:color w:val="auto"/>
        </w:rPr>
      </w:pPr>
    </w:p>
    <w:p>
      <w:pPr>
        <w:ind w:left="900" w:right="100" w:hanging="368"/>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proposals that can be acted on at stockholder meetings and nominations to our board of directors;</w:t>
      </w:r>
    </w:p>
    <w:p>
      <w:pPr>
        <w:spacing w:after="0" w:line="53" w:lineRule="exact"/>
        <w:rPr>
          <w:rFonts w:ascii="Times New Roman" w:cs="Times New Roman" w:eastAsia="Times New Roman" w:hAnsi="Times New Roman"/>
          <w:sz w:val="18"/>
          <w:szCs w:val="18"/>
          <w:color w:val="auto"/>
        </w:rPr>
      </w:pPr>
    </w:p>
    <w:p>
      <w:pPr>
        <w:ind w:left="900" w:right="440" w:hanging="368"/>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117" w:lineRule="exact"/>
        <w:rPr>
          <w:rFonts w:ascii="Times New Roman" w:cs="Times New Roman" w:eastAsia="Times New Roman" w:hAnsi="Times New Roman"/>
          <w:sz w:val="18"/>
          <w:szCs w:val="18"/>
          <w:color w:val="auto"/>
        </w:rPr>
      </w:pPr>
    </w:p>
    <w:p>
      <w:pPr>
        <w:ind w:left="900" w:hanging="368"/>
        <w:spacing w:after="0" w:line="26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7" w:lineRule="exact"/>
        <w:rPr>
          <w:rFonts w:ascii="Times New Roman" w:cs="Times New Roman" w:eastAsia="Times New Roman" w:hAnsi="Times New Roman"/>
          <w:sz w:val="18"/>
          <w:szCs w:val="18"/>
          <w:color w:val="auto"/>
        </w:rPr>
      </w:pPr>
    </w:p>
    <w:p>
      <w:pPr>
        <w:ind w:left="900" w:right="140" w:hanging="368"/>
        <w:spacing w:after="0" w:line="282"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8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5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our stockholders.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2" w:lineRule="exact"/>
        <w:rPr>
          <w:sz w:val="20"/>
          <w:szCs w:val="20"/>
          <w:color w:val="auto"/>
        </w:rPr>
      </w:pPr>
    </w:p>
    <w:p>
      <w:pPr>
        <w:ind w:left="900" w:right="820" w:hanging="368"/>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or developments in preclinical studies and clinical trials of our product candidates or those of our competitors or potential collaborators;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commercializing our products, if and when approved;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70" w:name="page71"/>
    <w:bookmarkEnd w:id="70"/>
    <w:p>
      <w:pPr>
        <w:ind w:left="900" w:hanging="36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900" w:right="260" w:hanging="368"/>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53"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900" w:hanging="368"/>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9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7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we have filed or intend to file universal shelf registration statements (which allows us to offer and sell securities from time to time pursuant to one or more offerings at prices and terms to be determined at the time of sale) subject to an aggregate offering amount stated therein, as well as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scaled disclosure requirements applicable to smaller reporting companies may make our common stock less attractive to investors.</w:t>
      </w:r>
    </w:p>
    <w:p>
      <w:pPr>
        <w:spacing w:after="0" w:line="5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or SRC. For so long as we remain an SRC, we are permitted and intend to rely on certain scaled disclosure requirements that are applicable to other public companies that are not SRCs. These scaled disclosure requirements include:</w:t>
      </w:r>
    </w:p>
    <w:p>
      <w:pPr>
        <w:spacing w:after="0" w:line="54" w:lineRule="exact"/>
        <w:rPr>
          <w:sz w:val="20"/>
          <w:szCs w:val="20"/>
          <w:color w:val="auto"/>
        </w:rPr>
      </w:pPr>
    </w:p>
    <w:p>
      <w:pPr>
        <w:ind w:left="900" w:hanging="368"/>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900" w:right="540" w:hanging="368"/>
        <w:spacing w:after="0" w:line="266"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1" w:name="page72"/>
    <w:bookmarkEnd w:id="71"/>
    <w:p>
      <w:pPr>
        <w:ind w:left="900" w:hanging="368"/>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management on our internal control over financial reporting. However, while we remain an SRC,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8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2" w:name="page73"/>
    <w:bookmarkEnd w:id="72"/>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2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780" w:hanging="263"/>
        <w:spacing w:after="0"/>
        <w:tabs>
          <w:tab w:leader="none" w:pos="7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5"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5" w:lineRule="exact"/>
        <w:rPr>
          <w:rFonts w:ascii="Times New Roman" w:cs="Times New Roman" w:eastAsia="Times New Roman" w:hAnsi="Times New Roman"/>
          <w:sz w:val="18"/>
          <w:szCs w:val="18"/>
          <w:b w:val="1"/>
          <w:bCs w:val="1"/>
          <w:color w:val="auto"/>
        </w:rPr>
      </w:pPr>
    </w:p>
    <w:p>
      <w:pPr>
        <w:ind w:left="760" w:hanging="243"/>
        <w:spacing w:after="0"/>
        <w:tabs>
          <w:tab w:leader="none" w:pos="7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gridSpan w:val="15"/>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20" w:type="dxa"/>
            <w:vAlign w:val="bottom"/>
            <w:tcBorders>
              <w:bottom w:val="single" w:sz="8" w:color="auto"/>
            </w:tcBorders>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8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1008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Restated Certificate of Incorporation of the Registrant (incorporated by reference to Exhibit 3.1 to the Registrant’s Current Report on Form</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72">
              <w:r>
                <w:rPr>
                  <w:rFonts w:ascii="Times New Roman" w:cs="Times New Roman" w:eastAsia="Times New Roman" w:hAnsi="Times New Roman"/>
                  <w:sz w:val="18"/>
                  <w:szCs w:val="18"/>
                  <w:color w:val="0000FF"/>
                  <w:w w:val="99"/>
                </w:rPr>
                <w:t>8-K filed with the Securities and Exchange Commission on July 22, 2019).</w:t>
              </w:r>
            </w:hyperlink>
          </w:p>
        </w:tc>
        <w:tc>
          <w:tcPr>
            <w:tcW w:w="20" w:type="dxa"/>
            <w:vAlign w:val="bottom"/>
            <w:tcBorders>
              <w:bottom w:val="single" w:sz="8" w:color="0000EE"/>
            </w:tcBorders>
          </w:tcPr>
          <w:p>
            <w:pPr>
              <w:spacing w:after="0"/>
              <w:rPr>
                <w:sz w:val="17"/>
                <w:szCs w:val="17"/>
                <w:color w:val="auto"/>
              </w:rPr>
            </w:pPr>
          </w:p>
        </w:tc>
        <w:tc>
          <w:tcPr>
            <w:tcW w:w="47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97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Certificate of Amendment of the Restated Certificate of Incorporation of the Registrant (incorporated by reference to Exhibit 3.1 to the</w:t>
              </w:r>
            </w:hyperlink>
          </w:p>
        </w:tc>
        <w:tc>
          <w:tcPr>
            <w:tcW w:w="4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73">
              <w:r>
                <w:rPr>
                  <w:rFonts w:ascii="Times New Roman" w:cs="Times New Roman" w:eastAsia="Times New Roman" w:hAnsi="Times New Roman"/>
                  <w:sz w:val="18"/>
                  <w:szCs w:val="18"/>
                  <w:color w:val="0000FF"/>
                  <w:w w:val="99"/>
                </w:rPr>
                <w:t>Registrant’s Current Report on Form 8-K filed with the Securities and Exchange Commission on June 9, 2023).</w:t>
              </w:r>
            </w:hyperlink>
          </w:p>
        </w:tc>
        <w:tc>
          <w:tcPr>
            <w:tcW w:w="20" w:type="dxa"/>
            <w:vAlign w:val="bottom"/>
            <w:tcBorders>
              <w:bottom w:val="single" w:sz="8" w:color="0000EE"/>
            </w:tcBorders>
          </w:tcPr>
          <w:p>
            <w:pPr>
              <w:spacing w:after="0"/>
              <w:rPr>
                <w:sz w:val="17"/>
                <w:szCs w:val="17"/>
                <w:color w:val="auto"/>
              </w:rPr>
            </w:pPr>
          </w:p>
        </w:tc>
        <w:tc>
          <w:tcPr>
            <w:tcW w:w="20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100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Amended and Restated Bylaws of the Registrant (incorporated by reference to Exhibit 3.2 to the Registrant’s Current Report on Form 8-K</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filed with the Securities and Exchange Commission on July 22, 2019).</w:t>
              </w:r>
            </w:hyperlink>
          </w:p>
        </w:tc>
        <w:tc>
          <w:tcPr>
            <w:tcW w:w="50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7"/>
                <w:szCs w:val="17"/>
                <w:color w:val="auto"/>
              </w:rPr>
            </w:pPr>
          </w:p>
        </w:tc>
        <w:tc>
          <w:tcPr>
            <w:tcW w:w="96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96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101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7"/>
                <w:szCs w:val="17"/>
                <w:color w:val="auto"/>
              </w:rPr>
            </w:pPr>
          </w:p>
        </w:tc>
        <w:tc>
          <w:tcPr>
            <w:tcW w:w="100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Act of 2002.</w:t>
            </w:r>
          </w:p>
        </w:tc>
        <w:tc>
          <w:tcPr>
            <w:tcW w:w="20" w:type="dxa"/>
            <w:vAlign w:val="bottom"/>
            <w:tcBorders>
              <w:bottom w:val="single" w:sz="8" w:color="0000EE"/>
            </w:tcBorders>
          </w:tcPr>
          <w:p>
            <w:pPr>
              <w:spacing w:after="0"/>
              <w:rPr>
                <w:sz w:val="17"/>
                <w:szCs w:val="17"/>
                <w:color w:val="auto"/>
              </w:rPr>
            </w:pPr>
          </w:p>
        </w:tc>
        <w:tc>
          <w:tcPr>
            <w:tcW w:w="92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18"/>
                <w:szCs w:val="18"/>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0"/>
                <w:szCs w:val="20"/>
                <w:color w:val="auto"/>
              </w:rPr>
            </w:pPr>
          </w:p>
        </w:tc>
        <w:tc>
          <w:tcPr>
            <w:tcW w:w="101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260" w:firstLine="8"/>
        <w:spacing w:after="0" w:line="414" w:lineRule="auto"/>
        <w:tabs>
          <w:tab w:leader="none" w:pos="10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95123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FULCRUM THERAPEUTICS, INC.</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July 29, 2025</w:t>
            </w:r>
          </w:p>
        </w:tc>
        <w:tc>
          <w:tcPr>
            <w:tcW w:w="24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/s/ Alex C. Sapir</w:t>
            </w:r>
          </w:p>
        </w:tc>
      </w:tr>
      <w:tr>
        <w:trPr>
          <w:trHeight w:val="191"/>
        </w:trPr>
        <w:tc>
          <w:tcPr>
            <w:tcW w:w="3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0" w:type="dxa"/>
            <w:vAlign w:val="bottom"/>
            <w:tcBorders>
              <w:top w:val="single" w:sz="8" w:color="auto"/>
            </w:tcBorders>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9"/>
              </w:rPr>
              <w:t>Alex C. Sapir</w:t>
            </w:r>
          </w:p>
        </w:tc>
      </w:tr>
      <w:tr>
        <w:trPr>
          <w:trHeight w:val="234"/>
        </w:trPr>
        <w:tc>
          <w:tcPr>
            <w:tcW w:w="3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tc>
      </w:tr>
      <w:tr>
        <w:trPr>
          <w:trHeight w:val="432"/>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July 29, 2025</w:t>
            </w:r>
          </w:p>
        </w:tc>
        <w:tc>
          <w:tcPr>
            <w:tcW w:w="24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 Alan Musso</w:t>
            </w:r>
          </w:p>
        </w:tc>
      </w:tr>
      <w:tr>
        <w:trPr>
          <w:trHeight w:val="191"/>
        </w:trPr>
        <w:tc>
          <w:tcPr>
            <w:tcW w:w="3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400" w:type="dxa"/>
            <w:vAlign w:val="bottom"/>
            <w:tcBorders>
              <w:top w:val="single" w:sz="8" w:color="auto"/>
            </w:tcBorders>
          </w:tcPr>
          <w:p>
            <w:pPr>
              <w:jc w:val="center"/>
              <w:ind w:right="150"/>
              <w:spacing w:after="0" w:line="191" w:lineRule="exact"/>
              <w:rPr>
                <w:sz w:val="20"/>
                <w:szCs w:val="20"/>
                <w:color w:val="auto"/>
              </w:rPr>
            </w:pPr>
            <w:r>
              <w:rPr>
                <w:rFonts w:ascii="Times New Roman" w:cs="Times New Roman" w:eastAsia="Times New Roman" w:hAnsi="Times New Roman"/>
                <w:sz w:val="18"/>
                <w:szCs w:val="18"/>
                <w:color w:val="auto"/>
              </w:rPr>
              <w:t>Alan Musso</w:t>
            </w:r>
          </w:p>
        </w:tc>
      </w:tr>
      <w:tr>
        <w:trPr>
          <w:trHeight w:val="234"/>
        </w:trPr>
        <w:tc>
          <w:tcPr>
            <w:tcW w:w="3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864"/>
        </w:trPr>
        <w:tc>
          <w:tcPr>
            <w:tcW w:w="3360" w:type="dxa"/>
            <w:vAlign w:val="bottom"/>
          </w:tcPr>
          <w:p>
            <w:pPr>
              <w:spacing w:after="0"/>
              <w:rPr>
                <w:sz w:val="24"/>
                <w:szCs w:val="24"/>
                <w:color w:val="auto"/>
              </w:rPr>
            </w:pP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5400" w:type="dxa"/>
            <w:vAlign w:val="bottom"/>
          </w:tcPr>
          <w:p>
            <w:pPr>
              <w:spacing w:after="0"/>
              <w:rPr>
                <w:sz w:val="24"/>
                <w:szCs w:val="24"/>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5" w:name="page76"/>
    <w:bookmarkEnd w:id="7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C. Sapir, certify that:</w:t>
      </w:r>
    </w:p>
    <w:p>
      <w:pPr>
        <w:spacing w:after="0" w:line="117" w:lineRule="exact"/>
        <w:rPr>
          <w:sz w:val="20"/>
          <w:szCs w:val="20"/>
          <w:color w:val="auto"/>
        </w:rPr>
      </w:pPr>
    </w:p>
    <w:p>
      <w:pPr>
        <w:ind w:left="700" w:hanging="183"/>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80" w:firstLine="517"/>
        <w:spacing w:after="0" w:line="266"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60" w:firstLine="517"/>
        <w:spacing w:after="0" w:line="282" w:lineRule="auto"/>
        <w:tabs>
          <w:tab w:leader="none" w:pos="68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July 29, 2025</w:t>
            </w:r>
          </w:p>
        </w:tc>
        <w:tc>
          <w:tcPr>
            <w:tcW w:w="738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Alex C. Sapir</w:t>
            </w:r>
          </w:p>
        </w:tc>
      </w:tr>
      <w:tr>
        <w:trPr>
          <w:trHeight w:val="191"/>
        </w:trPr>
        <w:tc>
          <w:tcPr>
            <w:tcW w:w="38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Alex C. Sapir</w:t>
            </w:r>
          </w:p>
        </w:tc>
      </w:tr>
      <w:tr>
        <w:trPr>
          <w:trHeight w:val="216"/>
        </w:trPr>
        <w:tc>
          <w:tcPr>
            <w:tcW w:w="38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8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38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6" w:name="page77"/>
    <w:bookmarkEnd w:id="76"/>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Musso, certify that:</w:t>
      </w:r>
    </w:p>
    <w:p>
      <w:pPr>
        <w:spacing w:after="0" w:line="117" w:lineRule="exact"/>
        <w:rPr>
          <w:sz w:val="20"/>
          <w:szCs w:val="20"/>
          <w:color w:val="auto"/>
        </w:rPr>
      </w:pPr>
    </w:p>
    <w:p>
      <w:pPr>
        <w:ind w:left="700" w:hanging="183"/>
        <w:spacing w:after="0"/>
        <w:tabs>
          <w:tab w:leader="none" w:pos="7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Fulcrum Therapeutics, Inc.;</w:t>
      </w:r>
    </w:p>
    <w:p>
      <w:pPr>
        <w:spacing w:after="0" w:line="117" w:lineRule="exact"/>
        <w:rPr>
          <w:rFonts w:ascii="Times New Roman" w:cs="Times New Roman" w:eastAsia="Times New Roman" w:hAnsi="Times New Roman"/>
          <w:sz w:val="18"/>
          <w:szCs w:val="18"/>
          <w:color w:val="auto"/>
        </w:rPr>
      </w:pPr>
    </w:p>
    <w:p>
      <w:pPr>
        <w:ind w:right="80" w:firstLine="517"/>
        <w:spacing w:after="0" w:line="312" w:lineRule="auto"/>
        <w:tabs>
          <w:tab w:leader="none" w:pos="68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40" w:firstLine="517"/>
        <w:spacing w:after="0" w:line="282" w:lineRule="auto"/>
        <w:tabs>
          <w:tab w:leader="none" w:pos="6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517"/>
        <w:spacing w:after="0" w:line="266" w:lineRule="auto"/>
        <w:tabs>
          <w:tab w:leader="none" w:pos="6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520" w:right="420" w:firstLine="506"/>
        <w:spacing w:after="0" w:line="266" w:lineRule="auto"/>
        <w:tabs>
          <w:tab w:leader="none" w:pos="127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520" w:right="140" w:firstLine="506"/>
        <w:spacing w:after="0" w:line="266" w:lineRule="auto"/>
        <w:tabs>
          <w:tab w:leader="none" w:pos="128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520" w:right="260" w:firstLine="506"/>
        <w:spacing w:after="0" w:line="282" w:lineRule="auto"/>
        <w:tabs>
          <w:tab w:leader="none" w:pos="127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520" w:right="220" w:firstLine="506"/>
        <w:spacing w:after="0" w:line="266" w:lineRule="auto"/>
        <w:tabs>
          <w:tab w:leader="none" w:pos="128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0" w:firstLine="517"/>
        <w:spacing w:after="0" w:line="282" w:lineRule="auto"/>
        <w:tabs>
          <w:tab w:leader="none" w:pos="68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480" w:firstLine="506"/>
        <w:spacing w:after="0" w:line="282" w:lineRule="auto"/>
        <w:tabs>
          <w:tab w:leader="none" w:pos="127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160" w:firstLine="506"/>
        <w:spacing w:after="0" w:line="282" w:lineRule="auto"/>
        <w:tabs>
          <w:tab w:leader="none" w:pos="128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July 29, 2025</w:t>
            </w:r>
          </w:p>
        </w:tc>
        <w:tc>
          <w:tcPr>
            <w:tcW w:w="738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By:  /s/ Alan Musso</w:t>
            </w:r>
          </w:p>
        </w:tc>
      </w:tr>
      <w:tr>
        <w:trPr>
          <w:trHeight w:val="191"/>
        </w:trPr>
        <w:tc>
          <w:tcPr>
            <w:tcW w:w="38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Alan Musso</w:t>
            </w:r>
          </w:p>
        </w:tc>
      </w:tr>
      <w:tr>
        <w:trPr>
          <w:trHeight w:val="216"/>
        </w:trPr>
        <w:tc>
          <w:tcPr>
            <w:tcW w:w="38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8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627"/>
        </w:trPr>
        <w:tc>
          <w:tcPr>
            <w:tcW w:w="38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June 30, 2025, as filed with the Securities and Exchange Commission on the date hereof (the “Report”), the undersigned, Alex C. Sapir, President and Chief Executive Officer of the Company, hereby certifies, pursuant to 18 U.S.C. Section 1350, as adopted pursuant to Section 906 of the Sarbanes-Oxley Act of 2002, that to his knowledge:</w:t>
      </w:r>
    </w:p>
    <w:p>
      <w:pPr>
        <w:spacing w:after="0" w:line="180" w:lineRule="exact"/>
        <w:rPr>
          <w:sz w:val="20"/>
          <w:szCs w:val="20"/>
          <w:color w:val="auto"/>
        </w:rPr>
      </w:pPr>
    </w:p>
    <w:p>
      <w:pPr>
        <w:ind w:left="780" w:hanging="263"/>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540" w:val="left"/>
          <w:tab w:leader="none" w:pos="5960" w:val="left"/>
        </w:tabs>
        <w:rPr>
          <w:sz w:val="20"/>
          <w:szCs w:val="20"/>
          <w:color w:val="auto"/>
        </w:rPr>
      </w:pPr>
      <w:r>
        <w:rPr>
          <w:rFonts w:ascii="Times New Roman" w:cs="Times New Roman" w:eastAsia="Times New Roman" w:hAnsi="Times New Roman"/>
          <w:sz w:val="18"/>
          <w:szCs w:val="18"/>
          <w:color w:val="auto"/>
        </w:rPr>
        <w:t>Date: July 29,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C. Sapir</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-127635</wp:posOffset>
            </wp:positionV>
            <wp:extent cx="333438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Fulcrum Therapeutics, Inc. (the “Company”) for the period ended June 30, 2025, as filed with the Securities and Exchange Commission on the date hereof (the “Report”), the undersigned, Alan Musso, Chief Financial Officer of the Company, hereby certifies, pursuant to 18 U.S.C. Section 1350, as adopted pursuant to Section 906 of the Sarbanes-Oxley Act of 2002, that to his knowledge:</w:t>
      </w:r>
    </w:p>
    <w:p>
      <w:pPr>
        <w:spacing w:after="0" w:line="176" w:lineRule="exact"/>
        <w:rPr>
          <w:sz w:val="20"/>
          <w:szCs w:val="20"/>
          <w:color w:val="auto"/>
        </w:rPr>
      </w:pPr>
    </w:p>
    <w:p>
      <w:pPr>
        <w:ind w:left="780" w:hanging="263"/>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July 29, 2025</w:t>
      </w:r>
      <w:r>
        <w:rPr>
          <w:sz w:val="20"/>
          <w:szCs w:val="20"/>
          <w:color w:val="auto"/>
        </w:rPr>
        <w:tab/>
      </w:r>
      <w:r>
        <w:rPr>
          <w:rFonts w:ascii="Times New Roman" w:cs="Times New Roman" w:eastAsia="Times New Roman" w:hAnsi="Times New Roman"/>
          <w:sz w:val="18"/>
          <w:szCs w:val="18"/>
          <w:color w:val="auto"/>
        </w:rPr>
        <w:t>By:</w:t>
        <w:tab/>
        <w:t>/s/ Alan Musso</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Alan Musso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lowerRoman"/>
      <w:start w:val="1"/>
    </w:lvl>
  </w:abstractNum>
  <w:abstractNum w:abstractNumId="6">
    <w:nsid w:val="6CEAF087"/>
    <w:multiLevelType w:val="hybridMultilevel"/>
    <w:lvl w:ilvl="0">
      <w:lvlJc w:val="left"/>
      <w:lvlText w:val="(%1)"/>
      <w:numFmt w:val="lowerRoman"/>
      <w:start w:val="3"/>
    </w:lvl>
  </w:abstractNum>
  <w:abstractNum w:abstractNumId="7">
    <w:nsid w:val="22221A70"/>
    <w:multiLevelType w:val="hybridMultilevel"/>
    <w:lvl w:ilvl="0">
      <w:lvlJc w:val="left"/>
      <w:lvlText w:val="%1"/>
      <w:numFmt w:val="decimal"/>
      <w:start w:val="1"/>
    </w:lvl>
    <w:lvl w:ilvl="1">
      <w:lvlJc w:val="left"/>
      <w:lvlText w:val="(%2)"/>
      <w:numFmt w:val="decimal"/>
      <w:start w:val="1"/>
    </w:lvl>
  </w:abstractNum>
  <w:abstractNum w:abstractNumId="8">
    <w:nsid w:val="4516DDE9"/>
    <w:multiLevelType w:val="hybridMultilevel"/>
    <w:lvl w:ilvl="0">
      <w:lvlJc w:val="left"/>
      <w:lvlText w:val="%1."/>
      <w:numFmt w:val="decimal"/>
      <w:start w:val="12"/>
    </w:lvl>
    <w:lvl w:ilvl="1">
      <w:lvlJc w:val="left"/>
      <w:lvlText w:val="%2"/>
      <w:numFmt w:val="decimal"/>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
      <w:numFmt w:val="bullet"/>
      <w:start w:val="1"/>
    </w:lvl>
    <w:lvl w:ilvl="1">
      <w:lvlJc w:val="left"/>
      <w:lvlText w:val="%2"/>
      <w:numFmt w:val="decimal"/>
      <w:start w:val="104"/>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72" Type="http://schemas.openxmlformats.org/officeDocument/2006/relationships/hyperlink" Target="https://www.sec.gov/Archives/edgar/data/0001680581/000104746919004324/a2239321zex-3_1.htm" TargetMode="External"/><Relationship Id="rId273" Type="http://schemas.openxmlformats.org/officeDocument/2006/relationships/hyperlink" Target="https://www.sec.gov/Archives/edgar/data/1680581/000119312523164435/d463131dex31.htm" TargetMode="External"/><Relationship Id="rId274" Type="http://schemas.openxmlformats.org/officeDocument/2006/relationships/hyperlink" Target="https://www.sec.gov/Archives/edgar/data/0001680581/000104746919004324/a2239321z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2025-07-29T07:47:48Z</dcterms:created>
  <dcterms:modified xsi:type="dcterms:W3CDTF">2025-07-29T07:47:48Z</dcterms:modified>
</cp:coreProperties>
</file>