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24, 2026, Fulcrum Therapeutics, Inc., or Fulcrum, announced its financial results for the quarter and year ended December 31, 2025. The full text of the press release issued in connection with the announcement is being furnished as Exhibit 99.1 to this Current Report on Form 8-K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February 24, 2026, announcing financial results for the quarter and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5482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2590" cy="8890"/>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951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Fourth Quarter and Full Year 2025</w:t>
      </w: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Announced positive 12-week results from the 20 mg dose cohort of the Phase 1b PIONEER trial of pociredir in sickle cell disease (SCD) ―</w:t>
      </w:r>
    </w:p>
    <w:p>
      <w:pPr>
        <w:spacing w:after="0" w:line="225" w:lineRule="exact"/>
        <w:rPr>
          <w:sz w:val="20"/>
          <w:szCs w:val="20"/>
          <w:color w:val="auto"/>
        </w:rPr>
      </w:pPr>
    </w:p>
    <w:p>
      <w:pPr>
        <w:ind w:left="500" w:right="80" w:hanging="451"/>
        <w:spacing w:after="0" w:line="315" w:lineRule="auto"/>
        <w:tabs>
          <w:tab w:leader="none" w:pos="28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 mg cohort demonstrated rapid and robust fetal hemoglobin (HbF) induction, with mean absolute HbF increasing by 12.2% from a baseline of 7.1% to 19.3% at Week 12, improvements in markers of hemolysis and anemia, and encouraging trends in vaso-occlusive crisis (VOC) reduction ―</w:t>
      </w:r>
    </w:p>
    <w:p>
      <w:pPr>
        <w:spacing w:after="0" w:line="134" w:lineRule="exact"/>
        <w:rPr>
          <w:rFonts w:ascii="Times New Roman" w:cs="Times New Roman" w:eastAsia="Times New Roman" w:hAnsi="Times New Roman"/>
          <w:sz w:val="17"/>
          <w:szCs w:val="17"/>
          <w:i w:val="1"/>
          <w:iCs w:val="1"/>
          <w:color w:val="auto"/>
        </w:rPr>
      </w:pPr>
    </w:p>
    <w:p>
      <w:pPr>
        <w:ind w:left="2400" w:hanging="232"/>
        <w:spacing w:after="0"/>
        <w:tabs>
          <w:tab w:leader="none" w:pos="240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Fulcrum plans to initiate a potential registration-enabling trial in the second half of 2026 ―</w:t>
      </w:r>
    </w:p>
    <w:p>
      <w:pPr>
        <w:spacing w:after="0" w:line="225" w:lineRule="exact"/>
        <w:rPr>
          <w:rFonts w:ascii="Times New Roman" w:cs="Times New Roman" w:eastAsia="Times New Roman" w:hAnsi="Times New Roman"/>
          <w:sz w:val="18"/>
          <w:szCs w:val="18"/>
          <w:i w:val="1"/>
          <w:iCs w:val="1"/>
          <w:color w:val="auto"/>
        </w:rPr>
      </w:pPr>
    </w:p>
    <w:p>
      <w:pPr>
        <w:ind w:left="1700" w:hanging="229"/>
        <w:spacing w:after="0"/>
        <w:tabs>
          <w:tab w:leader="none" w:pos="17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2025 with $352.3 million in cash, cash equivalents, and marketable securities; cash runway into 2029 ―</w:t>
      </w:r>
    </w:p>
    <w:p>
      <w:pPr>
        <w:spacing w:after="0" w:line="34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February 24, 2026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developing small molecules to improve the lives of patients with genetically defined rare diseases, today reported financial results for the fourth quarter and full year 2025 and provided a business update.</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“Building on the previously reported interim data presented in December at ASH, the positive 12-week data from the complete 20 mg cohort of the PIONEER trial reinforce our conviction in pociredir’s potential to address the underlying biology of sickle cell disease,” said Alex C. Sapir, Fulcrum’s President and Chief Executive Officer. “The magnitude of HbF induction, progression toward pan-cellular distribution, and improvements in markers of hemolysis and anemia observed to date position us well as we prepare for discussions with the FDA regarding the design of the next study. With a strong balance sheet extending our cash runway into 2029, we believe we are well positioned to continue to advance pociredir and our broader benign hematology pipeline.”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2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12-week results from the 20 mg dose cohort (n=12) of the Phase 1b PIONEER trial in SCD, building upon previously reported interim data presented at the 2025 American Society of Hematology (ASH) Annual Meeting. Mean absolute HbF increased by</w:t>
      </w:r>
    </w:p>
    <w:p>
      <w:pPr>
        <w:ind w:left="10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from a baseline of 7.1% to 19.3% at Week 12. Results demonstrated progression toward pan-cellular HbF induction, improvements in markers of hemolysis and anemia, and encouraging trends in VOC reduction. Pociredir continued to be generally well-tolerated, with no treatment-related serious adverse events reported as of the December 23, 2025 data cutoff.</w:t>
      </w:r>
    </w:p>
    <w:p>
      <w:pPr>
        <w:spacing w:after="0" w:line="7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completed an underwritten public offering of common stock and pre-funded warrants raising $164.2 million of net proceeds, strengthening Fulcrum's balance sheet to support advancement of pociredir through the next phase of development among other general corporate purposes.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expects to provide additional details regarding the design of its next trial in the second quarter of 2026 following receipt of meeting minutes from its End-of-Phase meeting with the FDA. Pending feedback from the FDA, Fulcrum plans to initiate a potential registration-enabling trial in the second half of 2026.</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Activating sites for an open label extension trial for participants in the PIONEER trial to evaluate the safety and durability of response with pociredir.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results from IND-enabling studies, Fulcrum has decided not to advance its program for bone marrow failure syndromes into clinical development and will focus its resources on advancing pociredir and its core benign hematology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2025 Financial Results</w:t>
      </w:r>
    </w:p>
    <w:p>
      <w:pPr>
        <w:spacing w:after="0" w:line="117" w:lineRule="exact"/>
        <w:rPr>
          <w:sz w:val="20"/>
          <w:szCs w:val="20"/>
          <w:color w:val="auto"/>
        </w:rPr>
      </w:pPr>
    </w:p>
    <w:p>
      <w:pPr>
        <w:ind w:left="1020" w:right="8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2025, cash, cash equivalents, and marketable securities were $352.3 million, as compared to $241.0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2024. The increase of $111.3 million is primarily due to net proceeds of $164.2 million from the December 2025 public offering of our common stock and pre-funded warrants, partially offset by cash used to fund operating activities in 2025.</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$15.4 million for the three months ended December 31, 2025, as compared to</w:t>
      </w:r>
    </w:p>
    <w:p>
      <w:pPr>
        <w:spacing w:after="0" w:line="31" w:lineRule="exact"/>
        <w:rPr>
          <w:rFonts w:ascii="Times New Roman" w:cs="Times New Roman" w:eastAsia="Times New Roman" w:hAnsi="Times New Roman"/>
          <w:sz w:val="18"/>
          <w:szCs w:val="18"/>
          <w:color w:val="auto"/>
        </w:rPr>
      </w:pPr>
    </w:p>
    <w:p>
      <w:pPr>
        <w:ind w:left="10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million for the three months ended December 31, 2024. The increase of $3.7 million was primarily due to increased costs related to the advancement of the PIONEER trial.</w:t>
      </w:r>
    </w:p>
    <w:p>
      <w:pPr>
        <w:spacing w:after="0" w:line="73" w:lineRule="exact"/>
        <w:rPr>
          <w:rFonts w:ascii="Times New Roman" w:cs="Times New Roman" w:eastAsia="Times New Roman" w:hAnsi="Times New Roman"/>
          <w:sz w:val="18"/>
          <w:szCs w:val="18"/>
          <w:color w:val="auto"/>
        </w:rPr>
      </w:pPr>
    </w:p>
    <w:p>
      <w:pPr>
        <w:ind w:left="102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$56.1 million for the year ended December 31, 2025, as compared to $63.4 million for the year ended December 31, 2024. The decrease of $7.3 million was primarily due decreased costs associated with the discontinuation of our losmapimod program and the reimbursement from the global development cost sharing under the now-terminated collaboration with Sanofi, partially offset by increased costs related to the advancement of the PIONEER trial.</w:t>
      </w:r>
    </w:p>
    <w:p>
      <w:pPr>
        <w:spacing w:after="0" w:line="6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$7.3 million for the three months ended December 31, 2025, as compared to $7.7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three months ended December 31, 2024. The decrease of $0.4 million was primarily due to decreased professional services costs.</w:t>
      </w:r>
    </w:p>
    <w:p>
      <w:pPr>
        <w:spacing w:after="0" w:line="50" w:lineRule="exact"/>
        <w:rPr>
          <w:rFonts w:ascii="Times New Roman" w:cs="Times New Roman" w:eastAsia="Times New Roman" w:hAnsi="Times New Roman"/>
          <w:sz w:val="18"/>
          <w:szCs w:val="18"/>
          <w:color w:val="auto"/>
        </w:rPr>
      </w:pPr>
    </w:p>
    <w:p>
      <w:pPr>
        <w:ind w:left="102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$28.7 million for the year ended December 31, 2025, as compared to $36.4 million for the year ended December 31, 2024. The decrease of $7.7 million was primarily due to decreased professional services costs and decreased employee compensation costs as a result of the reduction in workforce implemented in the third quarter of 2024.</w:t>
      </w:r>
    </w:p>
    <w:p>
      <w:pPr>
        <w:spacing w:after="0" w:line="63" w:lineRule="exact"/>
        <w:rPr>
          <w:rFonts w:ascii="Times New Roman" w:cs="Times New Roman" w:eastAsia="Times New Roman" w:hAnsi="Times New Roman"/>
          <w:sz w:val="18"/>
          <w:szCs w:val="18"/>
          <w:color w:val="auto"/>
        </w:rPr>
      </w:pPr>
    </w:p>
    <w:p>
      <w:pPr>
        <w:ind w:left="1020" w:right="6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$20.3 million for the three months ended December 31, 2025, as compared to a net loss of $16.6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2024.</w:t>
      </w:r>
    </w:p>
    <w:p>
      <w:pPr>
        <w:spacing w:after="0" w:line="5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$74.9 million for the year ended December 31, 2025, as compared to $9.7 million for the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Fulcrum now expects that its current cash, cash equivalents, and marketable securities will be sufficient to fund its operating requirements into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HbF for the treatment of SCD. Fulcrum uses proprietary technology to identify drug targets that can modulate gene expression to treat the known root cause of gene mis-expression. For more information, visit </w:t>
      </w:r>
      <w:r>
        <w:rPr>
          <w:rFonts w:ascii="Times New Roman" w:cs="Times New Roman" w:eastAsia="Times New Roman" w:hAnsi="Times New Roman"/>
          <w:sz w:val="18"/>
          <w:szCs w:val="18"/>
          <w:u w:val="single" w:color="auto"/>
          <w:color w:val="0000FF"/>
        </w:rPr>
        <w:t>www.fulcrumtx.com</w:t>
      </w:r>
      <w:r>
        <w:rPr>
          <w:rFonts w:ascii="Times New Roman" w:cs="Times New Roman" w:eastAsia="Times New Roman" w:hAnsi="Times New Roman"/>
          <w:sz w:val="18"/>
          <w:szCs w:val="18"/>
          <w:color w:val="auto"/>
        </w:rPr>
        <w:t xml:space="preserve"> and follow us on X (@FulcrumTx) and LinkedIn.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HbF. Pociredir is being developed for the treatment of SCD. In the PIONEER Phase 1b clinical trial in people with SCD, pociredir has demonstrated dose-dependent increases in HbF, pan-cellular HbF induction, and improvements in markers of hemolysis and anemia. Across the 12 mg and 20 mg dose cohorts, pociredir has been generally well-tolerated with up to three months of exposure, with no treatment-related serious adverse events reported through the December 23, 2025 data cutoff date. Pociredir has been granted Fast Track and Orphan Drug Designation from the FDA for the treatment of SCD. To learn more about clinical trials of pociredir please visit </w:t>
      </w:r>
      <w:r>
        <w:rPr>
          <w:rFonts w:ascii="Times New Roman" w:cs="Times New Roman" w:eastAsia="Times New Roman" w:hAnsi="Times New Roman"/>
          <w:sz w:val="18"/>
          <w:szCs w:val="18"/>
          <w:u w:val="single" w:color="auto"/>
          <w:color w:val="0000FF"/>
        </w:rPr>
        <w:t>ClinicalTrials.gov</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development of pociredir, including an open-label extension trial and receiving feedback from regulators on trial design and commencing a registrational trial; the potential of pociredir to increase HbF to levels that could ameliorate symptoms of SCD and transform the standard of care; Fulcrum’s ability to progress its early stage development programs and enable IND filings related thereto; and Fulcrum’s projected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including progressing early stage candidates into the clinic; initiating and enrolling clinical trials on the timeline expected or at all; including receiving feedback from, and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352,306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238,879</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100" w:type="dxa"/>
            <w:vAlign w:val="bottom"/>
            <w:shd w:val="clear" w:color="auto" w:fill="CFF0FC"/>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243,034</w:t>
            </w:r>
          </w:p>
        </w:tc>
        <w:tc>
          <w:tcPr>
            <w:tcW w:w="100" w:type="dxa"/>
            <w:vAlign w:val="bottom"/>
          </w:tcPr>
          <w:p>
            <w:pPr>
              <w:spacing w:after="0"/>
              <w:rPr>
                <w:sz w:val="20"/>
                <w:szCs w:val="20"/>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00"/>
        </w:trPr>
        <w:tc>
          <w:tcPr>
            <w:tcW w:w="6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expenses</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84,769</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(19,429)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(84,769)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(20,334)</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(16,568)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(74,880)</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8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4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65,781</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53,954</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63,355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61,984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-925195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-925195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-925195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-925195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-350520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-350520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-333375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-350520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2026-02-24T06:16:30Z</dcterms:created>
  <dcterms:modified xsi:type="dcterms:W3CDTF">2026-02-24T06:16:30Z</dcterms:modified>
</cp:coreProperties>
</file>