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19,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FULCRUM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54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001-38978</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47-4839948</w:t>
            </w:r>
          </w:p>
        </w:tc>
      </w:tr>
      <w:tr>
        <w:trPr>
          <w:trHeight w:val="148"/>
        </w:trPr>
        <w:tc>
          <w:tcPr>
            <w:tcW w:w="3540" w:type="dxa"/>
            <w:vAlign w:val="bottom"/>
          </w:tcPr>
          <w:p>
            <w:pPr>
              <w:jc w:val="center"/>
              <w:ind w:right="18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4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26 Landsdowne Street</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190"/>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651-8851</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$0.001 par value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FULC</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Market</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880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7"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August 19, 2022, the underwriters of the previously announced underwritten public offering of common stock of Fulcrum Therapeutics, Inc., or Fulcrum, exercised in full their option to purchase an additional 1,438,618 shares from Fulcrum at the public offering price of $7.82 per share, resulting in additional net proceeds to Fulcrum of approximately $10.6 million, or approximately $80.9 million in total net proceeds after taking into account the exercise of the underwriters’ option, in each case after deducting underwriting discounts and commissions and estimated offering expenses. The exercise of the overallotment option closed on August 23, 2022.</w:t>
      </w:r>
    </w:p>
    <w:p>
      <w:pPr>
        <w:sectPr>
          <w:pgSz w:w="11900" w:h="16838" w:orient="portrait"/>
          <w:cols w:equalWidth="0" w:num="1">
            <w:col w:w="11000"/>
          </w:cols>
          <w:pgMar w:left="440" w:top="293" w:right="45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FULCRUM THERAPEUTICS, INC.</w:t>
      </w:r>
    </w:p>
    <w:p>
      <w:pPr>
        <w:spacing w:after="0" w:line="225" w:lineRule="exact"/>
        <w:rPr>
          <w:sz w:val="20"/>
          <w:szCs w:val="20"/>
          <w:color w:val="auto"/>
        </w:rPr>
      </w:pPr>
    </w:p>
    <w:p>
      <w:pPr>
        <w:spacing w:after="0"/>
        <w:tabs>
          <w:tab w:leader="none" w:pos="5500" w:val="left"/>
          <w:tab w:leader="none" w:pos="6140" w:val="left"/>
        </w:tabs>
        <w:rPr>
          <w:sz w:val="20"/>
          <w:szCs w:val="20"/>
          <w:color w:val="auto"/>
        </w:rPr>
      </w:pPr>
      <w:r>
        <w:rPr>
          <w:rFonts w:ascii="Times New Roman" w:cs="Times New Roman" w:eastAsia="Times New Roman" w:hAnsi="Times New Roman"/>
          <w:sz w:val="18"/>
          <w:szCs w:val="18"/>
          <w:color w:val="auto"/>
        </w:rPr>
        <w:t>Date: August 23,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Curtis Oltmans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17145</wp:posOffset>
            </wp:positionV>
            <wp:extent cx="30772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4"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Name:</w:t>
        <w:tab/>
        <w:t>Curtis Oltmans</w:t>
      </w:r>
    </w:p>
    <w:p>
      <w:pPr>
        <w:spacing w:after="0" w:line="9"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Chief Legal Officer</w:t>
      </w:r>
    </w:p>
    <w:sectPr>
      <w:pgSz w:w="11900" w:h="16838" w:orient="portrait"/>
      <w:cols w:equalWidth="0" w:num="1">
        <w:col w:w="10700"/>
      </w:cols>
      <w:pgMar w:left="440" w:top="293"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2022-08-23T16:30:24Z</dcterms:created>
  <dcterms:modified xsi:type="dcterms:W3CDTF">2022-08-23T16:30:24Z</dcterms:modified>
</cp:coreProperties>
</file>