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26 Landsdowne Street</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8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46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7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11, 2024, Fulcrum Therapeutics, Inc., or Fulcrum, entered into a collaboration and license agreement with Genzyme Corporation, a wholly-owned subsidiary of Sanofi, or Sanofi, pursuant to which Fulcrum granted Sanofi an exclusive license under certain intellectual property rights to commercialize losmapimod, an oral small molecule for the treatment of facioscapulohumeral muscular dystrophy, or FSHD, outside of the United States.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a mutually agreed global development plan, Fulcrum will continue to conduct the ongoing Phase 3 clinical trial for losmapimod for the treatment of FSHD, a chronic and progressive genetic muscular disorder that is characterized by significant muscle cell death and fat infiltration into muscle tissue. Fulcrum and Sanofi will equally share global development costs. In addition to potential future activities conducted under a mutually agreed global development plan, Sanofi will also have the right to conduct certain development activities that are solely intended to support obtaining or maintaining regulatory approval outside of the United States. Fulcrum will have the sole right to manufacture for its activities under the global development plan and for commercialization in the United States and, subject to the terms of a supply agreement, Fulcrum will supply Sanofi’s clinical and commercial supply requirements of losmapimod until Sanofi elects to take over such manufacturing responsibilities.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Per the terms of the agreement, Sanofi will make an upfront payment of $80.0 million to Fulcrum. Fulcrum is also eligible to receive up to an additional $975.0 million in specified regulatory and sales-based milestones, and Sanofi will pay Fulcrum tiered royalties ranging from low-teens to mid-twenties based on Sanofi’s and any of its affiliates’ and sublicensees’ annual net sales of losmapimod outside the United States. The royalties are payable on a product-by-product basis during a specified royalty term, and may be reduced in specified circumstances.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term of the agreement, Fulcrum may not research, develop, manufacture, commercialize, use, or otherwise exploit any compound or product that binds or otherwise modulates p38a/b MAPK anywhere in the world, except losmapimod in the United States.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agreement continues on a country-by-country and product-by-product basis until the last to expire royalty term for a product in a country, at which time the agreement expires with respect to such product in such country. Either party has the right to terminate the agreement if the other party has materially breached its obligations under the agreement and such breach has not been cured within the applicable cure period. Sanofi also has the right to terminate the agreement for convenience in its entirety or on a product-by-product or region-by-region (or country-by-country with respect to certain major markets) basis. Fulcrum also has the right to terminate the agreement if Sanofi terminates all bona fide material development and commercialization activities for a specified period and such cessation is not the result of certain agreed upon reasons.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agreement is qualified in its entirety by reference to the full text of the agreement, a copy of which Fulcrum intends to file with the Securities and Exchange Commission as an exhibit to its Quarterly Report on Form 10-Q for the quarter ending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that involve substantial risks and uncertainties. All statements, other than statements of historical facts, contained in this Current Report on Form 8-K are forward-looking statements, including express or implied statements regarding advancement Fulcrum’s collaboration and license agreement with Sanofi and receipt of the upfront payment thereunder; its ability to receive the milestone and royalty payments thereunder and achieve the benefits therefrom; timing of data from REACH and its ability to support submission of marketing applications for losmapimod; and Fulcrum’s ability to deliver an FDA-approved therapy for FSHD patients;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Company’s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pociredir and any other product candidates; obtaining, maintaining or protecting intellectual property rights related to its product candidates; managing expenses; managing executive and employee turnover, including integrating a new CMO;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Current Report on Form 8-K represent Fulcrum’s views as of the date hereof and should not be relied upon as representing Fulcrum’s views as of any date subsequent to the date hereof. Fulcrum anticipates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ind w:right="40"/>
        <w:spacing w:after="0" w:line="282" w:lineRule="auto"/>
        <w:rPr>
          <w:sz w:val="20"/>
          <w:szCs w:val="20"/>
          <w:color w:val="auto"/>
        </w:rPr>
      </w:pPr>
      <w:r>
        <w:rPr>
          <w:rFonts w:ascii="Times New Roman" w:cs="Times New Roman" w:eastAsia="Times New Roman" w:hAnsi="Times New Roman"/>
          <w:sz w:val="18"/>
          <w:szCs w:val="18"/>
          <w:color w:val="auto"/>
        </w:rPr>
        <w:t>subsequent events and developments will cause Fulcrum’s views to change. However, while Fulcrum may elect to update these forward-looking statements at some point in the future, Fulcrum specifically disclaims any obligation to do so.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2024, Fulcrum announced its financial results for the quarter ended March 31, 2024. The full text of the press release issued in connection with the announcement is being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herewith:</w:t>
      </w:r>
    </w:p>
    <w:p>
      <w:pPr>
        <w:spacing w:after="0" w:line="20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May 13, 2024, announcing financial results for the quarter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4689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9475"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Alex C. Sapir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6845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84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line="443" w:lineRule="auto"/>
        <w:rPr>
          <w:sz w:val="20"/>
          <w:szCs w:val="20"/>
          <w:color w:val="auto"/>
        </w:rPr>
      </w:pPr>
      <w:r>
        <w:rPr>
          <w:rFonts w:ascii="Times New Roman" w:cs="Times New Roman" w:eastAsia="Times New Roman" w:hAnsi="Times New Roman"/>
          <w:sz w:val="25"/>
          <w:szCs w:val="25"/>
          <w:b w:val="1"/>
          <w:bCs w:val="1"/>
          <w:color w:val="auto"/>
        </w:rPr>
        <w:t>Fulcrum Therapeutics Announces Recent Business Highlights and Financial Results for First Quarter 2024</w:t>
      </w:r>
    </w:p>
    <w:p>
      <w:pPr>
        <w:jc w:val="center"/>
        <w:ind w:left="4980" w:right="1380" w:hanging="3644"/>
        <w:spacing w:after="0" w:line="284" w:lineRule="auto"/>
        <w:tabs>
          <w:tab w:leader="none" w:pos="1562"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Entered into a collaboration and ex-U.S. license agreement with Sanofi for the development and commercialization of losmapimod ―</w:t>
      </w:r>
    </w:p>
    <w:p>
      <w:pPr>
        <w:spacing w:after="0" w:line="158" w:lineRule="exact"/>
        <w:rPr>
          <w:rFonts w:ascii="Times New Roman" w:cs="Times New Roman" w:eastAsia="Times New Roman" w:hAnsi="Times New Roman"/>
          <w:sz w:val="18"/>
          <w:szCs w:val="18"/>
          <w:i w:val="1"/>
          <w:iCs w:val="1"/>
          <w:color w:val="auto"/>
        </w:rPr>
      </w:pPr>
    </w:p>
    <w:p>
      <w:pPr>
        <w:ind w:left="360" w:hanging="232"/>
        <w:spacing w:after="0"/>
        <w:tabs>
          <w:tab w:leader="none" w:pos="3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report topline data for Phase 3 REACH trial of losmapimod in facioscapulohumeral muscular dystrophy (FSHD) in the fourth quarter of</w:t>
      </w:r>
    </w:p>
    <w:p>
      <w:pPr>
        <w:spacing w:after="0" w:line="29" w:lineRule="exact"/>
        <w:rPr>
          <w:rFonts w:ascii="Times New Roman" w:cs="Times New Roman" w:eastAsia="Times New Roman" w:hAnsi="Times New Roman"/>
          <w:sz w:val="18"/>
          <w:szCs w:val="18"/>
          <w:i w:val="1"/>
          <w:iCs w:val="1"/>
          <w:color w:val="auto"/>
        </w:rPr>
      </w:pPr>
    </w:p>
    <w:p>
      <w:pPr>
        <w:ind w:left="5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2024 ―</w:t>
      </w:r>
    </w:p>
    <w:p>
      <w:pPr>
        <w:spacing w:after="0" w:line="204" w:lineRule="exact"/>
        <w:rPr>
          <w:rFonts w:ascii="Times New Roman" w:cs="Times New Roman" w:eastAsia="Times New Roman" w:hAnsi="Times New Roman"/>
          <w:sz w:val="18"/>
          <w:szCs w:val="18"/>
          <w:i w:val="1"/>
          <w:iCs w:val="1"/>
          <w:color w:val="auto"/>
        </w:rPr>
      </w:pPr>
    </w:p>
    <w:p>
      <w:pPr>
        <w:ind w:left="2780" w:hanging="227"/>
        <w:spacing w:after="0"/>
        <w:tabs>
          <w:tab w:leader="none" w:pos="2780" w:val="left"/>
        </w:tabs>
        <w:numPr>
          <w:ilvl w:val="2"/>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Industry veteran, Patrick Horn M.D., Ph.D., appointed as chief medical officer ―</w:t>
      </w:r>
    </w:p>
    <w:p>
      <w:pPr>
        <w:spacing w:after="0" w:line="225" w:lineRule="exact"/>
        <w:rPr>
          <w:rFonts w:ascii="Times New Roman" w:cs="Times New Roman" w:eastAsia="Times New Roman" w:hAnsi="Times New Roman"/>
          <w:sz w:val="18"/>
          <w:szCs w:val="18"/>
          <w:i w:val="1"/>
          <w:iCs w:val="1"/>
          <w:color w:val="auto"/>
        </w:rPr>
      </w:pPr>
    </w:p>
    <w:p>
      <w:pPr>
        <w:ind w:left="3360" w:hanging="224"/>
        <w:spacing w:after="0"/>
        <w:tabs>
          <w:tab w:leader="none" w:pos="3360" w:val="left"/>
        </w:tabs>
        <w:numPr>
          <w:ilvl w:val="3"/>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Conference call and webcast scheduled for 8:00 a.m. ET today ―</w:t>
      </w:r>
    </w:p>
    <w:p>
      <w:pPr>
        <w:spacing w:after="0" w:line="34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CAMBRIDGE, Mass., – May 13, 2024 </w:t>
      </w:r>
      <w:r>
        <w:rPr>
          <w:rFonts w:ascii="Times New Roman" w:cs="Times New Roman" w:eastAsia="Times New Roman" w:hAnsi="Times New Roman"/>
          <w:sz w:val="18"/>
          <w:szCs w:val="18"/>
          <w:color w:val="auto"/>
        </w:rPr>
        <w:t>– Fulcrum Therapeutics, Inc.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(Fulcrum) (Nasdaq: FULC), a clinical-stage biopharmaceutical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developing small molecules to improve the lives of patients with genetically defined rare diseases, today reported financial results for the first quarter of 2024 as well as an update to the business.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“It’s a very exciting time for Fulcrum as we remain on track to report topline data for the Phase 3 REACH trial in the fourth quarter of 2024. As we prepare for the potential NDA filing and commercial launch of losmapimod in the U.S., we are extremely pleased to announce a collaboration with our new partner, Sanofi, to leverage their global reach and rare disease expertise for the benefit of patients outside the U.S.” said Alex C. Sapir, Fulcrum’s president and chief executive officer. “In our Phase 1b PIONEER trial of pociredir, a highly differentiated oral treatment option for sickle cell disease, we have activated additional clinical trial sites and are building key relationships with leading physicians in the SCD community. We also recently strengthened our leadership team with the addition of Pat Horn as our chief medical officer. Pat brings extensive late-stage rare disease development experience and strategic insight to help us bring potentially transformative therapies to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Business Highlights</w:t>
      </w:r>
    </w:p>
    <w:p>
      <w:pPr>
        <w:spacing w:after="0" w:line="121" w:lineRule="exact"/>
        <w:rPr>
          <w:sz w:val="20"/>
          <w:szCs w:val="20"/>
          <w:color w:val="auto"/>
        </w:rPr>
      </w:pPr>
    </w:p>
    <w:p>
      <w:pPr>
        <w:ind w:left="1020" w:right="1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Fulcrum entered into a collaboration and license agreement with Sanofi (Nasdaq: SNY) for the development and commercialization of losmapimod. Under the collaboration and license agreement, Sanofi will obtain exclusive commercialization rights for losmapimod outside of the U.S.</w:t>
      </w:r>
    </w:p>
    <w:p>
      <w:pPr>
        <w:spacing w:after="0" w:line="67" w:lineRule="exact"/>
        <w:rPr>
          <w:rFonts w:ascii="Times New Roman" w:cs="Times New Roman" w:eastAsia="Times New Roman" w:hAnsi="Times New Roman"/>
          <w:sz w:val="18"/>
          <w:szCs w:val="18"/>
          <w:color w:val="auto"/>
        </w:rPr>
      </w:pPr>
    </w:p>
    <w:p>
      <w:pPr>
        <w:ind w:left="1540" w:right="16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oFulcrum will receive an upfront payment of $80.0 million and is eligible to receive up to an additional $975.0 million in specified regulatory and sales-based milestones, along with tiered royalties starting in the low-teens of annual net sales of losmapimod outside the U.S. In addition, Fulcrum and Sanofi will equally share global development costs.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Phase 3 clinical trial evaluating losmapimod in patients with FSHD, continues to progress, and Fulcrum expects to report topline data in the fourth quarter of 2024. The trial enrolled 260 patients across sites in the United States, Canada, and Europe. There are currently no approved treatments for FSHD.</w:t>
      </w:r>
    </w:p>
    <w:p>
      <w:pPr>
        <w:spacing w:after="0" w:line="65" w:lineRule="exact"/>
        <w:rPr>
          <w:rFonts w:ascii="Times New Roman" w:cs="Times New Roman" w:eastAsia="Times New Roman" w:hAnsi="Times New Roman"/>
          <w:sz w:val="18"/>
          <w:szCs w:val="18"/>
          <w:color w:val="auto"/>
        </w:rPr>
      </w:pPr>
    </w:p>
    <w:p>
      <w:pPr>
        <w:ind w:left="1540" w:right="6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oOur Phase 2 study for losmapimod, ReDUX4, which was recently published in </w:t>
      </w:r>
      <w:r>
        <w:rPr>
          <w:rFonts w:ascii="Times New Roman" w:cs="Times New Roman" w:eastAsia="Times New Roman" w:hAnsi="Times New Roman"/>
          <w:sz w:val="18"/>
          <w:szCs w:val="18"/>
          <w:i w:val="1"/>
          <w:iCs w:val="1"/>
          <w:color w:val="auto"/>
        </w:rPr>
        <w:t>The Lancet Neurology</w:t>
      </w:r>
      <w:r>
        <w:rPr>
          <w:rFonts w:ascii="Times New Roman" w:cs="Times New Roman" w:eastAsia="Times New Roman" w:hAnsi="Times New Roman"/>
          <w:sz w:val="18"/>
          <w:szCs w:val="18"/>
          <w:color w:val="auto"/>
        </w:rPr>
        <w:t>, demonstrated improvements in functional outcomes (reachable workspace), structural outcomes (muscle fat infiltration), and patient-reported outcomes for patients treated with losmapimod as compared to placebo. Read the publication here.</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Activated additional clinical trial sites in the Phase 1b trial evaluating pociredir in patients with sickle cell disease (SCD). Cohort 3 of the Phase 1b trial will evaluate pociredir at the 12 mg once daily dose, followed by Cohort 4 at the 20 mg once daily dose. Each cohort is expected to enroll approximately 10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Updates</w:t>
      </w:r>
    </w:p>
    <w:p>
      <w:pPr>
        <w:spacing w:after="0" w:line="121" w:lineRule="exact"/>
        <w:rPr>
          <w:sz w:val="20"/>
          <w:szCs w:val="20"/>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Patrick Horn, M.D., Ph.D., as chief medical officer, a seasoned executive with over 20 years of end-to-end drug development experience spanning multiple therapeutic areas, with an emphasis on rare diseases, across both large pharmaceutical and biotech companies. Iain Fraser, MBChB, DPhil, who served as our interim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1020"/>
        <w:spacing w:after="0" w:line="282" w:lineRule="auto"/>
        <w:rPr>
          <w:sz w:val="20"/>
          <w:szCs w:val="20"/>
          <w:color w:val="auto"/>
        </w:rPr>
      </w:pPr>
      <w:r>
        <w:rPr>
          <w:rFonts w:ascii="Times New Roman" w:cs="Times New Roman" w:eastAsia="Times New Roman" w:hAnsi="Times New Roman"/>
          <w:sz w:val="18"/>
          <w:szCs w:val="18"/>
          <w:color w:val="auto"/>
        </w:rPr>
        <w:t>remains on Fulcrum’s executive leadership team as SVP of early development. Together, Drs. Horn and Fraser will be responsible for leading clinical development and overseeing regulatory strategy and execution.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2024 Financial Results</w:t>
      </w:r>
    </w:p>
    <w:p>
      <w:pPr>
        <w:spacing w:after="0" w:line="117" w:lineRule="exact"/>
        <w:rPr>
          <w:sz w:val="20"/>
          <w:szCs w:val="20"/>
          <w:color w:val="auto"/>
        </w:rPr>
      </w:pPr>
    </w:p>
    <w:p>
      <w:pPr>
        <w:ind w:left="1020" w:right="4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2024, cash, cash equivalents, and marketable securities were $213.3 million, as compared to $236.2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2023. The decrease in our cash position is due to net cash used in operating activities in 2024. Pro forma cash, cash equivalents, and marketable securities were approximately $293.3 million as of March 31, 2024, inclusive of the $80.0 million milestone due under the collaboration and license agreement with Sanofi.</w:t>
      </w:r>
    </w:p>
    <w:p>
      <w:pPr>
        <w:spacing w:after="0" w:line="68"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Collaboration Revenue: </w:t>
      </w:r>
      <w:r>
        <w:rPr>
          <w:rFonts w:ascii="Times New Roman" w:cs="Times New Roman" w:eastAsia="Times New Roman" w:hAnsi="Times New Roman"/>
          <w:sz w:val="18"/>
          <w:szCs w:val="18"/>
          <w:color w:val="auto"/>
        </w:rPr>
        <w:t>Collaboration revenue was zero for the three months ended March 31, 2024, as compared to $0.3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March 31, 2023. The decrease of $0.3 million was attributable to the completion of our research services under our collaboration agreement with MyoKardia during the fourth quarter of 2023.</w:t>
      </w:r>
    </w:p>
    <w:p>
      <w:pPr>
        <w:spacing w:after="0" w:line="62"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$19.8 million for the three months ended March 31, 2024 as compared to $16.7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March 31, 2023. The increase of $3.1 million was primarily due to increased costs related to the advancement of REACH.</w:t>
      </w:r>
    </w:p>
    <w:p>
      <w:pPr>
        <w:spacing w:after="0" w:line="62" w:lineRule="exact"/>
        <w:rPr>
          <w:rFonts w:ascii="Times New Roman" w:cs="Times New Roman" w:eastAsia="Times New Roman" w:hAnsi="Times New Roman"/>
          <w:sz w:val="18"/>
          <w:szCs w:val="18"/>
          <w:color w:val="auto"/>
        </w:rPr>
      </w:pPr>
    </w:p>
    <w:p>
      <w:pPr>
        <w:jc w:val="both"/>
        <w:ind w:left="1020" w:right="10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$10.1 million for the three months ended March 31, 2024 as compared to $11.5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three months ended March 31, 2023. The decrease of $1.4 million was primarily due to decreased employee compensation costs.</w:t>
      </w:r>
    </w:p>
    <w:p>
      <w:pPr>
        <w:spacing w:after="0" w:line="46"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$26.9 million for the three months ended March 31, 2024 as compared to $24.8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to Cash Runway Guidance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its current operating plans, Fulcrum now expects that its cash, cash equivalents, and marketable securities as of March 31, 2024, together with the $80.0 million upfront payment to be received from Sanofi under the collaboration and license agreement, will be sufficient to fund its operating requirements into 2027.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Fulcrum Therapeutics, Inc. will host a conference call and webcast today at 8:00 a.m. ET to review the first quarter 2024 financial results and recent business highlights. Individuals may register for the conference call by clicking the link here. Once registered, participants will receive dial-in details and unique PIN which will allow them to access the call. An audio webcast will be accessible through the Investor Relations section of the company’s website at www.fulcrumtx.com or by clicking here. Following the live webcast, an archived replay will also be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Fulcrum Therapeutics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Fulcrum Therapeutics is a clinical-stage biopharmaceutical company focused on developing small molecules to improve the lives of patients with genetically defined rare diseases in areas of high unmet medical need. Fulcrum’s two lead programs in clinical development are losmapimod, a small molecule in development for the treatment of facioscapulohumeral muscular dystrophy (FSHD), and pociredir (formerly known as FTX-6058), a small molecule designed to increase expression of fetal hemoglobin and in development for the treatment of sickle cell disease (SCD). Fulcrum uses proprietary technology to identify drug targets that can modulate gene expression to treat the known root cause of gene mis-expression. For more information, visit www.fulcrumtx.com and follow us on Twitter/X (@FulcrumTx) and LinkedIn.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Losmapimod</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Losmapimod is a selective p38α/β mitogen activated protein kinase (MAPK) inhibitor. Fulcrum exclusively in-licensed losmapimod from GSK following Fulcrum’s discovery of the role of p38α/β inhibitors in the reduction of DUX4 expression and an extensive review of known compounds. Results reported from the Phase 2b ReDUX4 trial demonstrated slower disease progression and improved function, including positive impacts on upper extremity strength and functional measures supporting losmapimod’s potential to be a transformative therapy for the treatment of FSHD. Although losmapimod had never previously been explored in muscular dystrophies, it had been evaluated in more than 3,600 subjects in clinical trials across multiple other indications with no safety signals attributed to losmapimod. Losmapimod has been granted U.S. Food and Drug Administration (FDA) Fast Track designation and Orphan Drug Designation for the treatment of FSHD. Losmapimod is currently being evaluated in a Phase 3 multi-center randomized, double-blind, placebo-controlled, 48-week parallel-group study in people with FSHD (NCT05397470).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FSHD</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FSHD is a serious, rare, progressive, and debilitating disease for which there are no approved treatments. It is characterized by fat infiltration of skeletal muscle leading to muscular atrophy involving primarily the face, scapula and shoulders, upper arms,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 w:name="page7"/>
    <w:bookmarkEnd w:id="6"/>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abdomen. Impact on patients includes relentless and accumulating muscle and functional loss impacting their ability to perform activities of daily living, loss of upper limb function, loss of mobility and independence, and chronic pain. FSHD is one of the most common forms of muscular dystrophy and has an estimated patient population of 30,000 in the United States alone.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Pociredir</w:t>
      </w:r>
    </w:p>
    <w:p>
      <w:pPr>
        <w:spacing w:after="0" w:line="3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Pociredir is an investigational oral small-molecule inhibitor of Embryonic Ectoderm Development (EED) that was discovered using Fulcrum’s proprietary discovery technology. Inhibition of EED leads to potent downregulation of key fetal globin repressors, including BCL11A, thereby causing an increase in fetal hemoglobin (HbF). Pociredir is being developed for the treatment of SCD. Initial data in SCD demonstrated proof-of-concept and achieved absolute levels of HbF increases associated with potential overall patient benefit. In clinical trials conducted prior to the clinical hold, which was lifted by the FDA in August 2023, pociredir was generally well-tolerated in people with SCD with up to three months of exposure, with no serious treatment-related adverse events reported. Pociredir has been granted U.S. FDA Fast Track designation and Orphan Drug Designation for the treatment of SCD. To learn more about these trials please visit ClinicalTrials.gov.</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Sickle Cell Disease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clinical trials, including timing of topline data for the Phase 3 REACH trial of losmapimod; Fulcrum’s collaboration and license agreement with Sanofi; receipt of the upfront payment thereunder and extension of its cash runway, as well as its ability to receive the milestone and royalty payments thereunder and achieve benefits therefrom; reinitiation of the Phase 1b trial of pociredir and enrollees in each cohort; and Fulcrum’s ability to deliver an FDA-approved therapy for FSHD patients; among others.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of losmapimod, pociredir and any other product candidates; obtaining, maintaining or protecting intellectual property rights related to its product candidates; managing expenses; managing executive and employee turnover, including integrating a new CMO;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213,314</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236,221</w:t>
            </w:r>
          </w:p>
        </w:tc>
        <w:tc>
          <w:tcPr>
            <w:tcW w:w="100" w:type="dxa"/>
            <w:vAlign w:val="bottom"/>
            <w:shd w:val="clear" w:color="auto" w:fill="CFF0FC"/>
          </w:tcPr>
          <w:p>
            <w:pPr>
              <w:spacing w:after="0"/>
              <w:rPr>
                <w:sz w:val="20"/>
                <w:szCs w:val="20"/>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228,524</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232,588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257,694</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235,193</w:t>
            </w:r>
          </w:p>
        </w:tc>
        <w:tc>
          <w:tcPr>
            <w:tcW w:w="100" w:type="dxa"/>
            <w:vAlign w:val="bottom"/>
          </w:tcPr>
          <w:p>
            <w:pPr>
              <w:spacing w:after="0"/>
              <w:rPr>
                <w:sz w:val="20"/>
                <w:szCs w:val="20"/>
                <w:color w:val="auto"/>
              </w:rPr>
            </w:pPr>
          </w:p>
        </w:tc>
      </w:tr>
      <w:tr>
        <w:trPr>
          <w:trHeight w:val="26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(1)  Fulcrum defines working capital as current assets minus current liabilities.</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100"/>
        </w:trPr>
        <w:tc>
          <w:tcPr>
            <w:tcW w:w="7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(29,834 )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(27,940 )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(26,870 )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(24,779 )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8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61,984</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59,722</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Calabrese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ccalabrese@lifesciadvisors.com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917-680-5608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2024-05-13T06:12:37Z</dcterms:created>
  <dcterms:modified xsi:type="dcterms:W3CDTF">2024-05-13T06:12:37Z</dcterms:modified>
</cp:coreProperties>
</file>