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001-38978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47-4839948</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26 Landsdowne Street</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Cambridge,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Arial" w:cs="Arial" w:eastAsia="Arial" w:hAnsi="Arial"/>
                <w:sz w:val="18"/>
                <w:szCs w:val="18"/>
                <w:b w:val="1"/>
                <w:bCs w:val="1"/>
                <w:color w:val="auto"/>
              </w:rPr>
              <w:t>FULC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1084" w:right="1080" w:hanging="1092"/>
        <w:spacing w:after="0" w:line="282" w:lineRule="auto"/>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On March 23, 2021, the Board of Directors (the “Board”) of Fulcrum Therapeutics, Inc. (the “Company”) appointed Judith A. Dunn, Ph.D. as the Company’s President, Research and Development, effective as of April 1, 2021 (the “Effective Date”).</w:t>
      </w:r>
    </w:p>
    <w:p>
      <w:pPr>
        <w:spacing w:after="0" w:line="170"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Dr. Dunn, age 58, has served as an Entrepreneur-in-Residence at Atlas Venture, a venture capital firm, since June 2018, where she has supported the development of new companies targeting areas of unmet need in neuroscience. Prior to joining Atlas Venture, she served as Vice President, Clinical Development at F. Hoffman-La Roche AG, a healthcare company, from January 2013 to January 2018 and as the Head of Roche Innovation Center from 2013 to 2018. Dr. Dunn also served as the Executive Medical Director, CNS Clinical Development (Ph I-III) at Sepracor, Inc. (now Sunovion Pharmaceuticals Inc.) from 2005 to 2010 and in a number of roles at Pfizer Inc. from 1997 to 2005. She supported the establishment of the Empire Discovery Institute, a New York State initiative to support progression of early stage research to clinical application. She has served as a member of the board of directors of Seelos Therapeutics, Inc., a publicly traded biopharmaceutical company, since May 2020. Dr. Dunn received a Postdoctoral Fellowship in New Drug Development from Pfizer, a Training Fellowship in Neuropharmacology from the Center for Brain Research, a Doctor of Philosophy, Developmental Neurobiology from Wesleyan University and a Bachelor of Science, Neurobiology from the University of Rochester.</w:t>
      </w:r>
    </w:p>
    <w:p>
      <w:pPr>
        <w:spacing w:after="0" w:line="166" w:lineRule="exact"/>
        <w:rPr>
          <w:sz w:val="20"/>
          <w:szCs w:val="20"/>
          <w:color w:val="auto"/>
        </w:rPr>
      </w:pPr>
    </w:p>
    <w:p>
      <w:pPr>
        <w:ind w:left="4" w:right="80"/>
        <w:spacing w:after="0" w:line="271" w:lineRule="auto"/>
        <w:rPr>
          <w:sz w:val="20"/>
          <w:szCs w:val="20"/>
          <w:color w:val="auto"/>
        </w:rPr>
      </w:pPr>
      <w:r>
        <w:rPr>
          <w:rFonts w:ascii="Arial" w:cs="Arial" w:eastAsia="Arial" w:hAnsi="Arial"/>
          <w:sz w:val="17"/>
          <w:szCs w:val="17"/>
          <w:color w:val="auto"/>
        </w:rPr>
        <w:t>On March 19, 2021, Dr. Dunn entered into an employment agreement with the Company (the “Employment Agreement”). Pursuant to the Employment Agreement, Dr. Dunn will be paid an annual base salary of $450,000. Following the end of each calendar year, Dr. Dunn will be eligible to receive an annual discretionary performance bonus with a target of 40% of her then annual base salary based upon the Board’s assessment of her performance and the Company’s attainment of goals as set by the Board in its sole discretion. The Company will grant Dr. Dunn an option to purchase 215,000 shares of the Company’s common stock (the “Option”) under the Company’s 2019 Stock Incentive Plan, effective as the Effective Date. The Option will have an exercise price equal to the closing price of the Company’s common stock on the Effective Date. The Option vest as to 25% of the shares underlying the Option on the first anniversary of the Effective Date and as to additional 6.25% of the shares in equal quarterly installments over the twelve successive quarters following the first anniversary of the Effective Date.</w:t>
      </w:r>
    </w:p>
    <w:p>
      <w:pPr>
        <w:spacing w:after="0" w:line="178" w:lineRule="exact"/>
        <w:rPr>
          <w:sz w:val="20"/>
          <w:szCs w:val="20"/>
          <w:color w:val="auto"/>
        </w:rPr>
      </w:pPr>
    </w:p>
    <w:p>
      <w:pPr>
        <w:ind w:left="4" w:right="80"/>
        <w:spacing w:after="0" w:line="287" w:lineRule="auto"/>
        <w:rPr>
          <w:sz w:val="20"/>
          <w:szCs w:val="20"/>
          <w:color w:val="auto"/>
        </w:rPr>
      </w:pPr>
      <w:r>
        <w:rPr>
          <w:rFonts w:ascii="Arial" w:cs="Arial" w:eastAsia="Arial" w:hAnsi="Arial"/>
          <w:sz w:val="16"/>
          <w:szCs w:val="16"/>
          <w:color w:val="auto"/>
        </w:rPr>
        <w:t>In the event of the termination of Dr. Dunn’s employment by us without cause, or by her for good reason, prior to or more than 12 months following a “change in control” (as change in control is defined in the Employment Agreement), Dr. Dunn would be entitled to her base salary that has accrued and to which she is entitled as of the termination date and other accrued benefits, collectively, the accrued obligations. In addition, she is entitled to</w:t>
      </w:r>
    </w:p>
    <w:p>
      <w:pPr>
        <w:spacing w:after="0" w:line="2" w:lineRule="exact"/>
        <w:rPr>
          <w:sz w:val="20"/>
          <w:szCs w:val="20"/>
          <w:color w:val="auto"/>
        </w:rPr>
      </w:pPr>
    </w:p>
    <w:p>
      <w:pPr>
        <w:ind w:left="4" w:right="180" w:hanging="4"/>
        <w:spacing w:after="0" w:line="273" w:lineRule="auto"/>
        <w:tabs>
          <w:tab w:leader="none" w:pos="259"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continued payment of her base salary, in accordance with our regular payroll procedures, for a period of 12 months and (2) provided she is eligible for and timely elects to continue receiving group medical insurance under COBRA and the payments would not result in the violation of nondiscrimination requirements of applicable law, payment by us of the portion of health coverage premiums we pay for similarly situated, active employees who receive the same type of coverage, for a period of up to 12 months following her date of termination.</w:t>
      </w:r>
    </w:p>
    <w:p>
      <w:pPr>
        <w:spacing w:after="0" w:line="176" w:lineRule="exact"/>
        <w:rPr>
          <w:sz w:val="20"/>
          <w:szCs w:val="20"/>
          <w:color w:val="auto"/>
        </w:rPr>
      </w:pPr>
    </w:p>
    <w:p>
      <w:pPr>
        <w:ind w:left="4" w:right="40"/>
        <w:spacing w:after="0" w:line="287" w:lineRule="auto"/>
        <w:rPr>
          <w:sz w:val="20"/>
          <w:szCs w:val="20"/>
          <w:color w:val="auto"/>
        </w:rPr>
      </w:pPr>
      <w:r>
        <w:rPr>
          <w:rFonts w:ascii="Arial" w:cs="Arial" w:eastAsia="Arial" w:hAnsi="Arial"/>
          <w:sz w:val="16"/>
          <w:szCs w:val="16"/>
          <w:color w:val="auto"/>
        </w:rPr>
        <w:t>In the event of the termination of Dr. Dunn’s employment by us without cause, or by her for good reason, within 12 months following a change in control, Dr. Dunn is entitled to the accrued obligations. In addition, she is entitled to (1) continued payment of her then-current base salary (or, if higher, her base salary in effect immediately prior to the change in control), in accordance with our regular payroll procedures, for a period of 12 months,</w:t>
      </w:r>
    </w:p>
    <w:p>
      <w:pPr>
        <w:spacing w:after="0" w:line="2" w:lineRule="exact"/>
        <w:rPr>
          <w:sz w:val="20"/>
          <w:szCs w:val="20"/>
          <w:color w:val="auto"/>
        </w:rPr>
      </w:pPr>
    </w:p>
    <w:p>
      <w:pPr>
        <w:ind w:left="4" w:hanging="4"/>
        <w:spacing w:after="0" w:line="270" w:lineRule="auto"/>
        <w:tabs>
          <w:tab w:leader="none" w:pos="259"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provided she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her date of termination, (3) a lump sum payment equal to 100% of her target bonus for the year in which her employment is terminated or, if higher, her target bonus immediately prior to the change in control and (4) full vesting acceleration of her then-unvested equity awards that vest solely based on the passage of time, such that her time-based equity awards become fully exercisable and non-forfeitable as of the termination date.</w:t>
      </w:r>
    </w:p>
    <w:p>
      <w:pPr>
        <w:spacing w:after="0" w:line="178" w:lineRule="exact"/>
        <w:rPr>
          <w:sz w:val="20"/>
          <w:szCs w:val="20"/>
          <w:color w:val="auto"/>
        </w:rPr>
      </w:pPr>
    </w:p>
    <w:p>
      <w:pPr>
        <w:ind w:left="4" w:right="240"/>
        <w:spacing w:after="0" w:line="287" w:lineRule="auto"/>
        <w:rPr>
          <w:sz w:val="20"/>
          <w:szCs w:val="20"/>
          <w:color w:val="auto"/>
        </w:rPr>
      </w:pPr>
      <w:r>
        <w:rPr>
          <w:rFonts w:ascii="Arial" w:cs="Arial" w:eastAsia="Arial" w:hAnsi="Arial"/>
          <w:sz w:val="16"/>
          <w:szCs w:val="16"/>
          <w:color w:val="auto"/>
        </w:rPr>
        <w:t>In addition, pursuant to the Company’s standard form of indemnification agreement Dr. Dunn entered into in connection with her employment as President, Research and Development, the form of which was filed with the Securities and Exchange Commission as Exhibit 10.15 to the Company’s Registration Statement on Form S-1 (File No. 333-232260) on June 21, 2019, the Company may be required, among other things, to indemnify</w:t>
      </w:r>
    </w:p>
    <w:p>
      <w:pPr>
        <w:spacing w:after="0" w:line="2" w:lineRule="exact"/>
        <w:rPr>
          <w:sz w:val="20"/>
          <w:szCs w:val="20"/>
          <w:color w:val="auto"/>
        </w:rPr>
      </w:pPr>
    </w:p>
    <w:p>
      <w:pPr>
        <w:ind w:left="4" w:right="20"/>
        <w:spacing w:after="0" w:line="260" w:lineRule="auto"/>
        <w:rPr>
          <w:sz w:val="20"/>
          <w:szCs w:val="20"/>
          <w:color w:val="auto"/>
        </w:rPr>
      </w:pPr>
      <w:r>
        <w:rPr>
          <w:rFonts w:ascii="Arial" w:cs="Arial" w:eastAsia="Arial" w:hAnsi="Arial"/>
          <w:sz w:val="18"/>
          <w:szCs w:val="18"/>
          <w:color w:val="auto"/>
        </w:rPr>
        <w:t>Dr. Dunn certain expenses (including attorneys’ fees), judgments, fines and settlement amounts actually and reasonably incurred by him in any action or proceeding arising out of her service as an officer or director of the Company.</w:t>
      </w:r>
    </w:p>
    <w:p>
      <w:pPr>
        <w:spacing w:after="0" w:line="185" w:lineRule="exact"/>
        <w:rPr>
          <w:sz w:val="20"/>
          <w:szCs w:val="20"/>
          <w:color w:val="auto"/>
        </w:rPr>
      </w:pPr>
    </w:p>
    <w:p>
      <w:pPr>
        <w:ind w:left="4" w:right="300"/>
        <w:spacing w:after="0" w:line="259" w:lineRule="auto"/>
        <w:rPr>
          <w:sz w:val="20"/>
          <w:szCs w:val="20"/>
          <w:color w:val="auto"/>
        </w:rPr>
      </w:pPr>
      <w:r>
        <w:rPr>
          <w:rFonts w:ascii="Arial" w:cs="Arial" w:eastAsia="Arial" w:hAnsi="Arial"/>
          <w:sz w:val="18"/>
          <w:szCs w:val="18"/>
          <w:color w:val="auto"/>
        </w:rPr>
        <w:t>A copy of the Company’s press release announcing Dr. Dunn’s appointment as President, Research and Development is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ectPr>
          <w:pgSz w:w="11900" w:h="16838" w:orient="portrait"/>
          <w:cols w:equalWidth="0" w:num="1">
            <w:col w:w="10984"/>
          </w:cols>
          <w:pgMar w:left="436" w:top="270" w:right="479" w:bottom="1440" w:gutter="0" w:footer="0" w:header="0"/>
        </w:sectPr>
      </w:pPr>
    </w:p>
    <w:bookmarkStart w:id="2" w:name="page3"/>
    <w:bookmarkEnd w:id="2"/>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description of the Employment Agreement does not purport to be complete and is qualified in its entirety by reference to the complete text of such agreement, a copy of which will be included as an exhibit to the Company’s Quarterly Report on Form 10-Q for the three months ending March 31, 2021.</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herewith:</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264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Press Release, dated March 24, 2021</w:t>
              </w:r>
            </w:hyperlink>
          </w:p>
        </w:tc>
      </w:tr>
    </w:tbl>
    <w:p>
      <w:pPr>
        <w:sectPr>
          <w:pgSz w:w="11900" w:h="16838" w:orient="portrait"/>
          <w:cols w:equalWidth="0" w:num="1">
            <w:col w:w="10720"/>
          </w:cols>
          <w:pgMar w:left="440" w:top="274" w:right="73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24,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Peter Thomson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Vice President, Finance and Accounting</w:t>
      </w:r>
    </w:p>
    <w:p>
      <w:pPr>
        <w:sectPr>
          <w:pgSz w:w="11900" w:h="16838" w:orient="portrait"/>
          <w:cols w:equalWidth="0" w:num="1">
            <w:col w:w="10700"/>
          </w:cols>
          <w:pgMar w:left="440" w:top="270"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014220"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142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Appoints Judith A. Dunn, Ph.D. as President of Research and Development</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CAMBRIDGE, Mass., March 24, 2021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Fulcrum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FULC), a clinical-stage biopharmaceutical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improving the lives of patients with genetically defined rare diseases, today announced that Judith A. Dunn, Ph.D. has been appointed President of Research and Development. Dr. Dunn has held multiple leadership roles in global research and drug development spanning from discovery through commercialization. Most recently, she supported the development of new companies targeting areas of unmet need in neuroscience as an Entrepreneur in Residence at Atlas Venture.</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honored to have Dr. Dunn join Fulcrum to expand our R&amp;D leadership team, particularly as we move toward significant advancements with our losmapimod and FTX-6058 development programs,” said Bryan E. Stuart, Fulcrum’s incoming president and chief executive officer. “Our product engine and industry collaborations position us to advance many new opportunities in discovery and drug development in the months and years ahead. Judy’s outstanding experience with over 25 years in drug discovery and clinical development will be an important resource for us as we work to advance these programs.”</w:t>
      </w:r>
    </w:p>
    <w:p>
      <w:pPr>
        <w:spacing w:after="0" w:line="188"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“I am thrilled to take on this role at Fulcrum,” said Dr. Dunn. “I was very impressed with the productivity and potential of Fulcrum’s product engine, which has already generated two important programs for FSHD and select hemoglobinopathies, including sickle cell disease. I’m also excited for the advances in research and development, including bringing forward two INDs over the next 24 months. FulcrumSeek’s ability to generate and integrate functional, morphological and transcriptional data with great precision enables rapid identification of novel targets across a wide variety of diseases. I look forward to working with the team to continue to advance programs to treat the root causes of genetically defined rare diseases.”</w:t>
      </w:r>
    </w:p>
    <w:p>
      <w:pPr>
        <w:spacing w:after="0" w:line="5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Prior to Atlas, Dr. Dunn served as Vice President of Clinical Development at Roche and was previously head of the Roche Innovation Center in New York City. She also supported the establishment of the Empire Discovery Institute, a New York State initiative to support progression of early stage research to clinical application. She has additionally held positions in both the research and commercial divisions of Pfizer and led clinical programs in psychiatry at Sunovion (Sepracor). Dr. Dunn received a postdoctoral fellowship in new drug development from Pfizer, a training fellowship in neuropharmacology from the Center for Brain Research, a Doctor of Philosophy, Developmental Neurobiology from Wesleyan University and a Bachelor of Science, Neurobiology from the University of Rochester.</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Fulcrum Therapeutics</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Fulcrum Therapeutics is a clinical-stage biopharmaceutical company focused on improving the lives of patients with genetically defined rare diseases in areas of high unmet medical need. Fulcrum’s proprietary product engine identifies drug targets which can modulate gene expression to treat the known root cause of gene mis-expression. The company has advanced losmapimod to Phase 2 clinical development for the treatment of facioscapulohumeral muscular dystrophy (FSHD). Fulcrum has also advanced FTX-6058, a small molecule designed to increase expression of fetal hemoglobin for the treatment of sickle cell disease and beta-thalassemia into Phase 1 clinical development.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Please visit www.fulcrumtx.com.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that involve substantial risks and uncertainties.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Securities and Exchange Commission.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Christi Waarich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617-651-8664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cwaarich@fulcrumtx.com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Stephanie Ascher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stephanie.ascher@sternir.com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Kaitlin Gallagher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Berry &amp; Company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kgallagher@berrypr.com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212-253-8881</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2021-03-25T19:25:24Z</dcterms:created>
  <dcterms:modified xsi:type="dcterms:W3CDTF">2021-03-25T19:25:24Z</dcterms:modified>
</cp:coreProperties>
</file>