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center"/>
        <w:rPr/>
      </w:pPr>
      <w:bookmarkStart w:id="0" w:name="fulc-20221231.htm"/>
      <w:bookmarkStart w:id="1" w:name="ksfulc20221231"/>
      <w:bookmarkEnd w:id="0"/>
      <w:bookmarkEnd w:id="1"/>
      <w:r>
        <w:rPr/>
        <w:t> </w:t>
      </w:r>
    </w:p>
    <w:p>
      <w:pPr>
        <w:pStyle w:val="TextBody"/>
        <w:bidi w:val="0"/>
        <w:spacing w:before="0" w:after="0"/>
        <w:jc w:val="center"/>
        <w:rPr>
          <w:rFonts w:ascii="Times New Roman" w:hAnsi="Times New Roman"/>
          <w:sz w:val="20"/>
        </w:rPr>
      </w:pPr>
      <w:r>
        <w:rPr>
          <w:rFonts w:ascii="Times New Roman;serif" w:hAnsi="Times New Roman;serif"/>
          <w:b/>
          <w:sz w:val="32"/>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2"/>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40" w:after="0"/>
        <w:jc w:val="center"/>
        <w:rPr>
          <w:rFonts w:ascii="Times New Roman;serif" w:hAnsi="Times New Roman;serif"/>
          <w:b/>
          <w:sz w:val="36"/>
        </w:rPr>
      </w:pPr>
      <w:r>
        <w:rPr>
          <w:rFonts w:ascii="Times New Roman;serif" w:hAnsi="Times New Roman;serif"/>
          <w:b/>
          <w:sz w:val="36"/>
        </w:rPr>
        <w:t>FORM 10-K/A</w:t>
      </w:r>
    </w:p>
    <w:p>
      <w:pPr>
        <w:pStyle w:val="TextBody"/>
        <w:bidi w:val="0"/>
        <w:spacing w:before="0" w:after="0"/>
        <w:jc w:val="center"/>
        <w:rPr>
          <w:rFonts w:ascii="Times New Roman;serif" w:hAnsi="Times New Roman;serif"/>
          <w:b/>
          <w:sz w:val="20"/>
        </w:rPr>
      </w:pPr>
      <w:r>
        <w:rPr>
          <w:rFonts w:ascii="Times New Roman;serif" w:hAnsi="Times New Roman;serif"/>
          <w:b/>
          <w:sz w:val="20"/>
        </w:rPr>
        <w:t>Amendment No. 1</w:t>
      </w:r>
    </w:p>
    <w:p>
      <w:pPr>
        <w:pStyle w:val="TextBody"/>
        <w:pBdr>
          <w:bottom w:val="single" w:sz="4" w:space="1" w:color="000000"/>
        </w:pBdr>
        <w:bidi w:val="0"/>
        <w:spacing w:before="0" w:after="0"/>
        <w:jc w:val="center"/>
        <w:rPr/>
      </w:pPr>
      <w:r>
        <w:rPr/>
        <w:t> </w:t>
      </w:r>
    </w:p>
    <w:p>
      <w:pPr>
        <w:pStyle w:val="TextBody"/>
        <w:bidi w:val="0"/>
        <w:spacing w:before="40" w:after="0"/>
        <w:jc w:val="left"/>
        <w:rPr>
          <w:rFonts w:ascii="Times New Roman" w:hAnsi="Times New Roman"/>
          <w:sz w:val="20"/>
        </w:rPr>
      </w:pPr>
      <w:r>
        <w:rPr>
          <w:rFonts w:ascii="Times New Roman;serif" w:hAnsi="Times New Roman;serif"/>
          <w:b/>
          <w:sz w:val="16"/>
        </w:rPr>
        <w:t>(Mark One)</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sz w:val="20"/>
        </w:rPr>
        <w:t>ANNUAL REPORT PURSUANT TO SECTION 13 OR 15(d) OF THE SECURITIES EXCHANGE ACT OF 1934</w:t>
      </w:r>
      <w:r>
        <w:rPr>
          <w:rFonts w:ascii="Times New Roman" w:hAnsi="Times New Roman"/>
          <w:sz w:val="20"/>
        </w:rPr>
        <w:t xml:space="preserve"> </w:t>
      </w:r>
    </w:p>
    <w:p>
      <w:pPr>
        <w:pStyle w:val="TextBody"/>
        <w:bidi w:val="0"/>
        <w:spacing w:before="40" w:after="0"/>
        <w:jc w:val="center"/>
        <w:rPr>
          <w:rFonts w:ascii="Times New Roman;serif" w:hAnsi="Times New Roman;serif"/>
          <w:b/>
          <w:sz w:val="20"/>
        </w:rPr>
      </w:pPr>
      <w:r>
        <w:rPr>
          <w:rFonts w:ascii="Times New Roman;serif" w:hAnsi="Times New Roman;serif"/>
          <w:b/>
          <w:sz w:val="20"/>
        </w:rPr>
        <w:t>For the fiscal year ended December 31, 2022</w:t>
      </w:r>
    </w:p>
    <w:p>
      <w:pPr>
        <w:pStyle w:val="TextBody"/>
        <w:bidi w:val="0"/>
        <w:spacing w:before="4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bidi w:val="0"/>
        <w:spacing w:before="40" w:after="0"/>
        <w:jc w:val="left"/>
        <w:rPr/>
      </w:pPr>
      <w:r>
        <w:rPr/>
        <w:t xml:space="preserve">☐ </w:t>
      </w: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p>
      <w:pPr>
        <w:pStyle w:val="TextBody"/>
        <w:bidi w:val="0"/>
        <w:spacing w:before="4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40" w:after="0"/>
        <w:jc w:val="center"/>
        <w:rPr>
          <w:rFonts w:ascii="Times New Roman;serif" w:hAnsi="Times New Roman;serif"/>
          <w:b/>
          <w:sz w:val="20"/>
        </w:rPr>
      </w:pPr>
      <w:r>
        <w:rPr>
          <w:rFonts w:ascii="Times New Roman;serif" w:hAnsi="Times New Roman;serif"/>
          <w:b/>
          <w:sz w:val="20"/>
        </w:rPr>
        <w:t>Commission File Number 001-38978</w:t>
      </w:r>
    </w:p>
    <w:p>
      <w:pPr>
        <w:pStyle w:val="TextBody"/>
        <w:pBdr>
          <w:bottom w:val="single" w:sz="4" w:space="1" w:color="000000"/>
        </w:pBdr>
        <w:bidi w:val="0"/>
        <w:spacing w:before="0" w:after="0"/>
        <w:jc w:val="center"/>
        <w:rPr/>
      </w:pPr>
      <w:r>
        <w:rPr/>
        <w:t> </w:t>
      </w:r>
    </w:p>
    <w:p>
      <w:pPr>
        <w:pStyle w:val="TextBody"/>
        <w:bidi w:val="0"/>
        <w:spacing w:before="40" w:after="0"/>
        <w:jc w:val="center"/>
        <w:rPr>
          <w:rFonts w:ascii="Times New Roman;serif" w:hAnsi="Times New Roman;serif"/>
          <w:b/>
          <w:sz w:val="48"/>
        </w:rPr>
      </w:pPr>
      <w:r>
        <w:rPr>
          <w:rFonts w:ascii="Times New Roman;serif" w:hAnsi="Times New Roman;serif"/>
          <w:b/>
          <w:sz w:val="48"/>
        </w:rPr>
        <w:t>FULCRUM THERAPEUTICS, INC.</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47-4839948</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26 Landsdowne Street</w:t>
              <w:br/>
              <w:t>Cambridge, Massachusetts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02139</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 (617) 651-8851</w:t>
      </w:r>
    </w:p>
    <w:p>
      <w:pPr>
        <w:pStyle w:val="TextBody"/>
        <w:pBdr>
          <w:bottom w:val="single" w:sz="4" w:space="1" w:color="000000"/>
        </w:pBdr>
        <w:bidi w:val="0"/>
        <w:spacing w:before="0" w:after="0"/>
        <w:jc w:val="center"/>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17"/>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005" w:type="dxa"/>
        <w:jc w:val="left"/>
        <w:tblInd w:w="0" w:type="dxa"/>
        <w:tblLayout w:type="fixed"/>
        <w:tblCellMar>
          <w:top w:w="28" w:type="dxa"/>
          <w:left w:w="28" w:type="dxa"/>
          <w:bottom w:w="28" w:type="dxa"/>
          <w:right w:w="28" w:type="dxa"/>
        </w:tblCellMar>
      </w:tblPr>
      <w:tblGrid>
        <w:gridCol w:w="3571"/>
        <w:gridCol w:w="146"/>
        <w:gridCol w:w="826"/>
        <w:gridCol w:w="146"/>
        <w:gridCol w:w="331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5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$0.001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FULC</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7"/>
        </w:rPr>
        <w:t>Securities registered pursuant to Section 12(g) of the Act: None</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if the registrant is a well-known seasoned issuer, as defined in Rule 405 of the Securities Act. YES </w:t>
      </w:r>
      <w:r>
        <w:rPr>
          <w:rFonts w:ascii="Times New Roman" w:hAnsi="Times New Roman"/>
          <w:sz w:val="20"/>
        </w:rPr>
        <w:t xml:space="preserve">☐ </w:t>
      </w:r>
      <w:r>
        <w:rPr>
          <w:rFonts w:ascii="Times New Roman;serif" w:hAnsi="Times New Roman;serif"/>
          <w:b w:val="false"/>
          <w:caps/>
          <w:sz w:val="17"/>
        </w:rPr>
        <w:t>No</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if the registrant is not required to file reports pursuant to Section 13 or 15(d) of the Act. YES </w:t>
      </w:r>
      <w:r>
        <w:rPr>
          <w:rFonts w:ascii="Times New Roman" w:hAnsi="Times New Roman"/>
          <w:sz w:val="20"/>
        </w:rPr>
        <w:t xml:space="preserve">☐ </w:t>
      </w:r>
      <w:r>
        <w:rPr>
          <w:rFonts w:ascii="Times New Roman;serif" w:hAnsi="Times New Roman;serif"/>
          <w:b w:val="false"/>
          <w:caps/>
          <w:sz w:val="17"/>
        </w:rPr>
        <w:t>No</w:t>
      </w:r>
      <w:r>
        <w:rPr>
          <w:rFonts w:ascii="Times New Roman" w:hAnsi="Times New Roman"/>
          <w:sz w:val="20"/>
        </w:rPr>
        <w:t xml:space="preserve"> ☒ </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aps/>
          <w:sz w:val="17"/>
        </w:rPr>
        <w:t>Yes</w:t>
      </w:r>
      <w:r>
        <w:rPr>
          <w:rFonts w:ascii="Times New Roman" w:hAnsi="Times New Roman"/>
          <w:sz w:val="20"/>
        </w:rPr>
        <w:t xml:space="preserve"> ☒ </w:t>
      </w:r>
      <w:r>
        <w:rPr>
          <w:rFonts w:ascii="Times New Roman;serif" w:hAnsi="Times New Roman;serif"/>
          <w:b w:val="false"/>
          <w:sz w:val="17"/>
        </w:rPr>
        <w:t xml:space="preserve">NO </w:t>
      </w:r>
      <w:r>
        <w:rPr>
          <w:rFonts w:ascii="Times New Roman" w:hAnsi="Times New Roman"/>
          <w:sz w:val="20"/>
        </w:rPr>
        <w:t>☐</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7"/>
        </w:rPr>
        <w:t>Yes</w:t>
      </w:r>
      <w:r>
        <w:rPr>
          <w:rFonts w:ascii="Times New Roman" w:hAnsi="Times New Roman"/>
          <w:sz w:val="20"/>
        </w:rPr>
        <w:t xml:space="preserve"> ☒ </w:t>
      </w:r>
      <w:r>
        <w:rPr>
          <w:rFonts w:ascii="Times New Roman;serif" w:hAnsi="Times New Roman;serif"/>
          <w:b w:val="false"/>
          <w:sz w:val="17"/>
        </w:rPr>
        <w:t xml:space="preserve">NO </w:t>
      </w:r>
      <w:r>
        <w:rPr>
          <w:rFonts w:ascii="Times New Roman" w:hAnsi="Times New Roman"/>
          <w:sz w:val="20"/>
        </w:rPr>
        <w:t xml:space="preserve">☐ </w:t>
      </w:r>
    </w:p>
    <w:p>
      <w:pPr>
        <w:pStyle w:val="TextBody"/>
        <w:bidi w:val="0"/>
        <w:spacing w:before="40" w:after="0"/>
        <w:jc w:val="left"/>
        <w:rPr>
          <w:rFonts w:ascii="Times New Roman;serif" w:hAnsi="Times New Roman;serif"/>
          <w:b w:val="false"/>
          <w:sz w:val="17"/>
        </w:rPr>
      </w:pPr>
      <w:r>
        <w:rPr>
          <w:rFonts w:ascii="Times New Roman;serif" w:hAnsi="Times New Roman;serif"/>
          <w:b w:val="false"/>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172" w:type="dxa"/>
            <w:gridSpan w:val="2"/>
            <w:tcBorders/>
            <w:vAlign w:val="center"/>
          </w:tcPr>
          <w:p>
            <w:pPr>
              <w:pStyle w:val="TableContents"/>
              <w:bidi w:val="0"/>
              <w:spacing w:before="0" w:after="0"/>
              <w:ind w:left="0" w:right="0" w:hanging="0"/>
              <w:jc w:val="left"/>
              <w:rPr/>
            </w:pPr>
            <w:r>
              <w:rPr/>
              <w:t> </w:t>
            </w:r>
          </w:p>
        </w:tc>
        <w:tc>
          <w:tcPr>
            <w:tcW w:w="507" w:type="dxa"/>
            <w:gridSpan w:val="2"/>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bidi w:val="0"/>
        <w:spacing w:before="0" w:after="0"/>
        <w:jc w:val="left"/>
        <w:rPr>
          <w:rFonts w:ascii="Times New Roman" w:hAnsi="Times New Roman"/>
          <w:sz w:val="20"/>
        </w:rPr>
      </w:pPr>
      <w:r>
        <w:rPr>
          <w:rFonts w:ascii="Times New Roman;serif" w:hAnsi="Times New Roman;serif"/>
          <w:b w:val="false"/>
          <w:sz w:val="17"/>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20"/>
        </w:rPr>
        <w:t>☐</w:t>
      </w:r>
    </w:p>
    <w:p>
      <w:pPr>
        <w:pStyle w:val="TextBody"/>
        <w:bidi w:val="0"/>
        <w:spacing w:before="0" w:after="0"/>
        <w:jc w:val="left"/>
        <w:rPr>
          <w:rFonts w:ascii="Times New Roman" w:hAnsi="Times New Roman"/>
          <w:sz w:val="20"/>
        </w:rPr>
      </w:pPr>
      <w:r>
        <w:rPr>
          <w:rFonts w:ascii="Times New Roman;serif" w:hAnsi="Times New Roman;serif"/>
          <w:b w:val="false"/>
          <w:sz w:val="17"/>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Times New Roman" w:hAnsi="Times New Roman"/>
          <w:sz w:val="20"/>
        </w:rPr>
        <w:t>☐</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7"/>
        </w:rPr>
        <w:t>NO ☒</w:t>
      </w:r>
    </w:p>
    <w:p>
      <w:pPr>
        <w:pStyle w:val="TextBody"/>
        <w:bidi w:val="0"/>
        <w:spacing w:before="40" w:after="0"/>
        <w:jc w:val="left"/>
        <w:rPr>
          <w:rFonts w:ascii="Times New Roman" w:hAnsi="Times New Roman"/>
          <w:sz w:val="20"/>
        </w:rPr>
      </w:pPr>
      <w:r>
        <w:rPr>
          <w:rFonts w:ascii="Times New Roman;serif" w:hAnsi="Times New Roman;serif"/>
          <w:b w:val="false"/>
          <w:sz w:val="17"/>
        </w:rPr>
        <w:t>As of June 30, 2022, the last business day of the registrant’s most recently completed second fiscal quarter, the aggregate market value of the registrant’s common stock held by non-affiliates of the registrant, based on the closing price of the shares of common stock on the Nasdaq Global Market on June 30, 2022, was approximately $136,818,741.</w:t>
      </w:r>
      <w:r>
        <w:rPr>
          <w:rFonts w:ascii="Times New Roman" w:hAnsi="Times New Roman"/>
          <w:sz w:val="20"/>
        </w:rPr>
        <w:t xml:space="preserve"> </w:t>
      </w:r>
    </w:p>
    <w:p>
      <w:pPr>
        <w:pStyle w:val="TextBody"/>
        <w:bidi w:val="0"/>
        <w:spacing w:before="40" w:after="0"/>
        <w:jc w:val="left"/>
        <w:rPr>
          <w:rFonts w:ascii="Times New Roman;serif" w:hAnsi="Times New Roman;serif"/>
          <w:b w:val="false"/>
          <w:sz w:val="17"/>
        </w:rPr>
      </w:pPr>
      <w:r>
        <w:rPr>
          <w:rFonts w:ascii="Times New Roman;serif" w:hAnsi="Times New Roman;serif"/>
          <w:b w:val="false"/>
          <w:sz w:val="17"/>
        </w:rPr>
        <w:t>The number of shares of registrant’s common stock outstanding as of March 2, 2023 was 61,758,994.</w:t>
      </w:r>
    </w:p>
    <w:p>
      <w:pPr>
        <w:pStyle w:val="TextBody"/>
        <w:bidi w:val="0"/>
        <w:spacing w:before="40" w:after="0"/>
        <w:jc w:val="center"/>
        <w:rPr>
          <w:rFonts w:ascii="Times New Roman;serif" w:hAnsi="Times New Roman;serif"/>
          <w:b/>
          <w:sz w:val="17"/>
        </w:rPr>
      </w:pPr>
      <w:r>
        <w:rPr>
          <w:rFonts w:ascii="Times New Roman;serif" w:hAnsi="Times New Roman;serif"/>
          <w:b/>
          <w:sz w:val="17"/>
        </w:rPr>
        <w:t>DOCUMENTS INCORPORATED BY REFERENCE</w:t>
      </w:r>
    </w:p>
    <w:p>
      <w:pPr>
        <w:pStyle w:val="TextBody"/>
        <w:bidi w:val="0"/>
        <w:spacing w:before="40" w:after="0"/>
        <w:jc w:val="left"/>
        <w:rPr>
          <w:rFonts w:ascii="Times New Roman;serif" w:hAnsi="Times New Roman;serif"/>
          <w:b w:val="false"/>
          <w:sz w:val="17"/>
        </w:rPr>
      </w:pPr>
      <w:r>
        <w:rPr>
          <w:rFonts w:ascii="Times New Roman;serif" w:hAnsi="Times New Roman;serif"/>
          <w:b w:val="false"/>
          <w:sz w:val="17"/>
        </w:rPr>
        <w:t>The registrant filed a definitive proxy statement pursuant to Regulation 14A relating to the 2022 Annual Meeting of Stockholders within 120 days of the end of the registrant’s fiscal year ended December 31, 2022. Portions of such definitive proxy statement are incorporated by reference into Part III of this Annual Report on Form 10-K to the extent stated herein.</w:t>
      </w:r>
    </w:p>
    <w:p>
      <w:pPr>
        <w:pStyle w:val="TextBody"/>
        <w:pBdr>
          <w:bottom w:val="double" w:sz="6" w:space="1" w:color="000000"/>
        </w:pBdr>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0"/>
        <w:jc w:val="center"/>
        <w:rPr>
          <w:rFonts w:ascii="Times New Roman;serif" w:hAnsi="Times New Roman;serif"/>
          <w:b/>
          <w:sz w:val="20"/>
        </w:rPr>
      </w:pPr>
      <w:r>
        <w:rPr>
          <w:rFonts w:ascii="Times New Roman;serif" w:hAnsi="Times New Roman;serif"/>
          <w:b/>
          <w:sz w:val="20"/>
        </w:rPr>
        <w:t>EXPLANATORY NOTE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Fulcrum Therapeutics, Inc. is filing this Amendment No. 1 on Form 10-K/A to amend its original Annual Report on Form 10-K for the fiscal year ended December 31, 2022, or Original Form 10-K, originally filed with the Securities and Exchange Commission, or SEC, on March 9, 2023, for the sole purpose of filing revised Exhibit 31.1 in order to include in the certifications set forth in such exhibit the language of revised paragraph 4(b), which language was inadvertently omitted from the certifications when originally filed as Exhibits 31.1 and 31.2. This amendment consists solely of the preceding cover page, this explanatory note, Item 8, Item 9A, the list of exhibits filed with this amendment, the signature page and the revised certifications filed as Exhibit 31.1 to this amendment and the required certifications required by the Sarbanes-Oxley Act in connection with the filing of this amendment.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Except as described above, this amendment does not reflect events occurring after the date of the filing of the original Annual Report on Form 10-K or modify or update any of the other disclosures contained therein in any way. Accordingly, this amendment should be read in conjunction with the original Annual Report on Form 10-K and the Company’s other filings with the SEC. This amendment does not reflect events that may have occurred subsequent to the filing of the Original Form 10-K. The filing of this amendment is not an admission that the Original Form 10-K, when filed, included any untrue statement of a material fact or omitted to state a material fact necessary to make a statement not misleading.</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2" w:name="item_8_financial_statements_supplementar"/>
      <w:bookmarkEnd w:id="2"/>
      <w:r>
        <w:rPr>
          <w:rFonts w:ascii="Times New Roman;serif" w:hAnsi="Times New Roman;serif"/>
          <w:b/>
          <w:sz w:val="20"/>
        </w:rPr>
        <w:t>Item 8. Financial Statements and Supplementary Data.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consolidated financial statements, together with the independent registered public accounting firm report thereon, are presented beginning on page F-1 of this Form 10-K/A.</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Item 9A. Controls and Procedures.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of our principal executive officer and principal financial officer, evaluated the effectiveness of our disclosure controls and procedures as of December 31,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2022, our principal executive officer and principal financial officer concluded that, as of such date, our disclosure controls and procedures were effective at the reasonable assurance level.</w:t>
      </w:r>
    </w:p>
    <w:p>
      <w:pPr>
        <w:pStyle w:val="TextBody"/>
        <w:bidi w:val="0"/>
        <w:spacing w:before="360" w:after="0"/>
        <w:jc w:val="left"/>
        <w:rPr>
          <w:rFonts w:ascii="Times New Roman;serif" w:hAnsi="Times New Roman;serif"/>
          <w:b/>
          <w:sz w:val="20"/>
        </w:rPr>
      </w:pPr>
      <w:r>
        <w:rPr>
          <w:rFonts w:ascii="Times New Roman;serif" w:hAnsi="Times New Roman;serif"/>
          <w:b/>
          <w:sz w:val="20"/>
        </w:rPr>
        <w:t>Management’s Annual Report on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pertain to the maintenance of records that in reasonable detail accurately and fairly reflect the transactions and dispositions of a company’s assets;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provide reasonable assurance regarding prevention or timely detection of unauthorized acquisition, use or disposition of a company’s assets that could have a material effect on the financial statements.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Under the supervision of and with the participation of our principal executive officer and principal financial officer, our management assessed the effectiveness of our internal control over financial reporting as of December 31, 2022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This Form 10-K/A does not include an attestation report of our independent registered public accounting firm due to an exemption established by the JOBS Act for “emerging growth companies”.</w:t>
      </w:r>
    </w:p>
    <w:p>
      <w:pPr>
        <w:pStyle w:val="TextBody"/>
        <w:bidi w:val="0"/>
        <w:spacing w:before="36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was no change in our internal control over financial reporting (as defined in Rules 13a-15(f) and 15d-15(f) under the Exchange Act) that occurred during the three months ended December 31, 2022 that has materially affected, or is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3" w:name="item_15_exhibits_financial_statement"/>
      <w:bookmarkEnd w:id="3"/>
      <w:r>
        <w:rPr>
          <w:rFonts w:ascii="Times New Roman;serif" w:hAnsi="Times New Roman;serif"/>
          <w:b/>
          <w:sz w:val="20"/>
        </w:rPr>
        <w:t>Item 15. Exhibits and Financial Statement Schedules.</w:t>
      </w:r>
    </w:p>
    <w:p>
      <w:pPr>
        <w:pStyle w:val="TextBody"/>
        <w:bidi w:val="0"/>
        <w:spacing w:before="120" w:after="0"/>
        <w:jc w:val="left"/>
        <w:rPr>
          <w:rFonts w:ascii="Times New Roman;serif" w:hAnsi="Times New Roman;serif"/>
          <w:b/>
          <w:sz w:val="20"/>
        </w:rPr>
      </w:pPr>
      <w:r>
        <w:rPr>
          <w:rFonts w:ascii="Times New Roman;serif" w:hAnsi="Times New Roman;serif"/>
          <w:b/>
          <w:sz w:val="20"/>
        </w:rPr>
        <w:t>(1) Consolidated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documents are included on pages F-1 through F-31 attached hereto and are filed as part of this Form 10-K/A.</w:t>
      </w:r>
    </w:p>
    <w:p>
      <w:pPr>
        <w:pStyle w:val="TextBody"/>
        <w:bidi w:val="0"/>
        <w:spacing w:before="0" w:after="0"/>
        <w:jc w:val="left"/>
        <w:rPr/>
      </w:pPr>
      <w:r>
        <w:rPr/>
        <w:t> </w:t>
      </w:r>
    </w:p>
    <w:tbl>
      <w:tblPr>
        <w:tblW w:w="6737" w:type="dxa"/>
        <w:jc w:val="left"/>
        <w:tblInd w:w="0" w:type="dxa"/>
        <w:tblLayout w:type="fixed"/>
        <w:tblCellMar>
          <w:top w:w="28" w:type="dxa"/>
          <w:left w:w="28" w:type="dxa"/>
          <w:bottom w:w="28" w:type="dxa"/>
          <w:right w:w="28" w:type="dxa"/>
        </w:tblCellMar>
      </w:tblPr>
      <w:tblGrid>
        <w:gridCol w:w="6226"/>
        <w:gridCol w:w="511"/>
      </w:tblGrid>
      <w:tr>
        <w:trPr/>
        <w:tc>
          <w:tcPr>
            <w:tcW w:w="62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2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6226" w:type="dxa"/>
            <w:tcBorders/>
            <w:vAlign w:val="center"/>
          </w:tcPr>
          <w:p>
            <w:pPr>
              <w:pStyle w:val="TableContents"/>
              <w:bidi w:val="0"/>
              <w:spacing w:before="0" w:after="0"/>
              <w:ind w:left="0" w:right="0" w:hanging="0"/>
              <w:jc w:val="left"/>
              <w:rPr/>
            </w:pPr>
            <w:hyperlink w:anchor="report_independent_registered_public_acc">
              <w:r>
                <w:rPr>
                  <w:rStyle w:val="InternetLink"/>
                  <w:rFonts w:ascii="Times New Roman;serif" w:hAnsi="Times New Roman;serif"/>
                  <w:b w:val="false"/>
                  <w:sz w:val="20"/>
                  <w:u w:val="single"/>
                </w:rPr>
                <w:t>Report of Independent Registered Public Accounting Firm</w:t>
              </w:r>
            </w:hyperlink>
            <w:r>
              <w:rPr>
                <w:rFonts w:ascii="Times New Roman" w:hAnsi="Times New Roman"/>
                <w:sz w:val="20"/>
              </w:rPr>
              <w:t xml:space="preserve"> </w:t>
            </w:r>
            <w:r>
              <w:rPr>
                <w:rFonts w:ascii="Times New Roman;serif" w:hAnsi="Times New Roman;serif"/>
                <w:b w:val="false"/>
                <w:sz w:val="20"/>
              </w:rPr>
              <w:t>(PCAOB ID: 42)</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F-2</w:t>
            </w:r>
          </w:p>
        </w:tc>
      </w:tr>
      <w:tr>
        <w:trPr/>
        <w:tc>
          <w:tcPr>
            <w:tcW w:w="6226" w:type="dxa"/>
            <w:tcBorders/>
            <w:vAlign w:val="center"/>
          </w:tcPr>
          <w:p>
            <w:pPr>
              <w:pStyle w:val="TableContents"/>
              <w:bidi w:val="0"/>
              <w:spacing w:before="0" w:after="0"/>
              <w:ind w:left="0" w:right="0" w:hanging="0"/>
              <w:jc w:val="left"/>
              <w:rPr/>
            </w:pPr>
            <w:hyperlink w:anchor="consolidated_balance_sheets">
              <w:r>
                <w:rPr>
                  <w:rStyle w:val="InternetLink"/>
                  <w:rFonts w:ascii="Times New Roman;serif" w:hAnsi="Times New Roman;serif"/>
                  <w:b w:val="false"/>
                  <w:sz w:val="20"/>
                  <w:u w:val="single"/>
                </w:rPr>
                <w:t>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F-3</w:t>
            </w:r>
          </w:p>
        </w:tc>
      </w:tr>
      <w:tr>
        <w:trPr/>
        <w:tc>
          <w:tcPr>
            <w:tcW w:w="6226" w:type="dxa"/>
            <w:tcBorders/>
            <w:vAlign w:val="center"/>
          </w:tcPr>
          <w:p>
            <w:pPr>
              <w:pStyle w:val="TableContents"/>
              <w:bidi w:val="0"/>
              <w:spacing w:before="0" w:after="0"/>
              <w:ind w:left="0" w:right="0" w:hanging="0"/>
              <w:jc w:val="left"/>
              <w:rPr/>
            </w:pPr>
            <w:hyperlink w:anchor="consolidated_statements_operations_compr">
              <w:r>
                <w:rPr>
                  <w:rStyle w:val="InternetLink"/>
                  <w:rFonts w:ascii="Times New Roman;serif" w:hAnsi="Times New Roman;serif"/>
                  <w:b w:val="false"/>
                  <w:sz w:val="20"/>
                  <w:u w:val="single"/>
                </w:rPr>
                <w:t>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F-4</w:t>
            </w:r>
          </w:p>
        </w:tc>
      </w:tr>
      <w:tr>
        <w:trPr/>
        <w:tc>
          <w:tcPr>
            <w:tcW w:w="6226" w:type="dxa"/>
            <w:tcBorders/>
            <w:vAlign w:val="center"/>
          </w:tcPr>
          <w:p>
            <w:pPr>
              <w:pStyle w:val="TableContents"/>
              <w:bidi w:val="0"/>
              <w:spacing w:before="0" w:after="0"/>
              <w:ind w:left="0" w:right="0" w:hanging="0"/>
              <w:jc w:val="left"/>
              <w:rPr/>
            </w:pPr>
            <w:hyperlink w:anchor="consolidated_statements_convertible_pref">
              <w:r>
                <w:rPr>
                  <w:rStyle w:val="InternetLink"/>
                  <w:rFonts w:ascii="Times New Roman;serif" w:hAnsi="Times New Roman;serif"/>
                  <w:b w:val="false"/>
                  <w:sz w:val="20"/>
                  <w:u w:val="single"/>
                </w:rPr>
                <w:t>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F-5</w:t>
            </w:r>
          </w:p>
        </w:tc>
      </w:tr>
      <w:tr>
        <w:trPr/>
        <w:tc>
          <w:tcPr>
            <w:tcW w:w="6226" w:type="dxa"/>
            <w:tcBorders/>
            <w:vAlign w:val="center"/>
          </w:tcPr>
          <w:p>
            <w:pPr>
              <w:pStyle w:val="TableContents"/>
              <w:bidi w:val="0"/>
              <w:spacing w:before="0" w:after="0"/>
              <w:ind w:left="0" w:right="0" w:hanging="0"/>
              <w:jc w:val="left"/>
              <w:rPr/>
            </w:pPr>
            <w:hyperlink w:anchor="consolidated_statements_cash_flows">
              <w:r>
                <w:rPr>
                  <w:rStyle w:val="InternetLink"/>
                  <w:rFonts w:ascii="Times New Roman;serif" w:hAnsi="Times New Roman;serif"/>
                  <w:b w:val="false"/>
                  <w:sz w:val="20"/>
                  <w:u w:val="single"/>
                </w:rPr>
                <w:t>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F-6</w:t>
            </w:r>
          </w:p>
        </w:tc>
      </w:tr>
      <w:tr>
        <w:trPr/>
        <w:tc>
          <w:tcPr>
            <w:tcW w:w="6226" w:type="dxa"/>
            <w:tcBorders/>
            <w:vAlign w:val="center"/>
          </w:tcPr>
          <w:p>
            <w:pPr>
              <w:pStyle w:val="TableContents"/>
              <w:bidi w:val="0"/>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F-7</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(2) Financial Statement Schedules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financial statement schedules have been omitted because they are not applicable, not required, or the information required is shown in the consolidated financial statements or the notes thereto.</w:t>
      </w:r>
    </w:p>
    <w:p>
      <w:pPr>
        <w:pStyle w:val="TextBody"/>
        <w:bidi w:val="0"/>
        <w:spacing w:before="360" w:after="0"/>
        <w:jc w:val="left"/>
        <w:rPr>
          <w:rFonts w:ascii="Times New Roman;serif" w:hAnsi="Times New Roman;serif"/>
          <w:b/>
          <w:sz w:val="20"/>
        </w:rPr>
      </w:pPr>
      <w:r>
        <w:rPr>
          <w:rFonts w:ascii="Times New Roman;serif" w:hAnsi="Times New Roman;serif"/>
          <w:b/>
          <w:sz w:val="20"/>
        </w:rPr>
        <w:t>(3) Exhibits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exhibits required by Item 601 of Regulation S-K and Item 15(b) of Form 10-K are listed in the Exhibit Index immediately preceding the signature page of this Form 10-K/A. The exhibits listed in the Exhibit Index are incorporated by reference herein.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PART IV</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INDEX TO CONSOLIDATED FINANCIAL STATEMENTS</w:t>
      </w:r>
      <w:r>
        <w:rPr>
          <w:rFonts w:ascii="Times New Roman" w:hAnsi="Times New Roman"/>
          <w:sz w:val="20"/>
        </w:rPr>
        <w:t xml:space="preserve"> </w:t>
      </w:r>
    </w:p>
    <w:tbl>
      <w:tblPr>
        <w:tblW w:w="6737" w:type="dxa"/>
        <w:jc w:val="left"/>
        <w:tblInd w:w="0" w:type="dxa"/>
        <w:tblLayout w:type="fixed"/>
        <w:tblCellMar>
          <w:top w:w="28" w:type="dxa"/>
          <w:left w:w="28" w:type="dxa"/>
          <w:bottom w:w="28" w:type="dxa"/>
          <w:right w:w="28" w:type="dxa"/>
        </w:tblCellMar>
      </w:tblPr>
      <w:tblGrid>
        <w:gridCol w:w="6226"/>
        <w:gridCol w:w="511"/>
      </w:tblGrid>
      <w:tr>
        <w:trPr/>
        <w:tc>
          <w:tcPr>
            <w:tcW w:w="62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2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6226" w:type="dxa"/>
            <w:tcBorders/>
            <w:vAlign w:val="center"/>
          </w:tcPr>
          <w:p>
            <w:pPr>
              <w:pStyle w:val="TableContents"/>
              <w:bidi w:val="0"/>
              <w:spacing w:before="0" w:after="0"/>
              <w:ind w:left="0" w:right="0" w:hanging="0"/>
              <w:jc w:val="left"/>
              <w:rPr/>
            </w:pPr>
            <w:hyperlink w:anchor="report_independent_registered_public_acc">
              <w:r>
                <w:rPr>
                  <w:rStyle w:val="InternetLink"/>
                  <w:rFonts w:ascii="Times New Roman;serif" w:hAnsi="Times New Roman;serif"/>
                  <w:b w:val="false"/>
                  <w:sz w:val="20"/>
                  <w:u w:val="single"/>
                </w:rPr>
                <w:t>Report of Independent Registered Public Accounting Firm</w:t>
              </w:r>
            </w:hyperlink>
            <w:r>
              <w:rPr>
                <w:rFonts w:ascii="Times New Roman" w:hAnsi="Times New Roman"/>
                <w:sz w:val="20"/>
              </w:rPr>
              <w:t> </w:t>
            </w:r>
            <w:r>
              <w:rPr>
                <w:rFonts w:ascii="Times New Roman;serif" w:hAnsi="Times New Roman;serif"/>
                <w:b w:val="false"/>
                <w:sz w:val="20"/>
              </w:rPr>
              <w:t>(PCAOB ID: 42)</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F-2</w:t>
            </w:r>
          </w:p>
        </w:tc>
      </w:tr>
      <w:tr>
        <w:trPr/>
        <w:tc>
          <w:tcPr>
            <w:tcW w:w="6226" w:type="dxa"/>
            <w:tcBorders/>
            <w:vAlign w:val="center"/>
          </w:tcPr>
          <w:p>
            <w:pPr>
              <w:pStyle w:val="TableContents"/>
              <w:bidi w:val="0"/>
              <w:spacing w:before="0" w:after="0"/>
              <w:ind w:left="0" w:right="0" w:hanging="0"/>
              <w:jc w:val="left"/>
              <w:rPr/>
            </w:pPr>
            <w:hyperlink w:anchor="consolidated_balance_sheets">
              <w:r>
                <w:rPr>
                  <w:rStyle w:val="InternetLink"/>
                  <w:rFonts w:ascii="Times New Roman;serif" w:hAnsi="Times New Roman;serif"/>
                  <w:b w:val="false"/>
                  <w:sz w:val="20"/>
                  <w:u w:val="single"/>
                </w:rPr>
                <w:t>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F-3</w:t>
            </w:r>
          </w:p>
        </w:tc>
      </w:tr>
      <w:tr>
        <w:trPr/>
        <w:tc>
          <w:tcPr>
            <w:tcW w:w="6226" w:type="dxa"/>
            <w:tcBorders/>
            <w:vAlign w:val="center"/>
          </w:tcPr>
          <w:p>
            <w:pPr>
              <w:pStyle w:val="TableContents"/>
              <w:bidi w:val="0"/>
              <w:spacing w:before="0" w:after="0"/>
              <w:ind w:left="0" w:right="0" w:hanging="0"/>
              <w:jc w:val="left"/>
              <w:rPr/>
            </w:pPr>
            <w:hyperlink w:anchor="consolidated_statements_operations_compr">
              <w:r>
                <w:rPr>
                  <w:rStyle w:val="InternetLink"/>
                  <w:rFonts w:ascii="Times New Roman;serif" w:hAnsi="Times New Roman;serif"/>
                  <w:b w:val="false"/>
                  <w:sz w:val="20"/>
                  <w:u w:val="single"/>
                </w:rPr>
                <w:t>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F-4</w:t>
            </w:r>
          </w:p>
        </w:tc>
      </w:tr>
      <w:tr>
        <w:trPr/>
        <w:tc>
          <w:tcPr>
            <w:tcW w:w="6226" w:type="dxa"/>
            <w:tcBorders/>
            <w:vAlign w:val="center"/>
          </w:tcPr>
          <w:p>
            <w:pPr>
              <w:pStyle w:val="TableContents"/>
              <w:bidi w:val="0"/>
              <w:spacing w:before="0" w:after="0"/>
              <w:ind w:left="0" w:right="0" w:hanging="0"/>
              <w:jc w:val="left"/>
              <w:rPr/>
            </w:pPr>
            <w:hyperlink w:anchor="consolidated_statements_convertible_pref">
              <w:r>
                <w:rPr>
                  <w:rStyle w:val="InternetLink"/>
                  <w:rFonts w:ascii="Times New Roman;serif" w:hAnsi="Times New Roman;serif"/>
                  <w:b w:val="false"/>
                  <w:sz w:val="20"/>
                  <w:u w:val="single"/>
                </w:rPr>
                <w:t>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F-5</w:t>
            </w:r>
          </w:p>
        </w:tc>
      </w:tr>
      <w:tr>
        <w:trPr/>
        <w:tc>
          <w:tcPr>
            <w:tcW w:w="6226" w:type="dxa"/>
            <w:tcBorders/>
            <w:vAlign w:val="center"/>
          </w:tcPr>
          <w:p>
            <w:pPr>
              <w:pStyle w:val="TableContents"/>
              <w:bidi w:val="0"/>
              <w:spacing w:before="0" w:after="0"/>
              <w:ind w:left="0" w:right="0" w:hanging="0"/>
              <w:jc w:val="left"/>
              <w:rPr/>
            </w:pPr>
            <w:hyperlink w:anchor="consolidated_statements_cash_flows">
              <w:r>
                <w:rPr>
                  <w:rStyle w:val="InternetLink"/>
                  <w:rFonts w:ascii="Times New Roman;serif" w:hAnsi="Times New Roman;serif"/>
                  <w:b w:val="false"/>
                  <w:sz w:val="20"/>
                  <w:u w:val="single"/>
                </w:rPr>
                <w:t>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F-6</w:t>
            </w:r>
          </w:p>
        </w:tc>
      </w:tr>
      <w:tr>
        <w:trPr/>
        <w:tc>
          <w:tcPr>
            <w:tcW w:w="6226" w:type="dxa"/>
            <w:tcBorders/>
            <w:vAlign w:val="center"/>
          </w:tcPr>
          <w:p>
            <w:pPr>
              <w:pStyle w:val="TableContents"/>
              <w:bidi w:val="0"/>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F-7</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4" w:name="report_independent_registered_public_acc"/>
      <w:bookmarkEnd w:id="4"/>
      <w:r>
        <w:rPr>
          <w:rFonts w:ascii="Times New Roman;serif" w:hAnsi="Times New Roman;serif"/>
          <w:b/>
          <w:sz w:val="20"/>
        </w:rPr>
        <w:t>Report of Independent Registered Public Accounting Firm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 the Stockholders and the Board of Directors of Fulcrum Therapeutics, Inc.</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audited the accompanying consolidated balance sheets of Fulcrum Therapeutics, Inc. (the Company) as of December 31, 2022 and 2021,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Basis for Opinion</w:t>
      </w:r>
    </w:p>
    <w:p>
      <w:pPr>
        <w:pStyle w:val="TextBody"/>
        <w:bidi w:val="0"/>
        <w:spacing w:before="120" w:after="0"/>
        <w:jc w:val="left"/>
        <w:rPr>
          <w:rFonts w:ascii="Times New Roman" w:hAnsi="Times New Roman"/>
          <w:sz w:val="20"/>
        </w:rPr>
      </w:pPr>
      <w:r>
        <w:rPr>
          <w:rFonts w:ascii="Times New Roman;serif" w:hAnsi="Times New Roman;serif"/>
          <w:b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 Ernst &amp; Young LLP</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have served as the Company’s auditor since 2017.</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Boston, Massachusetts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March 9,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5" w:name="consolidated_balance_sheets"/>
      <w:bookmarkEnd w:id="5"/>
      <w:r>
        <w:rPr>
          <w:rFonts w:ascii="Times New Roman;serif" w:hAnsi="Times New Roman;serif"/>
          <w:b/>
          <w:sz w:val="20"/>
        </w:rPr>
        <w:t>Consolidated Balance Sheets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(In thousands, except share and per share amounts)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30"/>
        <w:gridCol w:w="146"/>
        <w:gridCol w:w="213"/>
        <w:gridCol w:w="849"/>
        <w:gridCol w:w="166"/>
        <w:gridCol w:w="146"/>
        <w:gridCol w:w="213"/>
        <w:gridCol w:w="849"/>
        <w:gridCol w:w="593"/>
      </w:tblGrid>
      <w:tr>
        <w:trPr/>
        <w:tc>
          <w:tcPr>
            <w:tcW w:w="7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3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182,750</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Unbilled accounts receivable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225,998</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7,368</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1,092</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235,000</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4,788</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9,231</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4,711</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liability, current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lease incentive,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19,199</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 excluding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 excluding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rent, excluding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lease incentive, excluding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23,461</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13)</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703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5,000,000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 issued or outstanding</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200,000,000</w:t>
            </w:r>
            <w:r>
              <w:rPr>
                <w:rFonts w:ascii="Times New Roman" w:hAnsi="Times New Roman"/>
                <w:sz w:val="20"/>
              </w:rPr>
              <w:t> </w:t>
            </w:r>
            <w:r>
              <w:rPr>
                <w:rFonts w:ascii="Times New Roman;serif" w:hAnsi="Times New Roman;serif"/>
                <w:b w:val="false"/>
                <w:sz w:val="20"/>
              </w:rPr>
              <w:t>shares authorized; 52,099,211</w:t>
            </w:r>
            <w:r>
              <w:rPr>
                <w:rFonts w:ascii="Times New Roman" w:hAnsi="Times New Roman"/>
                <w:sz w:val="20"/>
              </w:rPr>
              <w:t> </w:t>
            </w:r>
            <w:r>
              <w:rPr>
                <w:rFonts w:ascii="Times New Roman;serif" w:hAnsi="Times New Roman;serif"/>
                <w:b w:val="false"/>
                <w:sz w:val="20"/>
              </w:rPr>
              <w:t>and 40,636,398</w:t>
            </w:r>
            <w:r>
              <w:rPr>
                <w:rFonts w:ascii="Times New Roman" w:hAnsi="Times New Roman"/>
                <w:sz w:val="20"/>
              </w:rPr>
              <w:t> </w:t>
            </w:r>
            <w:r>
              <w:rPr>
                <w:rFonts w:ascii="Times New Roman;serif" w:hAnsi="Times New Roman;serif"/>
                <w:b w:val="false"/>
                <w:sz w:val="20"/>
              </w:rPr>
              <w:t>shares issued as of December 31, 2022 and December 31, 2021, respectively; 52,099,211</w:t>
            </w:r>
            <w:r>
              <w:rPr>
                <w:rFonts w:ascii="Times New Roman" w:hAnsi="Times New Roman"/>
                <w:sz w:val="20"/>
              </w:rPr>
              <w:t> </w:t>
            </w:r>
            <w:r>
              <w:rPr>
                <w:rFonts w:ascii="Times New Roman;serif" w:hAnsi="Times New Roman;serif"/>
                <w:b w:val="false"/>
                <w:sz w:val="20"/>
              </w:rPr>
              <w:t>and 40,626,224</w:t>
            </w:r>
            <w:r>
              <w:rPr>
                <w:rFonts w:ascii="Times New Roman" w:hAnsi="Times New Roman"/>
                <w:sz w:val="20"/>
              </w:rPr>
              <w:t> </w:t>
            </w:r>
            <w:r>
              <w:rPr>
                <w:rFonts w:ascii="Times New Roman;serif" w:hAnsi="Times New Roman;serif"/>
                <w:b w:val="false"/>
                <w:sz w:val="20"/>
              </w:rPr>
              <w:t>shares outstanding as of December 31, 2022 and December 31, 2021,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593" w:type="dxa"/>
            <w:tcBorders/>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Treasury stock, at cost; no</w:t>
            </w:r>
            <w:r>
              <w:rPr>
                <w:rFonts w:ascii="Times New Roman" w:hAnsi="Times New Roman"/>
                <w:sz w:val="20"/>
              </w:rPr>
              <w:t> </w:t>
            </w:r>
            <w:r>
              <w:rPr>
                <w:rFonts w:ascii="Times New Roman;serif" w:hAnsi="Times New Roman;serif"/>
                <w:b w:val="false"/>
                <w:sz w:val="20"/>
              </w:rPr>
              <w:t>shares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612,025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514,362</w:t>
            </w:r>
          </w:p>
        </w:tc>
        <w:tc>
          <w:tcPr>
            <w:tcW w:w="593" w:type="dxa"/>
            <w:tcBorders/>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59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(412,338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(302,467</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198,942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211,539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235,000</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6" w:name="consolidated_statements_operations_compr"/>
      <w:bookmarkEnd w:id="6"/>
      <w:r>
        <w:rPr>
          <w:rFonts w:ascii="Times New Roman;serif" w:hAnsi="Times New Roman;serif"/>
          <w:b/>
          <w:sz w:val="20"/>
        </w:rPr>
        <w:t>Consolidated Statements of Operations and Comprehensive Loss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(In thousands, except per share data)</w:t>
      </w:r>
      <w:r>
        <w:rPr>
          <w:rFonts w:ascii="Times New Roman" w:hAnsi="Times New Roman"/>
          <w:sz w:val="20"/>
        </w:rPr>
        <w:t xml:space="preserve"> </w:t>
      </w:r>
    </w:p>
    <w:p>
      <w:pPr>
        <w:pStyle w:val="TextBody"/>
        <w:bidi w:val="0"/>
        <w:spacing w:before="0" w:after="0"/>
        <w:jc w:val="left"/>
        <w:rPr/>
      </w:pPr>
      <w:r>
        <w:rPr/>
        <w:t> </w:t>
      </w:r>
    </w:p>
    <w:tbl>
      <w:tblPr>
        <w:tblW w:w="8414" w:type="dxa"/>
        <w:jc w:val="left"/>
        <w:tblInd w:w="0" w:type="dxa"/>
        <w:tblLayout w:type="fixed"/>
        <w:tblCellMar>
          <w:top w:w="28" w:type="dxa"/>
          <w:left w:w="28" w:type="dxa"/>
          <w:bottom w:w="28" w:type="dxa"/>
          <w:right w:w="28" w:type="dxa"/>
        </w:tblCellMar>
      </w:tblPr>
      <w:tblGrid>
        <w:gridCol w:w="5401"/>
        <w:gridCol w:w="146"/>
        <w:gridCol w:w="211"/>
        <w:gridCol w:w="841"/>
        <w:gridCol w:w="166"/>
        <w:gridCol w:w="146"/>
        <w:gridCol w:w="211"/>
        <w:gridCol w:w="781"/>
        <w:gridCol w:w="51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19,163</w:t>
            </w:r>
          </w:p>
        </w:tc>
        <w:tc>
          <w:tcPr>
            <w:tcW w:w="511" w:type="dxa"/>
            <w:tcBorders/>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200"/>
              <w:jc w:val="righ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69,701</w:t>
            </w:r>
          </w:p>
        </w:tc>
        <w:tc>
          <w:tcPr>
            <w:tcW w:w="511" w:type="dxa"/>
            <w:tcBorders/>
            <w:vAlign w:val="center"/>
          </w:tcPr>
          <w:p>
            <w:pPr>
              <w:pStyle w:val="TableContents"/>
              <w:bidi w:val="0"/>
              <w:spacing w:before="0" w:after="0"/>
              <w:ind w:left="0" w:right="0" w:firstLine="200"/>
              <w:jc w:val="lef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30,516</w:t>
            </w:r>
          </w:p>
        </w:tc>
        <w:tc>
          <w:tcPr>
            <w:tcW w:w="511" w:type="dxa"/>
            <w:tcBorders/>
            <w:vAlign w:val="center"/>
          </w:tcPr>
          <w:p>
            <w:pPr>
              <w:pStyle w:val="TableContents"/>
              <w:bidi w:val="0"/>
              <w:spacing w:before="0" w:after="0"/>
              <w:ind w:left="0" w:right="0" w:firstLine="200"/>
              <w:jc w:val="lef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100,217</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(81,054</w:t>
            </w:r>
          </w:p>
        </w:tc>
        <w:tc>
          <w:tcPr>
            <w:tcW w:w="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(80,847</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35,361</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(80,847</w:t>
            </w:r>
          </w:p>
        </w:tc>
        <w:tc>
          <w:tcPr>
            <w:tcW w:w="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200"/>
              <w:jc w:val="righ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on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540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(81,242</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bookmarkStart w:id="7" w:name="consolidated_statements_convertible_pref"/>
      <w:bookmarkEnd w:id="7"/>
      <w:r>
        <w:rPr>
          <w:rFonts w:ascii="Times New Roman;serif" w:hAnsi="Times New Roman;serif"/>
          <w:b/>
          <w:sz w:val="20"/>
        </w:rPr>
        <w:t>Consolidated Statements of Stockholders’ Equity</w:t>
      </w:r>
    </w:p>
    <w:p>
      <w:pPr>
        <w:pStyle w:val="TextBody"/>
        <w:bidi w:val="0"/>
        <w:spacing w:before="120" w:after="0"/>
        <w:jc w:val="center"/>
        <w:rPr>
          <w:rFonts w:ascii="Times New Roman" w:hAnsi="Times New Roman"/>
          <w:sz w:val="20"/>
        </w:rPr>
      </w:pPr>
      <w:r>
        <w:rPr>
          <w:rFonts w:ascii="Times New Roman;serif" w:hAnsi="Times New Roman;serif"/>
          <w:b/>
          <w:sz w:val="20"/>
        </w:rPr>
        <w:t>(In thousands, except share amounts)</w:t>
      </w:r>
      <w:r>
        <w:rPr>
          <w:rFonts w:ascii="Times New Roman" w:hAnsi="Times New Roman"/>
          <w:sz w:val="20"/>
        </w:rPr>
        <w:t xml:space="preserve"> </w:t>
      </w:r>
    </w:p>
    <w:p>
      <w:pPr>
        <w:pStyle w:val="TextBody"/>
        <w:bidi w:val="0"/>
        <w:spacing w:before="0" w:after="0"/>
        <w:jc w:val="left"/>
        <w:rPr/>
      </w:pPr>
      <w:r>
        <w:rPr/>
        <w:t> </w:t>
      </w:r>
    </w:p>
    <w:tbl>
      <w:tblPr>
        <w:tblW w:w="12292" w:type="dxa"/>
        <w:jc w:val="left"/>
        <w:tblInd w:w="0" w:type="dxa"/>
        <w:tblLayout w:type="fixed"/>
        <w:tblCellMar>
          <w:top w:w="28" w:type="dxa"/>
          <w:left w:w="28" w:type="dxa"/>
          <w:bottom w:w="28" w:type="dxa"/>
          <w:right w:w="28" w:type="dxa"/>
        </w:tblCellMar>
      </w:tblPr>
      <w:tblGrid>
        <w:gridCol w:w="1261"/>
        <w:gridCol w:w="146"/>
        <w:gridCol w:w="146"/>
        <w:gridCol w:w="1036"/>
        <w:gridCol w:w="146"/>
        <w:gridCol w:w="146"/>
        <w:gridCol w:w="295"/>
        <w:gridCol w:w="486"/>
        <w:gridCol w:w="146"/>
        <w:gridCol w:w="146"/>
        <w:gridCol w:w="146"/>
        <w:gridCol w:w="631"/>
        <w:gridCol w:w="166"/>
        <w:gridCol w:w="146"/>
        <w:gridCol w:w="295"/>
        <w:gridCol w:w="486"/>
        <w:gridCol w:w="146"/>
        <w:gridCol w:w="146"/>
        <w:gridCol w:w="213"/>
        <w:gridCol w:w="793"/>
        <w:gridCol w:w="146"/>
        <w:gridCol w:w="146"/>
        <w:gridCol w:w="434"/>
        <w:gridCol w:w="992"/>
        <w:gridCol w:w="166"/>
        <w:gridCol w:w="146"/>
        <w:gridCol w:w="243"/>
        <w:gridCol w:w="973"/>
        <w:gridCol w:w="166"/>
        <w:gridCol w:w="146"/>
        <w:gridCol w:w="240"/>
        <w:gridCol w:w="961"/>
        <w:gridCol w:w="4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5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Treasury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2"/>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Total</w:t>
              <w:br/>
              <w:t>Stockholders’</w:t>
            </w:r>
          </w:p>
        </w:tc>
        <w:tc>
          <w:tcPr>
            <w:tcW w:w="411"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Equity</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Balance at December 31, 2020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27,941,566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316,775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(221,620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95,181</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Issuance of common stock in connection with public offering, net of issuance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12,190,000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182,845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182,857</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Issuance of common stock under employee benefit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381,967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3,668</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Vesting of 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112,691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Repurchase of unvested 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Retirement of treasury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11,070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11,070</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Unrealized loss on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(80,847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(80,847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40,626,224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514,362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(302,467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211,539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Issuance of common stock in connection with public offering, net of issuance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11,029,410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80,793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80,804</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Issuance of common stock under employee benefit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433,403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3,519</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Vesting of 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10,174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13,350</w:t>
            </w:r>
          </w:p>
        </w:tc>
        <w:tc>
          <w:tcPr>
            <w:tcW w:w="411" w:type="dxa"/>
            <w:tcBorders/>
            <w:vAlign w:val="center"/>
          </w:tcPr>
          <w:p>
            <w:pPr>
              <w:pStyle w:val="TableContents"/>
              <w:bidi w:val="0"/>
              <w:spacing w:before="0" w:after="0"/>
              <w:ind w:left="0" w:right="0" w:firstLine="200"/>
              <w:jc w:val="left"/>
              <w:rPr/>
            </w:pPr>
            <w:r>
              <w:rPr/>
              <w:t> </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Unrealized loss on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(109,871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(109,871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52,099,211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612,025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(412,338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198,942</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8" w:name="consolidated_statements_cash_flows"/>
      <w:bookmarkEnd w:id="8"/>
      <w:r>
        <w:rPr>
          <w:rFonts w:ascii="Times New Roman;serif" w:hAnsi="Times New Roman;serif"/>
          <w:b/>
          <w:sz w:val="20"/>
        </w:rPr>
        <w:t>Consolidated Statements of Cash Flows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left"/>
        <w:rPr/>
      </w:pPr>
      <w:r>
        <w:rPr/>
        <w:t> </w:t>
      </w:r>
    </w:p>
    <w:tbl>
      <w:tblPr>
        <w:tblW w:w="10104" w:type="dxa"/>
        <w:jc w:val="left"/>
        <w:tblInd w:w="0" w:type="dxa"/>
        <w:tblLayout w:type="fixed"/>
        <w:tblCellMar>
          <w:top w:w="28" w:type="dxa"/>
          <w:left w:w="28" w:type="dxa"/>
          <w:bottom w:w="28" w:type="dxa"/>
          <w:right w:w="28" w:type="dxa"/>
        </w:tblCellMar>
      </w:tblPr>
      <w:tblGrid>
        <w:gridCol w:w="7141"/>
        <w:gridCol w:w="146"/>
        <w:gridCol w:w="196"/>
        <w:gridCol w:w="751"/>
        <w:gridCol w:w="166"/>
        <w:gridCol w:w="146"/>
        <w:gridCol w:w="196"/>
        <w:gridCol w:w="751"/>
        <w:gridCol w:w="611"/>
      </w:tblGrid>
      <w:tr>
        <w:trPr/>
        <w:tc>
          <w:tcPr>
            <w:tcW w:w="7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(109,872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(80,847</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1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2,515</w:t>
            </w:r>
          </w:p>
        </w:tc>
        <w:tc>
          <w:tcPr>
            <w:tcW w:w="611" w:type="dxa"/>
            <w:tcBorders/>
            <w:vAlign w:val="center"/>
          </w:tcPr>
          <w:p>
            <w:pPr>
              <w:pStyle w:val="TableContents"/>
              <w:bidi w:val="0"/>
              <w:spacing w:before="0" w:after="0"/>
              <w:ind w:left="0" w:right="0" w:firstLine="200"/>
              <w:jc w:val="left"/>
              <w:rPr/>
            </w:pPr>
            <w:r>
              <w:rPr/>
              <w:t> </w:t>
            </w:r>
          </w:p>
        </w:tc>
      </w:tr>
      <w:tr>
        <w:trPr/>
        <w:tc>
          <w:tcPr>
            <w:tcW w:w="71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11,070</w:t>
            </w:r>
          </w:p>
        </w:tc>
        <w:tc>
          <w:tcPr>
            <w:tcW w:w="611" w:type="dxa"/>
            <w:tcBorders/>
            <w:vAlign w:val="center"/>
          </w:tcPr>
          <w:p>
            <w:pPr>
              <w:pStyle w:val="TableContents"/>
              <w:bidi w:val="0"/>
              <w:spacing w:before="0" w:after="0"/>
              <w:ind w:left="0" w:right="0" w:firstLine="200"/>
              <w:jc w:val="left"/>
              <w:rPr/>
            </w:pPr>
            <w:r>
              <w:rPr/>
              <w:t> </w:t>
            </w:r>
          </w:p>
        </w:tc>
      </w:tr>
      <w:tr>
        <w:trPr/>
        <w:tc>
          <w:tcPr>
            <w:tcW w:w="71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amortization of premiums on marketable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673</w:t>
            </w:r>
          </w:p>
        </w:tc>
        <w:tc>
          <w:tcPr>
            <w:tcW w:w="611" w:type="dxa"/>
            <w:tcBorders/>
            <w:vAlign w:val="center"/>
          </w:tcPr>
          <w:p>
            <w:pPr>
              <w:pStyle w:val="TableContents"/>
              <w:bidi w:val="0"/>
              <w:spacing w:before="0" w:after="0"/>
              <w:ind w:left="0" w:right="0" w:firstLine="200"/>
              <w:jc w:val="left"/>
              <w:rPr/>
            </w:pPr>
            <w:r>
              <w:rPr/>
              <w:t> </w:t>
            </w:r>
          </w:p>
        </w:tc>
      </w:tr>
      <w:tr>
        <w:trPr/>
        <w:tc>
          <w:tcPr>
            <w:tcW w:w="71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714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(500</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Unbilled accounts receivable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(606</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Operating lease assets and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w:t>
            </w:r>
          </w:p>
        </w:tc>
        <w:tc>
          <w:tcPr>
            <w:tcW w:w="611" w:type="dxa"/>
            <w:tcBorders/>
            <w:vAlign w:val="center"/>
          </w:tcPr>
          <w:p>
            <w:pPr>
              <w:pStyle w:val="TableContents"/>
              <w:bidi w:val="0"/>
              <w:spacing w:before="0" w:after="0"/>
              <w:ind w:left="0" w:right="0" w:firstLine="400"/>
              <w:jc w:val="left"/>
              <w:rPr/>
            </w:pPr>
            <w:r>
              <w:rPr/>
              <w:t> </w:t>
            </w:r>
          </w:p>
        </w:tc>
      </w:tr>
      <w:tr>
        <w:trPr/>
        <w:tc>
          <w:tcPr>
            <w:tcW w:w="714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973</w:t>
            </w:r>
          </w:p>
        </w:tc>
        <w:tc>
          <w:tcPr>
            <w:tcW w:w="611" w:type="dxa"/>
            <w:tcBorders/>
            <w:vAlign w:val="center"/>
          </w:tcPr>
          <w:p>
            <w:pPr>
              <w:pStyle w:val="TableContents"/>
              <w:bidi w:val="0"/>
              <w:spacing w:before="0" w:after="0"/>
              <w:ind w:left="0" w:right="0" w:firstLine="400"/>
              <w:jc w:val="left"/>
              <w:rPr/>
            </w:pPr>
            <w:r>
              <w:rPr/>
              <w:t> </w:t>
            </w:r>
          </w:p>
        </w:tc>
      </w:tr>
      <w:tr>
        <w:trPr/>
        <w:tc>
          <w:tcPr>
            <w:tcW w:w="714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Accrued expenses and other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1,950</w:t>
            </w:r>
          </w:p>
        </w:tc>
        <w:tc>
          <w:tcPr>
            <w:tcW w:w="611" w:type="dxa"/>
            <w:tcBorders/>
            <w:vAlign w:val="center"/>
          </w:tcPr>
          <w:p>
            <w:pPr>
              <w:pStyle w:val="TableContents"/>
              <w:bidi w:val="0"/>
              <w:spacing w:before="0" w:after="0"/>
              <w:ind w:left="0" w:right="0" w:firstLine="400"/>
              <w:jc w:val="left"/>
              <w:rPr/>
            </w:pPr>
            <w:r>
              <w:rPr/>
              <w:t> </w:t>
            </w:r>
          </w:p>
        </w:tc>
      </w:tr>
      <w:tr>
        <w:trPr/>
        <w:tc>
          <w:tcPr>
            <w:tcW w:w="714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Deferred revenue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(13,170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(97,050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(78,478</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Purchases of marketable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(151,153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(216,234</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Maturities of marketable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165,529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88,278</w:t>
            </w:r>
          </w:p>
        </w:tc>
        <w:tc>
          <w:tcPr>
            <w:tcW w:w="611" w:type="dxa"/>
            <w:tcBorders/>
            <w:vAlign w:val="center"/>
          </w:tcPr>
          <w:p>
            <w:pPr>
              <w:pStyle w:val="TableContents"/>
              <w:bidi w:val="0"/>
              <w:spacing w:before="0" w:after="0"/>
              <w:ind w:left="0" w:right="0" w:hanging="0"/>
              <w:jc w:val="lef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(129,669</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Proceeds from issuance of common stock in connection with public offerings, net of issuance costs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80,804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182,857</w:t>
            </w:r>
          </w:p>
        </w:tc>
        <w:tc>
          <w:tcPr>
            <w:tcW w:w="611" w:type="dxa"/>
            <w:tcBorders/>
            <w:vAlign w:val="center"/>
          </w:tcPr>
          <w:p>
            <w:pPr>
              <w:pStyle w:val="TableContents"/>
              <w:bidi w:val="0"/>
              <w:spacing w:before="0" w:after="0"/>
              <w:ind w:left="0" w:right="0" w:hanging="0"/>
              <w:jc w:val="lef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Principal payments on capital lease obligations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Proceeds from issuance of common stock under benefit plans,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3,668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84,323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186,507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(21,640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and restricted cash, beginning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36,504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58,144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36,190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36,504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Supplemental cash flow information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paid for operating lease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1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 purchases unpaid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provides a reconciliation of the cash, cash equivalents, and restricted cash balances as of each of the periods shown above:</w:t>
      </w:r>
      <w:r>
        <w:rPr>
          <w:rFonts w:ascii="Times New Roman" w:hAnsi="Times New Roman"/>
          <w:sz w:val="20"/>
        </w:rPr>
        <w:t xml:space="preserve"> </w:t>
      </w:r>
    </w:p>
    <w:p>
      <w:pPr>
        <w:pStyle w:val="TextBody"/>
        <w:bidi w:val="0"/>
        <w:spacing w:before="0" w:after="0"/>
        <w:jc w:val="left"/>
        <w:rPr/>
      </w:pPr>
      <w:r>
        <w:rPr/>
        <w:t> </w:t>
      </w:r>
    </w:p>
    <w:tbl>
      <w:tblPr>
        <w:tblW w:w="6300" w:type="dxa"/>
        <w:jc w:val="left"/>
        <w:tblInd w:w="0" w:type="dxa"/>
        <w:tblLayout w:type="fixed"/>
        <w:tblCellMar>
          <w:top w:w="28" w:type="dxa"/>
          <w:left w:w="28" w:type="dxa"/>
          <w:bottom w:w="28" w:type="dxa"/>
          <w:right w:w="28" w:type="dxa"/>
        </w:tblCellMar>
      </w:tblPr>
      <w:tblGrid>
        <w:gridCol w:w="3481"/>
        <w:gridCol w:w="146"/>
        <w:gridCol w:w="269"/>
        <w:gridCol w:w="826"/>
        <w:gridCol w:w="146"/>
        <w:gridCol w:w="146"/>
        <w:gridCol w:w="260"/>
        <w:gridCol w:w="835"/>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35,098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35,412</w:t>
            </w:r>
          </w:p>
        </w:tc>
        <w:tc>
          <w:tcPr>
            <w:tcW w:w="191" w:type="dxa"/>
            <w:tcBorders/>
            <w:vAlign w:val="center"/>
          </w:tcPr>
          <w:p>
            <w:pPr>
              <w:pStyle w:val="TableContents"/>
              <w:bidi w:val="0"/>
              <w:spacing w:before="0" w:after="0"/>
              <w:ind w:left="0" w:right="0" w:hanging="0"/>
              <w:jc w:val="lef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cash</w:t>
            </w:r>
          </w:p>
        </w:tc>
        <w:tc>
          <w:tcPr>
            <w:tcW w:w="146" w:type="dxa"/>
            <w:tcBorders/>
            <w:vAlign w:val="center"/>
          </w:tcPr>
          <w:p>
            <w:pPr>
              <w:pStyle w:val="TableContents"/>
              <w:bidi w:val="0"/>
              <w:spacing w:before="0" w:after="0"/>
              <w:ind w:left="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1,092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36,190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36,504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9" w:name="notes_to_consolidated_financial_statemen"/>
      <w:bookmarkEnd w:id="9"/>
      <w:r>
        <w:rPr>
          <w:rFonts w:ascii="Times New Roman;serif" w:hAnsi="Times New Roman;serif"/>
          <w:b/>
          <w:sz w:val="20"/>
        </w:rPr>
        <w:t>Notes to Consolidated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1. Nature of the Business and Basis of Presentation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Fulcrum Therapeutics, Inc. (the “Company” or “Fulcrum”) was incorporated in Delaware on August 18, 2015. The Company is focused on improving the lives of patients with genetically-defined rare diseases in areas of high unmet medical need.</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Sales of Common Stock</w:t>
      </w:r>
    </w:p>
    <w:p>
      <w:pPr>
        <w:pStyle w:val="TextBody"/>
        <w:bidi w:val="0"/>
        <w:spacing w:before="240" w:after="0"/>
        <w:jc w:val="left"/>
        <w:rPr>
          <w:rFonts w:ascii="Times New Roman" w:hAnsi="Times New Roman"/>
          <w:sz w:val="20"/>
        </w:rPr>
      </w:pPr>
      <w:r>
        <w:rPr>
          <w:rFonts w:ascii="Times New Roman;serif" w:hAnsi="Times New Roman;serif"/>
          <w:b w:val="false"/>
          <w:sz w:val="20"/>
        </w:rPr>
        <w:t>On January 22, 2021, the Company completed a public offering of its common stock and issued and sold 4,600,000</w:t>
      </w:r>
      <w:r>
        <w:rPr>
          <w:rFonts w:ascii="Times New Roman" w:hAnsi="Times New Roman"/>
          <w:sz w:val="20"/>
        </w:rPr>
        <w:t xml:space="preserve"> </w:t>
      </w:r>
      <w:r>
        <w:rPr>
          <w:rFonts w:ascii="Times New Roman;serif" w:hAnsi="Times New Roman;serif"/>
          <w:b w:val="false"/>
          <w:sz w:val="20"/>
        </w:rPr>
        <w:t>shares of common stock at a public offering price of $11.00</w:t>
      </w:r>
      <w:r>
        <w:rPr>
          <w:rFonts w:ascii="Times New Roman" w:hAnsi="Times New Roman"/>
          <w:sz w:val="20"/>
        </w:rPr>
        <w:t xml:space="preserve"> </w:t>
      </w:r>
      <w:r>
        <w:rPr>
          <w:rFonts w:ascii="Times New Roman;serif" w:hAnsi="Times New Roman;serif"/>
          <w:b w:val="false"/>
          <w:sz w:val="20"/>
        </w:rPr>
        <w:t>per share, resulting in net proceeds of $47.4</w:t>
      </w:r>
      <w:r>
        <w:rPr>
          <w:rFonts w:ascii="Times New Roman" w:hAnsi="Times New Roman"/>
          <w:sz w:val="20"/>
        </w:rPr>
        <w:t xml:space="preserve"> </w:t>
      </w:r>
      <w:r>
        <w:rPr>
          <w:rFonts w:ascii="Times New Roman;serif" w:hAnsi="Times New Roman;serif"/>
          <w:b w:val="false"/>
          <w:sz w:val="20"/>
        </w:rPr>
        <w:t>million after deducting underwriting discounts and commissions and offering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16, 2021, the Company completed a public offering of its common stock and issued and sold 7,590,000</w:t>
      </w:r>
      <w:r>
        <w:rPr>
          <w:rFonts w:ascii="Times New Roman" w:hAnsi="Times New Roman"/>
          <w:sz w:val="20"/>
        </w:rPr>
        <w:t xml:space="preserve"> </w:t>
      </w:r>
      <w:r>
        <w:rPr>
          <w:rFonts w:ascii="Times New Roman;serif" w:hAnsi="Times New Roman;serif"/>
          <w:b w:val="false"/>
          <w:sz w:val="20"/>
        </w:rPr>
        <w:t>shares of common stock at a public offering price of $19.00</w:t>
      </w:r>
      <w:r>
        <w:rPr>
          <w:rFonts w:ascii="Times New Roman" w:hAnsi="Times New Roman"/>
          <w:sz w:val="20"/>
        </w:rPr>
        <w:t xml:space="preserve"> </w:t>
      </w:r>
      <w:r>
        <w:rPr>
          <w:rFonts w:ascii="Times New Roman;serif" w:hAnsi="Times New Roman;serif"/>
          <w:b w:val="false"/>
          <w:sz w:val="20"/>
        </w:rPr>
        <w:t>per share, resulting in net proceeds of $135.5</w:t>
      </w:r>
      <w:r>
        <w:rPr>
          <w:rFonts w:ascii="Times New Roman" w:hAnsi="Times New Roman"/>
          <w:sz w:val="20"/>
        </w:rPr>
        <w:t xml:space="preserve"> </w:t>
      </w:r>
      <w:r>
        <w:rPr>
          <w:rFonts w:ascii="Times New Roman;serif" w:hAnsi="Times New Roman;serif"/>
          <w:b w:val="false"/>
          <w:sz w:val="20"/>
        </w:rPr>
        <w:t>million after deducting underwriting discounts and commissions and offering expenses.</w:t>
      </w:r>
    </w:p>
    <w:p>
      <w:pPr>
        <w:pStyle w:val="TextBody"/>
        <w:bidi w:val="0"/>
        <w:spacing w:before="240" w:after="0"/>
        <w:jc w:val="left"/>
        <w:rPr>
          <w:rFonts w:ascii="Times New Roman" w:hAnsi="Times New Roman"/>
          <w:sz w:val="20"/>
        </w:rPr>
      </w:pPr>
      <w:r>
        <w:rPr>
          <w:rFonts w:ascii="Times New Roman;serif" w:hAnsi="Times New Roman;serif"/>
          <w:b w:val="false"/>
          <w:sz w:val="20"/>
        </w:rPr>
        <w:t>In August 2022, the Company completed a public offering of its common stock and issued and sold 11,029,410</w:t>
      </w:r>
      <w:r>
        <w:rPr>
          <w:rFonts w:ascii="Times New Roman" w:hAnsi="Times New Roman"/>
          <w:sz w:val="20"/>
        </w:rPr>
        <w:t xml:space="preserve"> </w:t>
      </w:r>
      <w:r>
        <w:rPr>
          <w:rFonts w:ascii="Times New Roman;serif" w:hAnsi="Times New Roman;serif"/>
          <w:b w:val="false"/>
          <w:sz w:val="20"/>
        </w:rPr>
        <w:t>shares of common stock at a public offering price of $7.82</w:t>
      </w:r>
      <w:r>
        <w:rPr>
          <w:rFonts w:ascii="Times New Roman" w:hAnsi="Times New Roman"/>
          <w:sz w:val="20"/>
        </w:rPr>
        <w:t xml:space="preserve"> </w:t>
      </w:r>
      <w:r>
        <w:rPr>
          <w:rFonts w:ascii="Times New Roman;serif" w:hAnsi="Times New Roman;serif"/>
          <w:b w:val="false"/>
          <w:sz w:val="20"/>
        </w:rPr>
        <w:t>per share, resulting in net proceeds of $80.8</w:t>
      </w:r>
      <w:r>
        <w:rPr>
          <w:rFonts w:ascii="Times New Roman" w:hAnsi="Times New Roman"/>
          <w:sz w:val="20"/>
        </w:rPr>
        <w:t xml:space="preserve"> </w:t>
      </w:r>
      <w:r>
        <w:rPr>
          <w:rFonts w:ascii="Times New Roman;serif" w:hAnsi="Times New Roman;serif"/>
          <w:b w:val="false"/>
          <w:sz w:val="20"/>
        </w:rPr>
        <w:t>million after deducting underwriting discounts and commissions and offering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January 2023, the Company completed a public offering of its common stock and issued and sold 9,615,384</w:t>
      </w:r>
      <w:r>
        <w:rPr>
          <w:rFonts w:ascii="Times New Roman" w:hAnsi="Times New Roman"/>
          <w:sz w:val="20"/>
        </w:rPr>
        <w:t xml:space="preserve"> </w:t>
      </w:r>
      <w:r>
        <w:rPr>
          <w:rFonts w:ascii="Times New Roman;serif" w:hAnsi="Times New Roman;serif"/>
          <w:b w:val="false"/>
          <w:sz w:val="20"/>
        </w:rPr>
        <w:t>shares of common stock at a public offering price of $13.00</w:t>
      </w:r>
      <w:r>
        <w:rPr>
          <w:rFonts w:ascii="Times New Roman" w:hAnsi="Times New Roman"/>
          <w:sz w:val="20"/>
        </w:rPr>
        <w:t xml:space="preserve"> </w:t>
      </w:r>
      <w:r>
        <w:rPr>
          <w:rFonts w:ascii="Times New Roman;serif" w:hAnsi="Times New Roman;serif"/>
          <w:b w:val="false"/>
          <w:sz w:val="20"/>
        </w:rPr>
        <w:t>per share, resulting in net proceeds of $117.3</w:t>
      </w:r>
      <w:r>
        <w:rPr>
          <w:rFonts w:ascii="Times New Roman" w:hAnsi="Times New Roman"/>
          <w:sz w:val="20"/>
        </w:rPr>
        <w:t xml:space="preserve"> </w:t>
      </w:r>
      <w:r>
        <w:rPr>
          <w:rFonts w:ascii="Times New Roman;serif" w:hAnsi="Times New Roman;serif"/>
          <w:b w:val="false"/>
          <w:sz w:val="20"/>
        </w:rPr>
        <w:t>million after deducting underwriting discounts and commissions and offering expenses.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Liquidity</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incurred recurring losses and negative cash flows from operations since inception and has primarily funded its operations with proceeds from the sale of shares of its capital stock and from upfront payments received from the collaboration and license agreements with Acceleron Pharma Inc. (“Acceleron”), a wholly-owned subsidiary of Merck &amp; Co., Inc., (“Merck”) and MyoKardia, Inc. (“MyoKardia”), a wholly-owned subsidiary of Bristol Myers Squibb Company. As of December 31, 2022, the Company had an accumulated deficit of $412.3</w:t>
      </w:r>
      <w:r>
        <w:rPr>
          <w:rFonts w:ascii="Times New Roman" w:hAnsi="Times New Roman"/>
          <w:sz w:val="20"/>
        </w:rPr>
        <w:t xml:space="preserve"> </w:t>
      </w:r>
      <w:r>
        <w:rPr>
          <w:rFonts w:ascii="Times New Roman;serif" w:hAnsi="Times New Roman;serif"/>
          <w:b w:val="false"/>
          <w:sz w:val="20"/>
        </w:rPr>
        <w:t>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pStyle w:val="TextBody"/>
        <w:bidi w:val="0"/>
        <w:spacing w:before="360" w:after="0"/>
        <w:jc w:val="left"/>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Principles of Consolidation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Cash and Cash Equivalents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equivalents are highly liquid investments that are readily convertible into cash with original maturities of three months or less when purchased. Cash equivalents include investments in money market funds that invest in U.S. Treasury obligations, and commercial paper. The Company maintains its bank accounts at major financial institutions.</w:t>
      </w:r>
    </w:p>
    <w:p>
      <w:pPr>
        <w:pStyle w:val="TextBody"/>
        <w:bidi w:val="0"/>
        <w:spacing w:before="360" w:after="0"/>
        <w:jc w:val="left"/>
        <w:rPr>
          <w:rFonts w:ascii="Times New Roman" w:hAnsi="Times New Roman"/>
          <w:sz w:val="20"/>
        </w:rPr>
      </w:pPr>
      <w:r>
        <w:rPr>
          <w:rFonts w:ascii="Times New Roman;serif" w:hAnsi="Times New Roman;serif"/>
          <w:b/>
          <w:i/>
          <w:sz w:val="20"/>
        </w:rPr>
        <w:t>Restricted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Restricted cash represents cash held to secure a letter of credit associated with the Company’s facility lease for its corporate headquarters.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Fair Value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2: Observable inputs other than Level 1 inputs. Examples of Level 2 inputs include quoted prices in active markets for similar assets or liabilities and quoted prices for identical assets or liabilities in markets that are not active.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3: Unobservable inputs based on the Company’s assessment of the assumptions that market participants would use in pricing the asset or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cash equivalents and marketable securities are carried at fair value and are classified according to the fair value hierarchy described above (Note 3). The cash equivalents and marketable securities are initially valued at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transaction price, and subsequently revalued at the end of each reporting period, utilizing third-party pricing services. The pricing services utilize industry standard valuation models, including both income and market-based approaches, to determine fair value.</w:t>
      </w:r>
    </w:p>
    <w:p>
      <w:pPr>
        <w:pStyle w:val="TextBody"/>
        <w:bidi w:val="0"/>
        <w:spacing w:before="360" w:after="0"/>
        <w:jc w:val="left"/>
        <w:rPr>
          <w:rFonts w:ascii="Times New Roman;serif" w:hAnsi="Times New Roman;serif"/>
          <w:b/>
          <w:i/>
          <w:sz w:val="20"/>
        </w:rPr>
      </w:pPr>
      <w:r>
        <w:rPr>
          <w:rFonts w:ascii="Times New Roman;serif" w:hAnsi="Times New Roman;serif"/>
          <w:b/>
          <w:i/>
          <w:sz w:val="20"/>
        </w:rPr>
        <w:t>Marketable Securities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classifies securities with a remaining maturity when purchased of greater than three months as marketable securities. As of December 31, 2022, the Company’s marketable securities consisted of investments in U.S. Treasury securities, government agency securities, corporate bonds, and commercial paper. Marketable securities are classified as current assets on the consolidated balance sheets if the marketable securities are available to be converted into cash to fund current operations.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Marketable securities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pStyle w:val="TextBody"/>
        <w:bidi w:val="0"/>
        <w:spacing w:before="360" w:after="0"/>
        <w:jc w:val="left"/>
        <w:rPr>
          <w:rFonts w:ascii="Times New Roman" w:hAnsi="Times New Roman"/>
          <w:sz w:val="20"/>
        </w:rPr>
      </w:pPr>
      <w:r>
        <w:rPr>
          <w:rFonts w:ascii="Times New Roman;serif" w:hAnsi="Times New Roman;serif"/>
          <w:b/>
          <w:i/>
          <w:sz w:val="20"/>
        </w:rPr>
        <w:t>Property and Equipment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 </w:t>
      </w:r>
    </w:p>
    <w:p>
      <w:pPr>
        <w:pStyle w:val="TextBody"/>
        <w:bidi w:val="0"/>
        <w:spacing w:before="0" w:after="0"/>
        <w:jc w:val="left"/>
        <w:rPr/>
      </w:pPr>
      <w:r>
        <w:rPr/>
        <w:t> </w:t>
      </w:r>
    </w:p>
    <w:tbl>
      <w:tblPr>
        <w:tblW w:w="5897" w:type="dxa"/>
        <w:jc w:val="left"/>
        <w:tblInd w:w="0" w:type="dxa"/>
        <w:tblLayout w:type="fixed"/>
        <w:tblCellMar>
          <w:top w:w="28" w:type="dxa"/>
          <w:left w:w="28" w:type="dxa"/>
          <w:bottom w:w="28" w:type="dxa"/>
          <w:right w:w="28" w:type="dxa"/>
        </w:tblCellMar>
      </w:tblPr>
      <w:tblGrid>
        <w:gridCol w:w="2161"/>
        <w:gridCol w:w="3736"/>
      </w:tblGrid>
      <w:tr>
        <w:trPr/>
        <w:tc>
          <w:tcPr>
            <w:tcW w:w="2161"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pPr>
            <w:r>
              <w:rPr/>
              <w:t> </w:t>
            </w:r>
          </w:p>
        </w:tc>
        <w:tc>
          <w:tcPr>
            <w:tcW w:w="373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center"/>
              <w:rPr>
                <w:rFonts w:ascii="Times New Roman" w:hAnsi="Times New Roman"/>
                <w:sz w:val="16"/>
              </w:rPr>
            </w:pPr>
            <w:r>
              <w:rPr>
                <w:rFonts w:ascii="Times New Roman;serif" w:hAnsi="Times New Roman;serif"/>
                <w:b/>
                <w:sz w:val="16"/>
              </w:rPr>
              <w:t>Estimated Useful Life (in years)</w:t>
            </w:r>
            <w:r>
              <w:rPr>
                <w:rFonts w:ascii="Times New Roman" w:hAnsi="Times New Roman"/>
                <w:sz w:val="16"/>
              </w:rPr>
              <w:t xml:space="preserve"> </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Lab equipment</w:t>
            </w:r>
          </w:p>
        </w:tc>
        <w:tc>
          <w:tcPr>
            <w:tcW w:w="3736" w:type="dxa"/>
            <w:tcBorders/>
            <w:tcMar>
              <w:top w:w="0" w:type="dxa"/>
              <w:left w:w="0" w:type="dxa"/>
              <w:bottom w:w="0" w:type="dxa"/>
              <w:right w:w="0" w:type="dxa"/>
            </w:tcMar>
            <w:vAlign w:val="center"/>
          </w:tcPr>
          <w:p>
            <w:pPr>
              <w:pStyle w:val="TableContents"/>
              <w:bidi w:val="0"/>
              <w:spacing w:before="0" w:after="0"/>
              <w:ind w:left="0" w:right="0" w:firstLine="240"/>
              <w:jc w:val="center"/>
              <w:rPr>
                <w:rFonts w:ascii="Times New Roman;serif" w:hAnsi="Times New Roman;serif"/>
                <w:b w:val="false"/>
                <w:sz w:val="20"/>
              </w:rPr>
            </w:pPr>
            <w:r>
              <w:rPr>
                <w:rFonts w:ascii="Times New Roman;serif" w:hAnsi="Times New Roman;serif"/>
                <w:b w:val="false"/>
                <w:sz w:val="20"/>
              </w:rPr>
              <w:t>5</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Furniture and fixtures</w:t>
            </w:r>
          </w:p>
        </w:tc>
        <w:tc>
          <w:tcPr>
            <w:tcW w:w="3736" w:type="dxa"/>
            <w:tcBorders/>
            <w:tcMar>
              <w:top w:w="0" w:type="dxa"/>
              <w:left w:w="0" w:type="dxa"/>
              <w:bottom w:w="0" w:type="dxa"/>
              <w:right w:w="0" w:type="dxa"/>
            </w:tcMar>
            <w:vAlign w:val="center"/>
          </w:tcPr>
          <w:p>
            <w:pPr>
              <w:pStyle w:val="TableContents"/>
              <w:bidi w:val="0"/>
              <w:spacing w:before="0" w:after="0"/>
              <w:ind w:left="0" w:right="0" w:firstLine="240"/>
              <w:jc w:val="center"/>
              <w:rPr>
                <w:rFonts w:ascii="Times New Roman;serif" w:hAnsi="Times New Roman;serif"/>
                <w:b w:val="false"/>
                <w:sz w:val="20"/>
              </w:rPr>
            </w:pPr>
            <w:r>
              <w:rPr>
                <w:rFonts w:ascii="Times New Roman;serif" w:hAnsi="Times New Roman;serif"/>
                <w:b w:val="false"/>
                <w:sz w:val="20"/>
              </w:rPr>
              <w:t>4</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Computer equipment</w:t>
            </w:r>
          </w:p>
        </w:tc>
        <w:tc>
          <w:tcPr>
            <w:tcW w:w="3736" w:type="dxa"/>
            <w:tcBorders/>
            <w:tcMar>
              <w:top w:w="0" w:type="dxa"/>
              <w:left w:w="0" w:type="dxa"/>
              <w:bottom w:w="0" w:type="dxa"/>
              <w:right w:w="0" w:type="dxa"/>
            </w:tcMar>
            <w:vAlign w:val="center"/>
          </w:tcPr>
          <w:p>
            <w:pPr>
              <w:pStyle w:val="TableContents"/>
              <w:bidi w:val="0"/>
              <w:spacing w:before="0" w:after="0"/>
              <w:ind w:left="0" w:right="0" w:firstLine="240"/>
              <w:jc w:val="center"/>
              <w:rPr>
                <w:rFonts w:ascii="Times New Roman;serif" w:hAnsi="Times New Roman;serif"/>
                <w:b w:val="false"/>
                <w:sz w:val="20"/>
              </w:rPr>
            </w:pPr>
            <w:r>
              <w:rPr>
                <w:rFonts w:ascii="Times New Roman;serif" w:hAnsi="Times New Roman;serif"/>
                <w:b w:val="false"/>
                <w:sz w:val="20"/>
              </w:rPr>
              <w:t>3</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Software</w:t>
            </w:r>
          </w:p>
        </w:tc>
        <w:tc>
          <w:tcPr>
            <w:tcW w:w="3736" w:type="dxa"/>
            <w:tcBorders/>
            <w:tcMar>
              <w:top w:w="0" w:type="dxa"/>
              <w:left w:w="0" w:type="dxa"/>
              <w:bottom w:w="0" w:type="dxa"/>
              <w:right w:w="0" w:type="dxa"/>
            </w:tcMar>
            <w:vAlign w:val="center"/>
          </w:tcPr>
          <w:p>
            <w:pPr>
              <w:pStyle w:val="TableContents"/>
              <w:bidi w:val="0"/>
              <w:spacing w:before="0" w:after="0"/>
              <w:ind w:left="0" w:right="0" w:firstLine="240"/>
              <w:jc w:val="center"/>
              <w:rPr>
                <w:rFonts w:ascii="Times New Roman;serif" w:hAnsi="Times New Roman;serif"/>
                <w:b w:val="false"/>
                <w:sz w:val="20"/>
              </w:rPr>
            </w:pPr>
            <w:r>
              <w:rPr>
                <w:rFonts w:ascii="Times New Roman;serif" w:hAnsi="Times New Roman;serif"/>
                <w:b w:val="false"/>
                <w:sz w:val="20"/>
              </w:rPr>
              <w:t>3</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Leasehold improvements</w:t>
            </w:r>
          </w:p>
        </w:tc>
        <w:tc>
          <w:tcPr>
            <w:tcW w:w="37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Shorter of useful life or remaining lease term</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Impairment of Long-Lived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2022 and 2021.</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Effective January 1, 2022, the Company adopted ASU No. 2016-02, </w:t>
      </w:r>
      <w:r>
        <w:rPr>
          <w:rFonts w:ascii="Times New Roman;serif" w:hAnsi="Times New Roman;serif"/>
          <w:b w:val="false"/>
          <w:i/>
          <w:sz w:val="20"/>
        </w:rPr>
        <w:t>Leases (Topic 842)</w:t>
      </w:r>
      <w:r>
        <w:rPr>
          <w:rFonts w:ascii="Times New Roman" w:hAnsi="Times New Roman"/>
          <w:sz w:val="20"/>
        </w:rPr>
        <w:t xml:space="preserve"> </w:t>
      </w:r>
      <w:r>
        <w:rPr>
          <w:rFonts w:ascii="Times New Roman;serif" w:hAnsi="Times New Roman;serif"/>
          <w:b w:val="false"/>
          <w:sz w:val="20"/>
        </w:rPr>
        <w:t>(“ASU 2016-02”). For contracts entered into on or after the effective date, at the inception of a contract, the Company determines whether the arrangement is or contains a lease based on the unique facts and circumstances present in the arrangement. Leases with a term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Leases are classified as either finance leases or operating leases.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Revenue Recognition</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Under ASC 606, </w:t>
      </w:r>
      <w:r>
        <w:rPr>
          <w:rFonts w:ascii="Times New Roman;serif" w:hAnsi="Times New Roman;serif"/>
          <w:b w:val="false"/>
          <w:i/>
          <w:sz w:val="20"/>
        </w:rPr>
        <w:t>Revenue from Contracts with Customers</w:t>
      </w:r>
      <w:r>
        <w:rPr>
          <w:rFonts w:ascii="Times New Roman;serif" w:hAnsi="Times New Roman;serif"/>
          <w:b w:val="false"/>
          <w:sz w:val="20"/>
        </w:rPr>
        <w:t>, an entity recognizes revenue when its customer obtains control of promised goods or services, in an amount that reflects the consideration that the entity expects to receive in exchange for those goods or services. In applying ASC 606, the Company performs the following five steps:</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1) Identify the contract with the customer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2) Identify the promises and performance obligations in the contract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3) Determine the transaction price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4) Allocate the transaction price to the performance obligations in the contract</w:t>
      </w:r>
    </w:p>
    <w:p>
      <w:pPr>
        <w:pStyle w:val="TextBody"/>
        <w:bidi w:val="0"/>
        <w:spacing w:before="120" w:after="0"/>
        <w:jc w:val="left"/>
        <w:rPr>
          <w:rFonts w:ascii="Times New Roman" w:hAnsi="Times New Roman"/>
          <w:sz w:val="20"/>
        </w:rPr>
      </w:pPr>
      <w:r>
        <w:rPr>
          <w:rFonts w:ascii="Times New Roman;serif" w:hAnsi="Times New Roman;serif"/>
          <w:b w:val="false"/>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5) Recognize revenue when or as the Company satisfies a performance obligation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See Note 10, “Collaboration and License Agreements”, for further information on the application of ASC 606 to the collaboration and license agreement with Acceleron (the “Acceleron Collaboration Agreement”) and the collaboration and license agreement with MyoKardia (the “MyoKardia Collaboration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Research Contract Costs and Accruals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are made in determining the accrued balances at each reporting period. Actual results could differ from the Company’s estimates.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Patent-Related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Patent-related costs incurred in connection with patent applications are expensed as incurred due to the uncertainty about the recovery of the expenditure. Amounts incurred are classified as general and administrative expenses in the accompanying statements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w:t>
      </w:r>
      <w:r>
        <w:rPr>
          <w:rFonts w:ascii="Times New Roman" w:hAnsi="Times New Roman"/>
          <w:sz w:val="20"/>
        </w:rPr>
        <w:t xml:space="preserve"> </w:t>
      </w:r>
      <w:r>
        <w:rPr>
          <w:rFonts w:ascii="Times New Roman;serif" w:hAnsi="Times New Roman;serif"/>
          <w:b w:val="false"/>
          <w:sz w:val="20"/>
        </w:rPr>
        <w:t>as the Company has never paid dividends and has no current plans to pay any dividends on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accounts for forfeitures as they occur. The Company classifies stock-based compensation expense in its statements of operations in the same manner in which the award recipient’s payroll or service costs are classified.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Restructuring Expenses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records costs and liabilities associated with exit and disposal activities in accordance with Accounting Standards Codification 420, </w:t>
      </w:r>
      <w:r>
        <w:rPr>
          <w:rFonts w:ascii="Times New Roman;serif" w:hAnsi="Times New Roman;serif"/>
          <w:b w:val="false"/>
          <w:i/>
          <w:sz w:val="20"/>
        </w:rPr>
        <w:t>Exit or Disposal Cost Obligations</w:t>
      </w:r>
      <w:r>
        <w:rPr>
          <w:rFonts w:ascii="Times New Roman;serif" w:hAnsi="Times New Roman;serif"/>
          <w:b w:val="false"/>
          <w:sz w:val="20"/>
        </w:rPr>
        <w:t>. Such costs are based on estimates of fair value in the period liabilities are incurred. The Company evaluates and adjusts these costs as appropriate for changes in circumstances as additional information becomes available.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Comprehensive Loss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Comprehensive loss is defined as the change in equity of a business enterprise during a period from transactions and other events and circumstances from non-owner sources. For the years ended December 31, 2022 and 2021, comprehensive loss consists of net loss and unrealized losses on investments.</w:t>
      </w:r>
    </w:p>
    <w:p>
      <w:pPr>
        <w:pStyle w:val="TextBody"/>
        <w:bidi w:val="0"/>
        <w:spacing w:before="360" w:after="0"/>
        <w:jc w:val="left"/>
        <w:rPr>
          <w:rFonts w:ascii="Times New Roman" w:hAnsi="Times New Roman"/>
          <w:sz w:val="20"/>
        </w:rPr>
      </w:pPr>
      <w:r>
        <w:rPr>
          <w:rFonts w:ascii="Times New Roman;serif" w:hAnsi="Times New Roman;serif"/>
          <w:b/>
          <w:i/>
          <w:sz w:val="20"/>
        </w:rPr>
        <w:t>Net Income (Loss) Per Share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Basic net income (loss) per share is computed by dividing the net income (loss) by the weighted average number of shares of common stock outstanding for the period. Diluted net income (loss) per share is computed by dividing net income (loss) by the weighted average number of shares of common stock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 therefore the basic and diluted net loss per share are the same as the inclusion of the potentially dilutive securities would be anti-dilutive.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Off-Balance Sheet Risk and Concentrations of Credit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commercial paper. The Company’s marketable securities consist of U.S. Treasury securities, corporate bonds, and commercial paper, and potentially subject the Company to concentrations of credit risk.</w:t>
      </w:r>
      <w:r>
        <w:rPr>
          <w:rFonts w:ascii="Times New Roman" w:hAnsi="Times New Roman"/>
          <w:sz w:val="20"/>
        </w:rPr>
        <w:t xml:space="preserve"> </w:t>
      </w:r>
      <w:r>
        <w:rPr>
          <w:rFonts w:ascii="Times New Roman;serif" w:hAnsi="Times New Roman;serif"/>
          <w:b w:val="false"/>
          <w:sz w:val="20"/>
        </w:rPr>
        <w:t>The Company has adopted an investment policy that limits the amounts the Company may invest in any one type of investment. The Company has not experienced any credit losses and does not believe it is exposed to any significant credit risk on these funds.</w:t>
      </w:r>
    </w:p>
    <w:p>
      <w:pPr>
        <w:pStyle w:val="TextBody"/>
        <w:bidi w:val="0"/>
        <w:spacing w:before="360" w:after="0"/>
        <w:jc w:val="left"/>
        <w:rPr>
          <w:rFonts w:ascii="Times New Roman" w:hAnsi="Times New Roman"/>
          <w:sz w:val="20"/>
        </w:rPr>
      </w:pPr>
      <w:r>
        <w:rPr>
          <w:rFonts w:ascii="Times New Roman;serif" w:hAnsi="Times New Roman;serif"/>
          <w:b/>
          <w:i/>
          <w:sz w:val="20"/>
        </w:rPr>
        <w:t>Segment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segments are defined as components of an enterprise about which separate discrete financial information is available for evaluation by the chief operating decision-maker in making decisions regarding resource allocation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assessing performance. The Company and the Company’s chief operating decision-maker, the Company’s interim chief executive officer, view the Company’s operations and manage its business as a single</w:t>
      </w:r>
      <w:r>
        <w:rPr>
          <w:rFonts w:ascii="Times New Roman;serif" w:hAnsi="Times New Roman;serif"/>
          <w:sz w:val="20"/>
        </w:rPr>
        <w:t xml:space="preserve"> </w:t>
      </w:r>
      <w:r>
        <w:rPr>
          <w:rFonts w:ascii="Times New Roman;serif" w:hAnsi="Times New Roman;serif"/>
          <w:b w:val="false"/>
          <w:sz w:val="20"/>
        </w:rPr>
        <w:t>operating segment.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Emerging Growth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an emerging growth company (“EGC”), as defined in the Jumpstart Our Business Startups Act (the “JOBS Act”), and may take advantage of certain exemptions from various reporting requirements that are applicable to other public companies that are not EGCs, including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its initial public offering or such earlier time that it is no longer an EGC.</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Recent Accounting Pronouncements—To Be Adopted</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 June 2016, the FASB issued ASU No. 2016-13, </w:t>
      </w:r>
      <w:r>
        <w:rPr>
          <w:rFonts w:ascii="Times New Roman;serif" w:hAnsi="Times New Roman;serif"/>
          <w:b w:val="false"/>
          <w:i/>
          <w:sz w:val="20"/>
        </w:rPr>
        <w:t>Financial Instruments—Credit Losses (Topic 326): Measurement of Credit Losses on Financial Instruments</w:t>
      </w:r>
      <w:r>
        <w:rPr>
          <w:rFonts w:ascii="Times New Roman;serif" w:hAnsi="Times New Roman;serif"/>
          <w:b w:val="false"/>
          <w:sz w:val="20"/>
        </w:rPr>
        <w:t>. The standard requires that credit losses be reported using an expected losses model rather than the incurred losses model that is 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 December 2019, the FASB issued ASU No. 2019-12, </w:t>
      </w:r>
      <w:r>
        <w:rPr>
          <w:rFonts w:ascii="Times New Roman;serif" w:hAnsi="Times New Roman;serif"/>
          <w:b w:val="false"/>
          <w:i/>
          <w:sz w:val="20"/>
        </w:rPr>
        <w:t>Income Taxes-Simplifying the Accounting for Income Taxes</w:t>
      </w:r>
      <w:r>
        <w:rPr>
          <w:rFonts w:ascii="Times New Roman;serif" w:hAnsi="Times New Roman;serif"/>
          <w:b w:val="false"/>
          <w:sz w:val="20"/>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Recent Accounting Pronouncements—Adopted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 February 2016, the FASB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Times New Roman;serif" w:hAnsi="Times New Roman;serif"/>
          <w:b w:val="false"/>
          <w:i/>
          <w:sz w:val="20"/>
        </w:rPr>
        <w:t>Leases (Topic 842): Targeted Improvements</w:t>
      </w:r>
      <w:r>
        <w:rPr>
          <w:rFonts w:ascii="Times New Roman;serif" w:hAnsi="Times New Roman;serif"/>
          <w:b w:val="false"/>
          <w:sz w:val="20"/>
        </w:rPr>
        <w:t xml:space="preserve">, which permits entities to continue applying legacy guidance in ASC 840, </w:t>
      </w:r>
      <w:r>
        <w:rPr>
          <w:rFonts w:ascii="Times New Roman;serif" w:hAnsi="Times New Roman;serif"/>
          <w:b w:val="false"/>
          <w:i/>
          <w:sz w:val="20"/>
        </w:rPr>
        <w:t>Leases</w:t>
      </w:r>
      <w:r>
        <w:rPr>
          <w:rFonts w:ascii="Times New Roman;serif" w:hAnsi="Times New Roman;serif"/>
          <w:b w:val="false"/>
          <w:sz w:val="20"/>
        </w:rPr>
        <w:t>, including its disclosure requirements, in the comparative periods presented in the year that the entity adopts the new leasing standard. Under this transition method, the cumulative effect of initially applying ASU 2016-02, as amended, is recognized as an adjustment to the opening balance of retained earnings or accumulated deficit at the beginning of the annual reporting period that includes the date of initial application.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Accordingly, the Company adopted the new standard effective January 1, 2022 using the transition method permitted by ASU 2016-02, as amended. In adopting the new standard, the Company elected to utilize certain available expedients by electing the transition package of practical expedients permitted within ASU 2016-02, which allow the Company to not reassess previous accounting conclusions around whether arrangements are, or contain, leases, the classification of existing or expired leases, and the treatment of previous initial direct costs that would qualify for capitalization under the new standard. The Company elected to apply the practical expedient to not separate lease and non-lease components for new and modified leases. The Company also made an accounting policy election to exclude leases with an initial term of twelve months or less from the balance sheet.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Upon the adoption of ASU 2016-02, as amended, the Company removed its legacy deferred rent balances that were previously recorded under ASC 840 and established an operating lease right-of-use asset of $10.8</w:t>
      </w:r>
      <w:r>
        <w:rPr>
          <w:rFonts w:ascii="Times New Roman" w:hAnsi="Times New Roman"/>
          <w:sz w:val="20"/>
        </w:rPr>
        <w:t xml:space="preserve"> </w:t>
      </w:r>
      <w:r>
        <w:rPr>
          <w:rFonts w:ascii="Times New Roman;serif" w:hAnsi="Times New Roman;serif"/>
          <w:b w:val="false"/>
          <w:sz w:val="20"/>
        </w:rPr>
        <w:t>million, an operating lease liability, current of $2.2</w:t>
      </w:r>
      <w:r>
        <w:rPr>
          <w:rFonts w:ascii="Times New Roman" w:hAnsi="Times New Roman"/>
          <w:sz w:val="20"/>
        </w:rPr>
        <w:t xml:space="preserve"> </w:t>
      </w:r>
      <w:r>
        <w:rPr>
          <w:rFonts w:ascii="Times New Roman;serif" w:hAnsi="Times New Roman;serif"/>
          <w:b w:val="false"/>
          <w:sz w:val="20"/>
        </w:rPr>
        <w:t>million and an operating lease liability, net of current portion of $13.4</w:t>
      </w:r>
      <w:r>
        <w:rPr>
          <w:rFonts w:ascii="Times New Roman" w:hAnsi="Times New Roman"/>
          <w:sz w:val="20"/>
        </w:rPr>
        <w:t xml:space="preserve"> </w:t>
      </w:r>
      <w:r>
        <w:rPr>
          <w:rFonts w:ascii="Times New Roman;serif" w:hAnsi="Times New Roman;serif"/>
          <w:b w:val="false"/>
          <w:sz w:val="20"/>
        </w:rPr>
        <w:t>million, all relating to the Company’s existing operating leases for office and laboratory space. The following table presents a summary of the amount by which each financial statement line item was affected by the adoption of ASU 2016-02, as amended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822"/>
        <w:gridCol w:w="146"/>
        <w:gridCol w:w="646"/>
        <w:gridCol w:w="1751"/>
        <w:gridCol w:w="146"/>
        <w:gridCol w:w="146"/>
        <w:gridCol w:w="288"/>
        <w:gridCol w:w="923"/>
        <w:gridCol w:w="166"/>
        <w:gridCol w:w="146"/>
        <w:gridCol w:w="500"/>
        <w:gridCol w:w="2331"/>
        <w:gridCol w:w="194"/>
      </w:tblGrid>
      <w:tr>
        <w:trPr/>
        <w:tc>
          <w:tcPr>
            <w:tcW w:w="2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43"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January 1, 2022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Prior to the Adoption of ASU 2016, as Amended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Effect of Adoption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Subsequent to the Adoption of ASU 2016-20, as Amended</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43"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 data)</w:t>
            </w:r>
          </w:p>
        </w:tc>
        <w:tc>
          <w:tcPr>
            <w:tcW w:w="194" w:type="dxa"/>
            <w:tcBorders/>
            <w:vAlign w:val="center"/>
          </w:tcPr>
          <w:p>
            <w:pPr>
              <w:pStyle w:val="TableContents"/>
              <w:bidi w:val="0"/>
              <w:spacing w:before="0" w:after="0"/>
              <w:ind w:left="0" w:right="0" w:hanging="0"/>
              <w:jc w:val="center"/>
              <w:rPr/>
            </w:pPr>
            <w:r>
              <w:rPr/>
              <w:t> </w:t>
            </w:r>
          </w:p>
        </w:tc>
      </w:tr>
      <w:tr>
        <w:trPr/>
        <w:tc>
          <w:tcPr>
            <w:tcW w:w="28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 of use asset</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0"/>
              <w:ind w:left="0" w:right="0" w:hanging="0"/>
              <w:jc w:val="left"/>
              <w:rPr/>
            </w:pPr>
            <w:r>
              <w:rPr/>
              <w:t> </w:t>
            </w:r>
          </w:p>
        </w:tc>
        <w:tc>
          <w:tcPr>
            <w:tcW w:w="23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10,815</w:t>
            </w:r>
          </w:p>
        </w:tc>
        <w:tc>
          <w:tcPr>
            <w:tcW w:w="194" w:type="dxa"/>
            <w:tcBorders/>
            <w:vAlign w:val="center"/>
          </w:tcPr>
          <w:p>
            <w:pPr>
              <w:pStyle w:val="TableContents"/>
              <w:bidi w:val="0"/>
              <w:spacing w:before="0" w:after="0"/>
              <w:ind w:left="0" w:right="0" w:hanging="0"/>
              <w:jc w:val="left"/>
              <w:rPr/>
            </w:pPr>
            <w:r>
              <w:rPr/>
              <w:t> </w:t>
            </w:r>
          </w:p>
        </w:tc>
      </w:tr>
      <w:tr>
        <w:trPr/>
        <w:tc>
          <w:tcPr>
            <w:tcW w:w="28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 current</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23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2,173</w:t>
            </w:r>
          </w:p>
        </w:tc>
        <w:tc>
          <w:tcPr>
            <w:tcW w:w="194" w:type="dxa"/>
            <w:tcBorders/>
            <w:vAlign w:val="center"/>
          </w:tcPr>
          <w:p>
            <w:pPr>
              <w:pStyle w:val="TableContents"/>
              <w:bidi w:val="0"/>
              <w:spacing w:before="0" w:after="0"/>
              <w:ind w:left="0" w:right="0" w:hanging="0"/>
              <w:jc w:val="left"/>
              <w:rPr/>
            </w:pPr>
            <w:r>
              <w:rPr/>
              <w:t> </w:t>
            </w:r>
          </w:p>
        </w:tc>
      </w:tr>
      <w:tr>
        <w:trPr/>
        <w:tc>
          <w:tcPr>
            <w:tcW w:w="28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0"/>
              <w:ind w:left="0" w:right="0" w:hanging="0"/>
              <w:jc w:val="left"/>
              <w:rPr/>
            </w:pPr>
            <w:r>
              <w:rPr/>
              <w:t> </w:t>
            </w:r>
          </w:p>
        </w:tc>
        <w:tc>
          <w:tcPr>
            <w:tcW w:w="23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9,181</w:t>
            </w:r>
          </w:p>
        </w:tc>
        <w:tc>
          <w:tcPr>
            <w:tcW w:w="194" w:type="dxa"/>
            <w:tcBorders/>
            <w:vAlign w:val="center"/>
          </w:tcPr>
          <w:p>
            <w:pPr>
              <w:pStyle w:val="TableContents"/>
              <w:bidi w:val="0"/>
              <w:spacing w:before="0" w:after="0"/>
              <w:ind w:left="0" w:right="0" w:hanging="0"/>
              <w:jc w:val="left"/>
              <w:rPr/>
            </w:pPr>
            <w:r>
              <w:rPr/>
              <w:t> </w:t>
            </w:r>
          </w:p>
        </w:tc>
      </w:tr>
      <w:tr>
        <w:trPr/>
        <w:tc>
          <w:tcPr>
            <w:tcW w:w="28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lease incentive, current portion</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2331"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28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 net of current portion</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0"/>
              <w:ind w:left="0" w:right="0" w:hanging="0"/>
              <w:jc w:val="left"/>
              <w:rPr/>
            </w:pPr>
            <w:r>
              <w:rPr/>
              <w:t> </w:t>
            </w:r>
          </w:p>
        </w:tc>
        <w:tc>
          <w:tcPr>
            <w:tcW w:w="23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13,423</w:t>
            </w:r>
          </w:p>
        </w:tc>
        <w:tc>
          <w:tcPr>
            <w:tcW w:w="194" w:type="dxa"/>
            <w:tcBorders/>
            <w:vAlign w:val="center"/>
          </w:tcPr>
          <w:p>
            <w:pPr>
              <w:pStyle w:val="TableContents"/>
              <w:bidi w:val="0"/>
              <w:spacing w:before="0" w:after="0"/>
              <w:ind w:left="0" w:right="0" w:hanging="0"/>
              <w:jc w:val="left"/>
              <w:rPr/>
            </w:pPr>
            <w:r>
              <w:rPr/>
              <w:t> </w:t>
            </w:r>
          </w:p>
        </w:tc>
      </w:tr>
      <w:tr>
        <w:trPr/>
        <w:tc>
          <w:tcPr>
            <w:tcW w:w="28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rent, excluding current portion</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2331"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28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lease incentive, excluding current portion</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0"/>
              <w:ind w:left="0" w:right="0" w:hanging="0"/>
              <w:jc w:val="left"/>
              <w:rPr/>
            </w:pPr>
            <w:r>
              <w:rPr/>
              <w:t> </w:t>
            </w:r>
          </w:p>
        </w:tc>
        <w:tc>
          <w:tcPr>
            <w:tcW w:w="2331"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adoption of ASU 2016-02, as amended, did not have a material impact on the consolidated statements of operations and comprehensive loss or the consolidated statement of cash flows for the year ended December 31, 2022. See Note 12, “Leases”, for further information on the application of ASU 2016-02, as amended, to the Company’s operating lease for its existing operating leases for office and laboratory space.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3. Fair Value Measurements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present information about the Company’s financial assets measured at fair value on a recurring basis and indicate the fair value hierarchy classification of such fair values as of December 31, 2022 and 2021 (in thousands):</w:t>
      </w:r>
      <w:r>
        <w:rPr>
          <w:rFonts w:ascii="Times New Roman" w:hAnsi="Times New Roman"/>
          <w:sz w:val="20"/>
        </w:rPr>
        <w:t xml:space="preserve"> </w:t>
      </w:r>
    </w:p>
    <w:p>
      <w:pPr>
        <w:pStyle w:val="TextBody"/>
        <w:bidi w:val="0"/>
        <w:spacing w:before="0" w:after="0"/>
        <w:jc w:val="left"/>
        <w:rPr/>
      </w:pPr>
      <w:r>
        <w:rPr/>
        <w:t> </w:t>
      </w:r>
    </w:p>
    <w:tbl>
      <w:tblPr>
        <w:tblW w:w="7680" w:type="dxa"/>
        <w:jc w:val="left"/>
        <w:tblInd w:w="0" w:type="dxa"/>
        <w:tblLayout w:type="fixed"/>
        <w:tblCellMar>
          <w:top w:w="28" w:type="dxa"/>
          <w:left w:w="28" w:type="dxa"/>
          <w:bottom w:w="28" w:type="dxa"/>
          <w:right w:w="28" w:type="dxa"/>
        </w:tblCellMar>
      </w:tblPr>
      <w:tblGrid>
        <w:gridCol w:w="2566"/>
        <w:gridCol w:w="146"/>
        <w:gridCol w:w="211"/>
        <w:gridCol w:w="781"/>
        <w:gridCol w:w="146"/>
        <w:gridCol w:w="146"/>
        <w:gridCol w:w="211"/>
        <w:gridCol w:w="676"/>
        <w:gridCol w:w="146"/>
        <w:gridCol w:w="146"/>
        <w:gridCol w:w="211"/>
        <w:gridCol w:w="781"/>
        <w:gridCol w:w="146"/>
        <w:gridCol w:w="146"/>
        <w:gridCol w:w="239"/>
        <w:gridCol w:w="391"/>
        <w:gridCol w:w="5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December 31, 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5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177,747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tbl>
      <w:tblPr>
        <w:tblW w:w="7035" w:type="dxa"/>
        <w:jc w:val="left"/>
        <w:tblInd w:w="0" w:type="dxa"/>
        <w:tblLayout w:type="fixed"/>
        <w:tblCellMar>
          <w:top w:w="28" w:type="dxa"/>
          <w:left w:w="28" w:type="dxa"/>
          <w:bottom w:w="28" w:type="dxa"/>
          <w:right w:w="28" w:type="dxa"/>
        </w:tblCellMar>
      </w:tblPr>
      <w:tblGrid>
        <w:gridCol w:w="1921"/>
        <w:gridCol w:w="146"/>
        <w:gridCol w:w="211"/>
        <w:gridCol w:w="781"/>
        <w:gridCol w:w="146"/>
        <w:gridCol w:w="146"/>
        <w:gridCol w:w="211"/>
        <w:gridCol w:w="676"/>
        <w:gridCol w:w="146"/>
        <w:gridCol w:w="146"/>
        <w:gridCol w:w="211"/>
        <w:gridCol w:w="781"/>
        <w:gridCol w:w="146"/>
        <w:gridCol w:w="146"/>
        <w:gridCol w:w="239"/>
        <w:gridCol w:w="391"/>
        <w:gridCol w:w="5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December 31, 2021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19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19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19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9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218,162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182,750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transfers between fair value levels during the years ended December 31, 2022 and 2021.</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4. Cash Equivalents and Marketable Securities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equivalents and marketable securities consisted of the following as of December 31, 2022 and December 31, 2021 (in thousands):</w:t>
      </w:r>
    </w:p>
    <w:p>
      <w:pPr>
        <w:pStyle w:val="TextBody"/>
        <w:bidi w:val="0"/>
        <w:spacing w:before="0" w:after="0"/>
        <w:jc w:val="left"/>
        <w:rPr/>
      </w:pPr>
      <w:r>
        <w:rPr/>
        <w:t> </w:t>
      </w:r>
    </w:p>
    <w:tbl>
      <w:tblPr>
        <w:tblW w:w="94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335"/>
        <w:gridCol w:w="551"/>
        <w:gridCol w:w="146"/>
        <w:gridCol w:w="146"/>
        <w:gridCol w:w="270"/>
        <w:gridCol w:w="616"/>
        <w:gridCol w:w="166"/>
        <w:gridCol w:w="146"/>
        <w:gridCol w:w="211"/>
        <w:gridCol w:w="781"/>
        <w:gridCol w:w="5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December 31, 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25,174</w:t>
            </w:r>
          </w:p>
        </w:tc>
        <w:tc>
          <w:tcPr>
            <w:tcW w:w="591" w:type="dxa"/>
            <w:tcBorders/>
            <w:vAlign w:val="center"/>
          </w:tcPr>
          <w:p>
            <w:pPr>
              <w:pStyle w:val="TableContents"/>
              <w:bidi w:val="0"/>
              <w:spacing w:before="0" w:after="0"/>
              <w:ind w:left="0" w:right="0" w:firstLine="200"/>
              <w:jc w:val="lef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35,098</w:t>
            </w:r>
          </w:p>
        </w:tc>
        <w:tc>
          <w:tcPr>
            <w:tcW w:w="5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10,231</w:t>
            </w:r>
          </w:p>
        </w:tc>
        <w:tc>
          <w:tcPr>
            <w:tcW w:w="591" w:type="dxa"/>
            <w:tcBorders/>
            <w:vAlign w:val="center"/>
          </w:tcPr>
          <w:p>
            <w:pPr>
              <w:pStyle w:val="TableContents"/>
              <w:bidi w:val="0"/>
              <w:spacing w:before="0" w:after="0"/>
              <w:ind w:left="0" w:right="0" w:firstLine="200"/>
              <w:jc w:val="lef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12,444</w:t>
            </w:r>
          </w:p>
        </w:tc>
        <w:tc>
          <w:tcPr>
            <w:tcW w:w="591" w:type="dxa"/>
            <w:tcBorders/>
            <w:vAlign w:val="center"/>
          </w:tcPr>
          <w:p>
            <w:pPr>
              <w:pStyle w:val="TableContents"/>
              <w:bidi w:val="0"/>
              <w:spacing w:before="0" w:after="0"/>
              <w:ind w:left="0" w:right="0" w:firstLine="200"/>
              <w:jc w:val="lef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48,476</w:t>
            </w:r>
          </w:p>
        </w:tc>
        <w:tc>
          <w:tcPr>
            <w:tcW w:w="591" w:type="dxa"/>
            <w:tcBorders/>
            <w:vAlign w:val="center"/>
          </w:tcPr>
          <w:p>
            <w:pPr>
              <w:pStyle w:val="TableContents"/>
              <w:bidi w:val="0"/>
              <w:spacing w:before="0" w:after="0"/>
              <w:ind w:left="0" w:right="0" w:firstLine="200"/>
              <w:jc w:val="lef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96,672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168,616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203,718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202,921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94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335"/>
        <w:gridCol w:w="551"/>
        <w:gridCol w:w="146"/>
        <w:gridCol w:w="146"/>
        <w:gridCol w:w="270"/>
        <w:gridCol w:w="616"/>
        <w:gridCol w:w="166"/>
        <w:gridCol w:w="146"/>
        <w:gridCol w:w="211"/>
        <w:gridCol w:w="781"/>
        <w:gridCol w:w="5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December 31, 2021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5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81,382</w:t>
            </w:r>
          </w:p>
        </w:tc>
        <w:tc>
          <w:tcPr>
            <w:tcW w:w="591" w:type="dxa"/>
            <w:tcBorders/>
            <w:vAlign w:val="center"/>
          </w:tcPr>
          <w:p>
            <w:pPr>
              <w:pStyle w:val="TableContents"/>
              <w:bidi w:val="0"/>
              <w:spacing w:before="0" w:after="0"/>
              <w:ind w:left="0" w:right="0" w:firstLine="200"/>
              <w:jc w:val="lef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101,368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183,147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182,750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218,162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sales of marketable securities during the year ended December 31, 2022. As of December 31, 2022, the aggregate fair value of securities that were in an unrealized loss position for less than twelve months was $111.1</w:t>
      </w:r>
      <w:r>
        <w:rPr>
          <w:rFonts w:ascii="Times New Roman" w:hAnsi="Times New Roman"/>
          <w:sz w:val="20"/>
        </w:rPr>
        <w:t xml:space="preserve"> </w:t>
      </w:r>
      <w:r>
        <w:rPr>
          <w:rFonts w:ascii="Times New Roman;serif" w:hAnsi="Times New Roman;serif"/>
          <w:b w:val="false"/>
          <w:sz w:val="20"/>
        </w:rPr>
        <w:t>million. As of December 31, 2022, the aggregate fair value of marketable securities that were in an unrealized loss position for greater than twelve months was $42.9</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determined that it did not hold any marketable securities with any other-than-temporary impairment as of December 31, 2022. As of December 31, 2022, the aggregate fair value of marketable securities with a remaining contractual maturity of greater than one year was $37.3</w:t>
      </w:r>
      <w:r>
        <w:rPr>
          <w:rFonts w:ascii="Times New Roman" w:hAnsi="Times New Roman"/>
          <w:sz w:val="20"/>
        </w:rPr>
        <w:t xml:space="preserve"> </w:t>
      </w:r>
      <w:r>
        <w:rPr>
          <w:rFonts w:ascii="Times New Roman;serif" w:hAnsi="Times New Roman;serif"/>
          <w:b w:val="false"/>
          <w:sz w:val="20"/>
        </w:rPr>
        <w:t>million. As of December 31, 2022, the Company did not intend to sell, and would not be more likely than not be required to sell, the marketable securities in an unrealized loss position before recovery of their amortized cost bases.</w:t>
      </w:r>
    </w:p>
    <w:p>
      <w:pPr>
        <w:pStyle w:val="TextBody"/>
        <w:bidi w:val="0"/>
        <w:spacing w:before="360" w:after="0"/>
        <w:jc w:val="left"/>
        <w:rPr>
          <w:rFonts w:ascii="Times New Roman" w:hAnsi="Times New Roman"/>
          <w:sz w:val="20"/>
        </w:rPr>
      </w:pPr>
      <w:r>
        <w:rPr>
          <w:rFonts w:ascii="Times New Roman;serif" w:hAnsi="Times New Roman;serif"/>
          <w:b/>
          <w:sz w:val="20"/>
        </w:rPr>
        <w:t>5. Property and Equipment,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net consisted of the following (in thousands):</w:t>
      </w:r>
      <w:r>
        <w:rPr>
          <w:rFonts w:ascii="Times New Roman" w:hAnsi="Times New Roman"/>
          <w:sz w:val="20"/>
        </w:rPr>
        <w:t xml:space="preserve"> </w:t>
      </w:r>
    </w:p>
    <w:tbl>
      <w:tblPr>
        <w:tblW w:w="5545" w:type="dxa"/>
        <w:jc w:val="left"/>
        <w:tblInd w:w="0" w:type="dxa"/>
        <w:tblLayout w:type="fixed"/>
        <w:tblCellMar>
          <w:top w:w="28" w:type="dxa"/>
          <w:left w:w="28" w:type="dxa"/>
          <w:bottom w:w="28" w:type="dxa"/>
          <w:right w:w="28" w:type="dxa"/>
        </w:tblCellMar>
      </w:tblPr>
      <w:tblGrid>
        <w:gridCol w:w="2686"/>
        <w:gridCol w:w="146"/>
        <w:gridCol w:w="244"/>
        <w:gridCol w:w="851"/>
        <w:gridCol w:w="166"/>
        <w:gridCol w:w="146"/>
        <w:gridCol w:w="260"/>
        <w:gridCol w:w="835"/>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8,182</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Software</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6,289</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process</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15,637</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Depreciation expense for the years ended December 31, 2022 and 2021</w:t>
      </w:r>
      <w:r>
        <w:rPr>
          <w:rFonts w:ascii="Times New Roman" w:hAnsi="Times New Roman"/>
          <w:sz w:val="20"/>
        </w:rPr>
        <w:t xml:space="preserve"> </w:t>
      </w:r>
      <w:r>
        <w:rPr>
          <w:rFonts w:ascii="Times New Roman;serif" w:hAnsi="Times New Roman;serif"/>
          <w:b w:val="false"/>
          <w:sz w:val="20"/>
        </w:rPr>
        <w:t>was $2.4</w:t>
      </w:r>
      <w:r>
        <w:rPr>
          <w:rFonts w:ascii="Times New Roman" w:hAnsi="Times New Roman"/>
          <w:sz w:val="20"/>
        </w:rPr>
        <w:t xml:space="preserve"> </w:t>
      </w:r>
      <w:r>
        <w:rPr>
          <w:rFonts w:ascii="Times New Roman;serif" w:hAnsi="Times New Roman;serif"/>
          <w:b w:val="false"/>
          <w:sz w:val="20"/>
        </w:rPr>
        <w:t>million and $2.5</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6. Additional Balance Sheet Detail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Prepaid expenses and other current assets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7305" w:type="dxa"/>
        <w:jc w:val="left"/>
        <w:tblInd w:w="0" w:type="dxa"/>
        <w:tblLayout w:type="fixed"/>
        <w:tblCellMar>
          <w:top w:w="28" w:type="dxa"/>
          <w:left w:w="28" w:type="dxa"/>
          <w:bottom w:w="28" w:type="dxa"/>
          <w:right w:w="28" w:type="dxa"/>
        </w:tblCellMar>
      </w:tblPr>
      <w:tblGrid>
        <w:gridCol w:w="4486"/>
        <w:gridCol w:w="146"/>
        <w:gridCol w:w="294"/>
        <w:gridCol w:w="801"/>
        <w:gridCol w:w="146"/>
        <w:gridCol w:w="146"/>
        <w:gridCol w:w="294"/>
        <w:gridCol w:w="801"/>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3,400</w:t>
            </w:r>
          </w:p>
        </w:tc>
        <w:tc>
          <w:tcPr>
            <w:tcW w:w="1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sign-on bonuses subject to vesting provisions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1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receivable</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Accrued expenses and other current liabilities consisted of the following (in thousands):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080" w:type="dxa"/>
        <w:jc w:val="left"/>
        <w:tblInd w:w="0" w:type="dxa"/>
        <w:tblLayout w:type="fixed"/>
        <w:tblCellMar>
          <w:top w:w="28" w:type="dxa"/>
          <w:left w:w="28" w:type="dxa"/>
          <w:bottom w:w="28" w:type="dxa"/>
          <w:right w:w="28" w:type="dxa"/>
        </w:tblCellMar>
      </w:tblPr>
      <w:tblGrid>
        <w:gridCol w:w="4261"/>
        <w:gridCol w:w="146"/>
        <w:gridCol w:w="294"/>
        <w:gridCol w:w="801"/>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research and development</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3,171</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and benefits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4,990</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services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7. Preferred Stock</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2022 and 2021, 5,000,000</w:t>
      </w:r>
      <w:r>
        <w:rPr>
          <w:rFonts w:ascii="Times New Roman" w:hAnsi="Times New Roman"/>
          <w:sz w:val="20"/>
        </w:rPr>
        <w:t xml:space="preserve"> </w:t>
      </w:r>
      <w:r>
        <w:rPr>
          <w:rFonts w:ascii="Times New Roman;serif" w:hAnsi="Times New Roman;serif"/>
          <w:b w:val="false"/>
          <w:sz w:val="20"/>
        </w:rPr>
        <w:t>shares of undesignated preferred stock were authorized. No</w:t>
      </w:r>
      <w:r>
        <w:rPr>
          <w:rFonts w:ascii="Times New Roman" w:hAnsi="Times New Roman"/>
          <w:sz w:val="20"/>
        </w:rPr>
        <w:t xml:space="preserve"> </w:t>
      </w:r>
      <w:r>
        <w:rPr>
          <w:rFonts w:ascii="Times New Roman;serif" w:hAnsi="Times New Roman;serif"/>
          <w:b w:val="false"/>
          <w:sz w:val="20"/>
        </w:rPr>
        <w:t>shares of preferred stock were issued or outstanding as of December 31, 2022 and 2021.</w:t>
      </w:r>
    </w:p>
    <w:p>
      <w:pPr>
        <w:pStyle w:val="TextBody"/>
        <w:bidi w:val="0"/>
        <w:spacing w:before="24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dividends have been declared since inception.</w:t>
      </w:r>
    </w:p>
    <w:p>
      <w:pPr>
        <w:pStyle w:val="TextBody"/>
        <w:bidi w:val="0"/>
        <w:spacing w:before="360" w:after="0"/>
        <w:jc w:val="left"/>
        <w:rPr>
          <w:rFonts w:ascii="Times New Roman" w:hAnsi="Times New Roman"/>
          <w:sz w:val="20"/>
        </w:rPr>
      </w:pPr>
      <w:r>
        <w:rPr>
          <w:rFonts w:ascii="Times New Roman;serif" w:hAnsi="Times New Roman;serif"/>
          <w:b/>
          <w:sz w:val="20"/>
        </w:rPr>
        <w:t>8.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2022 and 2021, 200,000,000</w:t>
      </w:r>
      <w:r>
        <w:rPr>
          <w:rFonts w:ascii="Times New Roman" w:hAnsi="Times New Roman"/>
          <w:sz w:val="20"/>
        </w:rPr>
        <w:t xml:space="preserve"> </w:t>
      </w:r>
      <w:r>
        <w:rPr>
          <w:rFonts w:ascii="Times New Roman;serif" w:hAnsi="Times New Roman;serif"/>
          <w:b w:val="false"/>
          <w:sz w:val="20"/>
        </w:rPr>
        <w:t>shares of common stock, $0.001</w:t>
      </w:r>
      <w:r>
        <w:rPr>
          <w:rFonts w:ascii="Times New Roman" w:hAnsi="Times New Roman"/>
          <w:sz w:val="20"/>
        </w:rPr>
        <w:t xml:space="preserve"> </w:t>
      </w:r>
      <w:r>
        <w:rPr>
          <w:rFonts w:ascii="Times New Roman;serif" w:hAnsi="Times New Roman;serif"/>
          <w:b w:val="false"/>
          <w:sz w:val="20"/>
        </w:rPr>
        <w:t>par value per share, were authorized.</w:t>
      </w:r>
    </w:p>
    <w:p>
      <w:pPr>
        <w:pStyle w:val="TextBody"/>
        <w:bidi w:val="0"/>
        <w:spacing w:before="240" w:after="0"/>
        <w:jc w:val="left"/>
        <w:rPr>
          <w:rFonts w:ascii="Times New Roman" w:hAnsi="Times New Roman"/>
          <w:sz w:val="20"/>
        </w:rPr>
      </w:pPr>
      <w:r>
        <w:rPr>
          <w:rFonts w:ascii="Times New Roman;serif" w:hAnsi="Times New Roman;serif"/>
          <w:b w:val="false"/>
          <w:sz w:val="20"/>
        </w:rPr>
        <w:t>Each share of common stock entitles the holder to one</w:t>
      </w:r>
      <w:r>
        <w:rPr>
          <w:rFonts w:ascii="Times New Roman;serif" w:hAnsi="Times New Roman;serif"/>
          <w:sz w:val="20"/>
        </w:rPr>
        <w:t xml:space="preserve"> </w:t>
      </w:r>
      <w:r>
        <w:rPr>
          <w:rFonts w:ascii="Times New Roman;serif" w:hAnsi="Times New Roman;serif"/>
          <w:b w:val="false"/>
          <w:sz w:val="20"/>
        </w:rPr>
        <w:t>vote on all matters submitted to a vote of the Company’s stockholders. Common stockholders are not entitled to receive dividends, unless declared by the Company’s board of directors, subject to the preferential dividend rights of any preferred stock then outstanding. No</w:t>
      </w:r>
      <w:r>
        <w:rPr>
          <w:rFonts w:ascii="Times New Roman" w:hAnsi="Times New Roman"/>
          <w:sz w:val="20"/>
        </w:rPr>
        <w:t xml:space="preserve"> </w:t>
      </w:r>
      <w:r>
        <w:rPr>
          <w:rFonts w:ascii="Times New Roman;serif" w:hAnsi="Times New Roman;serif"/>
          <w:b w:val="false"/>
          <w:sz w:val="20"/>
        </w:rPr>
        <w:t>dividends have been declared or paid by the Company since its inception.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December 31, 2022 and 2021, the Company has reserved for future issuance the following number of shares of common stock:</w:t>
      </w:r>
    </w:p>
    <w:p>
      <w:pPr>
        <w:pStyle w:val="TextBody"/>
        <w:bidi w:val="0"/>
        <w:spacing w:before="0" w:after="0"/>
        <w:jc w:val="left"/>
        <w:rPr/>
      </w:pPr>
      <w:r>
        <w:rPr/>
        <w:t> </w:t>
      </w:r>
    </w:p>
    <w:tbl>
      <w:tblPr>
        <w:tblW w:w="9720" w:type="dxa"/>
        <w:jc w:val="left"/>
        <w:tblInd w:w="0" w:type="dxa"/>
        <w:tblLayout w:type="fixed"/>
        <w:tblCellMar>
          <w:top w:w="28" w:type="dxa"/>
          <w:left w:w="28" w:type="dxa"/>
          <w:bottom w:w="28" w:type="dxa"/>
          <w:right w:w="28" w:type="dxa"/>
        </w:tblCellMar>
      </w:tblPr>
      <w:tblGrid>
        <w:gridCol w:w="6901"/>
        <w:gridCol w:w="146"/>
        <w:gridCol w:w="148"/>
        <w:gridCol w:w="947"/>
        <w:gridCol w:w="146"/>
        <w:gridCol w:w="146"/>
        <w:gridCol w:w="148"/>
        <w:gridCol w:w="947"/>
        <w:gridCol w:w="191"/>
      </w:tblGrid>
      <w:tr>
        <w:trPr/>
        <w:tc>
          <w:tcPr>
            <w:tcW w:w="6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exercises of outstanding stock options</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6,504,080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5,188,354</w:t>
            </w:r>
          </w:p>
        </w:tc>
        <w:tc>
          <w:tcPr>
            <w:tcW w:w="191" w:type="dxa"/>
            <w:tcBorders/>
            <w:vAlign w:val="center"/>
          </w:tcPr>
          <w:p>
            <w:pPr>
              <w:pStyle w:val="TableContents"/>
              <w:bidi w:val="0"/>
              <w:spacing w:before="0" w:after="0"/>
              <w:ind w:left="0" w:right="0" w:hanging="0"/>
              <w:jc w:val="left"/>
              <w:rPr/>
            </w:pPr>
            <w:r>
              <w:rPr/>
              <w:t> </w:t>
            </w:r>
          </w:p>
        </w:tc>
      </w:tr>
      <w:tr>
        <w:trPr/>
        <w:tc>
          <w:tcPr>
            <w:tcW w:w="6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6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future issuance under the 2019 Stock Incentive Plan</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1,941,054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286,324</w:t>
            </w:r>
          </w:p>
        </w:tc>
        <w:tc>
          <w:tcPr>
            <w:tcW w:w="191" w:type="dxa"/>
            <w:tcBorders/>
            <w:vAlign w:val="center"/>
          </w:tcPr>
          <w:p>
            <w:pPr>
              <w:pStyle w:val="TableContents"/>
              <w:bidi w:val="0"/>
              <w:spacing w:before="0" w:after="0"/>
              <w:ind w:left="0" w:right="0" w:hanging="0"/>
              <w:jc w:val="left"/>
              <w:rPr/>
            </w:pPr>
            <w:r>
              <w:rPr/>
              <w:t> </w:t>
            </w:r>
          </w:p>
        </w:tc>
      </w:tr>
      <w:tr>
        <w:trPr/>
        <w:tc>
          <w:tcPr>
            <w:tcW w:w="6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future issuance under the 2019 Employee Stock Purchase Plan</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706,658</w:t>
            </w:r>
          </w:p>
        </w:tc>
        <w:tc>
          <w:tcPr>
            <w:tcW w:w="191" w:type="dxa"/>
            <w:tcBorders/>
            <w:vAlign w:val="center"/>
          </w:tcPr>
          <w:p>
            <w:pPr>
              <w:pStyle w:val="TableContents"/>
              <w:bidi w:val="0"/>
              <w:spacing w:before="0" w:after="0"/>
              <w:ind w:left="0" w:right="0" w:hanging="0"/>
              <w:jc w:val="left"/>
              <w:rPr/>
            </w:pPr>
            <w:r>
              <w:rPr/>
              <w:t> </w:t>
            </w:r>
          </w:p>
        </w:tc>
      </w:tr>
      <w:tr>
        <w:trPr/>
        <w:tc>
          <w:tcPr>
            <w:tcW w:w="6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future issuance under the 2022 Inducement Stock Incentive Plan</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329,880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9,913,011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6,181,336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9. Stock-based Compensation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2016 Stock Incentive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2022 and 2021, no</w:t>
      </w:r>
      <w:r>
        <w:rPr>
          <w:rFonts w:ascii="Times New Roman" w:hAnsi="Times New Roman"/>
          <w:sz w:val="20"/>
        </w:rPr>
        <w:t xml:space="preserve"> </w:t>
      </w:r>
      <w:r>
        <w:rPr>
          <w:rFonts w:ascii="Times New Roman;serif" w:hAnsi="Times New Roman;serif"/>
          <w:b w:val="false"/>
          <w:sz w:val="20"/>
        </w:rPr>
        <w:t>shares remained available for future issuance under the 2016 Plan. Any options or other awards outstanding under the 2016 Plan remain outstanding and effective.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2019 Stock Incentive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w:t>
      </w:r>
      <w:r>
        <w:rPr>
          <w:rFonts w:ascii="Times New Roman" w:hAnsi="Times New Roman"/>
          <w:sz w:val="20"/>
        </w:rPr>
        <w:t xml:space="preserve"> </w:t>
      </w:r>
      <w:r>
        <w:rPr>
          <w:rFonts w:ascii="Times New Roman;serif" w:hAnsi="Times New Roman;serif"/>
          <w:b w:val="false"/>
          <w:sz w:val="20"/>
        </w:rPr>
        <w:t>shares, plus the shares of common stock remaining available for issuance under the 2016 Plan as of July 17, 2019. The number of shares reserved was annually increased on January 1, 2020 and will be increased each January 1 thereafter through January 1, 2029 by the least of (i) 2,000,000</w:t>
      </w:r>
      <w:r>
        <w:rPr>
          <w:rFonts w:ascii="Times New Roman" w:hAnsi="Times New Roman"/>
          <w:sz w:val="20"/>
        </w:rPr>
        <w:t xml:space="preserve"> </w:t>
      </w:r>
      <w:r>
        <w:rPr>
          <w:rFonts w:ascii="Times New Roman;serif" w:hAnsi="Times New Roman;serif"/>
          <w:b w:val="false"/>
          <w:sz w:val="20"/>
        </w:rPr>
        <w:t>shares, (ii) 4% of the number of shares of the Company’s common stock outstanding on the first day of each such year or (iii) an amount determined by the Company’s board of directors. As of December 31, 2022, there were 1,941,054</w:t>
      </w:r>
      <w:r>
        <w:rPr>
          <w:rFonts w:ascii="Times New Roman" w:hAnsi="Times New Roman"/>
          <w:sz w:val="20"/>
        </w:rPr>
        <w:t xml:space="preserve"> </w:t>
      </w:r>
      <w:r>
        <w:rPr>
          <w:rFonts w:ascii="Times New Roman;serif" w:hAnsi="Times New Roman;serif"/>
          <w:b w:val="false"/>
          <w:sz w:val="20"/>
        </w:rPr>
        <w:t>shares available for future issuance under the 2019 Plan. On January 1, 2023, the number of shares reserved for issuance under the 2019 Plan was increased by 2,000,000</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pStyle w:val="TextBody"/>
        <w:bidi w:val="0"/>
        <w:spacing w:before="360" w:after="0"/>
        <w:jc w:val="left"/>
        <w:rPr>
          <w:rFonts w:ascii="Times New Roman" w:hAnsi="Times New Roman"/>
          <w:sz w:val="20"/>
        </w:rPr>
      </w:pPr>
      <w:r>
        <w:rPr>
          <w:rFonts w:ascii="Times New Roman;serif" w:hAnsi="Times New Roman;serif"/>
          <w:b/>
          <w:i/>
          <w:sz w:val="20"/>
        </w:rPr>
        <w:t>2022 Inducement Stock Incentive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w:t>
      </w:r>
      <w:r>
        <w:rPr>
          <w:rFonts w:ascii="Times New Roman" w:hAnsi="Times New Roman"/>
          <w:sz w:val="20"/>
        </w:rPr>
        <w:t xml:space="preserve"> </w:t>
      </w:r>
      <w:r>
        <w:rPr>
          <w:rFonts w:ascii="Times New Roman;serif" w:hAnsi="Times New Roman;serif"/>
          <w:b w:val="false"/>
          <w:sz w:val="20"/>
        </w:rPr>
        <w:t>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As of December 31, 2022, there were 329,880</w:t>
      </w:r>
      <w:r>
        <w:rPr>
          <w:rFonts w:ascii="Times New Roman" w:hAnsi="Times New Roman"/>
          <w:sz w:val="20"/>
        </w:rPr>
        <w:t xml:space="preserve"> </w:t>
      </w:r>
      <w:r>
        <w:rPr>
          <w:rFonts w:ascii="Times New Roman;serif" w:hAnsi="Times New Roman;serif"/>
          <w:b w:val="false"/>
          <w:sz w:val="20"/>
        </w:rPr>
        <w:t>shares available for future issuance under the Inducement Plan. Effective March 8, 2023, the Company's board of directors amended the Inducement Plan to increase the number of shares reserved for issuance by 2,000,000</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Restricted Stock Awards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may repurchase unvested restricted stock awards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pStyle w:val="TextBody"/>
        <w:bidi w:val="0"/>
        <w:spacing w:before="240" w:after="0"/>
        <w:jc w:val="left"/>
        <w:rPr>
          <w:rFonts w:ascii="Times New Roman" w:hAnsi="Times New Roman"/>
          <w:sz w:val="20"/>
        </w:rPr>
      </w:pPr>
      <w:r>
        <w:rPr>
          <w:rFonts w:ascii="Times New Roman;serif" w:hAnsi="Times New Roman;serif"/>
          <w:b w:val="false"/>
          <w:sz w:val="20"/>
        </w:rPr>
        <w:t>The shares of common stock underlying restricted stock awards typically vest over a four-year</w:t>
      </w:r>
      <w:r>
        <w:rPr>
          <w:rFonts w:ascii="Times New Roman" w:hAnsi="Times New Roman"/>
          <w:sz w:val="20"/>
        </w:rPr>
        <w:t xml:space="preserve"> </w:t>
      </w:r>
      <w:r>
        <w:rPr>
          <w:rFonts w:ascii="Times New Roman;serif" w:hAnsi="Times New Roman;serif"/>
          <w:b w:val="false"/>
          <w:sz w:val="20"/>
        </w:rPr>
        <w:t>period. The shares of common stock are recorded in stockholders’ equity as they vest.</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summarizes the Company’s restricted stock award activity during the year ended December 31, 2022:</w:t>
      </w:r>
      <w:r>
        <w:rPr>
          <w:rFonts w:ascii="Times New Roman" w:hAnsi="Times New Roman"/>
          <w:sz w:val="20"/>
        </w:rPr>
        <w:t xml:space="preserve"> </w:t>
      </w:r>
    </w:p>
    <w:p>
      <w:pPr>
        <w:pStyle w:val="TextBody"/>
        <w:bidi w:val="0"/>
        <w:spacing w:before="0" w:after="0"/>
        <w:jc w:val="left"/>
        <w:rPr/>
      </w:pPr>
      <w:r>
        <w:rPr/>
        <w:t> </w:t>
      </w:r>
    </w:p>
    <w:tbl>
      <w:tblPr>
        <w:tblW w:w="5650" w:type="dxa"/>
        <w:jc w:val="left"/>
        <w:tblInd w:w="0" w:type="dxa"/>
        <w:tblLayout w:type="fixed"/>
        <w:tblCellMar>
          <w:top w:w="28" w:type="dxa"/>
          <w:left w:w="28" w:type="dxa"/>
          <w:bottom w:w="28" w:type="dxa"/>
          <w:right w:w="28" w:type="dxa"/>
        </w:tblCellMar>
      </w:tblPr>
      <w:tblGrid>
        <w:gridCol w:w="2701"/>
        <w:gridCol w:w="146"/>
        <w:gridCol w:w="146"/>
        <w:gridCol w:w="739"/>
        <w:gridCol w:w="166"/>
        <w:gridCol w:w="146"/>
        <w:gridCol w:w="378"/>
        <w:gridCol w:w="837"/>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 Grant</w:t>
              <w:br/>
              <w:t>Date Fair</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Stock Options</w:t>
      </w:r>
    </w:p>
    <w:p>
      <w:pPr>
        <w:pStyle w:val="TextBody"/>
        <w:bidi w:val="0"/>
        <w:spacing w:before="240" w:after="0"/>
        <w:jc w:val="left"/>
        <w:rPr>
          <w:rFonts w:ascii="Times New Roman" w:hAnsi="Times New Roman"/>
          <w:sz w:val="20"/>
        </w:rPr>
      </w:pPr>
      <w:r>
        <w:rPr>
          <w:rFonts w:ascii="Times New Roman;serif" w:hAnsi="Times New Roman;serif"/>
          <w:b w:val="false"/>
          <w:sz w:val="20"/>
        </w:rPr>
        <w:t>Stock options granted by the Company typically vest over a four year</w:t>
      </w:r>
      <w:r>
        <w:rPr>
          <w:rFonts w:ascii="Times New Roman" w:hAnsi="Times New Roman"/>
          <w:sz w:val="20"/>
        </w:rPr>
        <w:t xml:space="preserve"> </w:t>
      </w:r>
      <w:r>
        <w:rPr>
          <w:rFonts w:ascii="Times New Roman;serif" w:hAnsi="Times New Roman;serif"/>
          <w:b w:val="false"/>
          <w:sz w:val="20"/>
        </w:rPr>
        <w:t>period and have a ten year</w:t>
      </w:r>
      <w:r>
        <w:rPr>
          <w:rFonts w:ascii="Times New Roman" w:hAnsi="Times New Roman"/>
          <w:sz w:val="20"/>
        </w:rPr>
        <w:t xml:space="preserve"> </w:t>
      </w:r>
      <w:r>
        <w:rPr>
          <w:rFonts w:ascii="Times New Roman;serif" w:hAnsi="Times New Roman;serif"/>
          <w:b w:val="false"/>
          <w:sz w:val="20"/>
        </w:rPr>
        <w:t xml:space="preserve">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year ended December 31, 2022: </w:t>
      </w:r>
    </w:p>
    <w:p>
      <w:pPr>
        <w:pStyle w:val="TextBody"/>
        <w:bidi w:val="0"/>
        <w:spacing w:before="0" w:after="0"/>
        <w:jc w:val="left"/>
        <w:rPr/>
      </w:pPr>
      <w:r>
        <w:rPr/>
        <w:t> </w:t>
      </w:r>
    </w:p>
    <w:p>
      <w:pPr>
        <w:pStyle w:val="TextBody"/>
        <w:bidi w:val="0"/>
        <w:spacing w:before="0" w:after="0"/>
        <w:jc w:val="left"/>
        <w:rPr/>
      </w:pPr>
      <w:r>
        <w:rPr/>
        <w:t> </w:t>
      </w:r>
    </w:p>
    <w:tbl>
      <w:tblPr>
        <w:tblW w:w="8874" w:type="dxa"/>
        <w:jc w:val="left"/>
        <w:tblInd w:w="0" w:type="dxa"/>
        <w:tblLayout w:type="fixed"/>
        <w:tblCellMar>
          <w:top w:w="28" w:type="dxa"/>
          <w:left w:w="28" w:type="dxa"/>
          <w:bottom w:w="28" w:type="dxa"/>
          <w:right w:w="28" w:type="dxa"/>
        </w:tblCellMar>
      </w:tblPr>
      <w:tblGrid>
        <w:gridCol w:w="2941"/>
        <w:gridCol w:w="146"/>
        <w:gridCol w:w="146"/>
        <w:gridCol w:w="991"/>
        <w:gridCol w:w="166"/>
        <w:gridCol w:w="146"/>
        <w:gridCol w:w="302"/>
        <w:gridCol w:w="823"/>
        <w:gridCol w:w="146"/>
        <w:gridCol w:w="146"/>
        <w:gridCol w:w="236"/>
        <w:gridCol w:w="755"/>
        <w:gridCol w:w="146"/>
        <w:gridCol w:w="146"/>
        <w:gridCol w:w="211"/>
        <w:gridCol w:w="1036"/>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5,188,354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27,082,052</w:t>
            </w:r>
          </w:p>
        </w:tc>
        <w:tc>
          <w:tcPr>
            <w:tcW w:w="391" w:type="dxa"/>
            <w:tcBorders/>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3,711,130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(381,661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(2,013,743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6,504,080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1,885,160</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2,116,037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98,187</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weighted average grant date fair value of stock options granted in the years ended December 31, 2022 and 2021</w:t>
      </w:r>
      <w:r>
        <w:rPr>
          <w:rFonts w:ascii="Times New Roman" w:hAnsi="Times New Roman"/>
          <w:sz w:val="20"/>
        </w:rPr>
        <w:t xml:space="preserve"> </w:t>
      </w:r>
      <w:r>
        <w:rPr>
          <w:rFonts w:ascii="Times New Roman;serif" w:hAnsi="Times New Roman;serif"/>
          <w:b w:val="false"/>
          <w:sz w:val="20"/>
        </w:rPr>
        <w:t>was $7.62</w:t>
      </w:r>
      <w:r>
        <w:rPr>
          <w:rFonts w:ascii="Times New Roman" w:hAnsi="Times New Roman"/>
          <w:sz w:val="20"/>
        </w:rPr>
        <w:t xml:space="preserve"> </w:t>
      </w:r>
      <w:r>
        <w:rPr>
          <w:rFonts w:ascii="Times New Roman;serif" w:hAnsi="Times New Roman;serif"/>
          <w:b w:val="false"/>
          <w:sz w:val="20"/>
        </w:rPr>
        <w:t>per share and $11.37</w:t>
      </w:r>
      <w:r>
        <w:rPr>
          <w:rFonts w:ascii="Times New Roman" w:hAnsi="Times New Roman"/>
          <w:sz w:val="20"/>
        </w:rPr>
        <w:t xml:space="preserve"> </w:t>
      </w:r>
      <w:r>
        <w:rPr>
          <w:rFonts w:ascii="Times New Roman;serif" w:hAnsi="Times New Roman;serif"/>
          <w:b w:val="false"/>
          <w:sz w:val="20"/>
        </w:rPr>
        <w:t>per share, respectively. The total intrinsic value of stock options exercised in the years ended December 31, 2022 and 2021</w:t>
      </w:r>
      <w:r>
        <w:rPr>
          <w:rFonts w:ascii="Times New Roman" w:hAnsi="Times New Roman"/>
          <w:sz w:val="20"/>
        </w:rPr>
        <w:t xml:space="preserve"> </w:t>
      </w:r>
      <w:r>
        <w:rPr>
          <w:rFonts w:ascii="Times New Roman;serif" w:hAnsi="Times New Roman;serif"/>
          <w:b w:val="false"/>
          <w:sz w:val="20"/>
        </w:rPr>
        <w:t>was $2.6</w:t>
      </w:r>
      <w:r>
        <w:rPr>
          <w:rFonts w:ascii="Times New Roman" w:hAnsi="Times New Roman"/>
          <w:sz w:val="20"/>
        </w:rPr>
        <w:t xml:space="preserve"> </w:t>
      </w:r>
      <w:r>
        <w:rPr>
          <w:rFonts w:ascii="Times New Roman;serif" w:hAnsi="Times New Roman;serif"/>
          <w:b w:val="false"/>
          <w:sz w:val="20"/>
        </w:rPr>
        <w:t>million and $3.5</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fair value of stock options granted during the years ended December 31, 2022 and 2021 has been calculated on the date of grant using the following weighted average assumptions:</w:t>
      </w:r>
      <w:r>
        <w:rPr>
          <w:rFonts w:ascii="Times New Roman" w:hAnsi="Times New Roman"/>
          <w:sz w:val="20"/>
        </w:rPr>
        <w:t xml:space="preserve"> </w:t>
      </w:r>
    </w:p>
    <w:p>
      <w:pPr>
        <w:pStyle w:val="TextBody"/>
        <w:bidi w:val="0"/>
        <w:spacing w:before="0" w:after="0"/>
        <w:jc w:val="left"/>
        <w:rPr/>
      </w:pPr>
      <w:r>
        <w:rPr/>
        <w:t> </w:t>
      </w:r>
    </w:p>
    <w:tbl>
      <w:tblPr>
        <w:tblW w:w="6505" w:type="dxa"/>
        <w:jc w:val="left"/>
        <w:tblInd w:w="0" w:type="dxa"/>
        <w:tblLayout w:type="fixed"/>
        <w:tblCellMar>
          <w:top w:w="28" w:type="dxa"/>
          <w:left w:w="28" w:type="dxa"/>
          <w:bottom w:w="28" w:type="dxa"/>
          <w:right w:w="28" w:type="dxa"/>
        </w:tblCellMar>
      </w:tblPr>
      <w:tblGrid>
        <w:gridCol w:w="2626"/>
        <w:gridCol w:w="146"/>
        <w:gridCol w:w="357"/>
        <w:gridCol w:w="1143"/>
        <w:gridCol w:w="271"/>
        <w:gridCol w:w="146"/>
        <w:gridCol w:w="357"/>
        <w:gridCol w:w="1143"/>
        <w:gridCol w:w="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w:t>
              <w:br/>
              <w:t>Ended</w:t>
              <w:br/>
              <w:t>December 31, 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w:t>
              <w:br/>
              <w:t>Ended</w:t>
              <w:br/>
              <w:t>December 31, 2021</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16"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stock price volatility</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Restricted Stock Units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also granted restricted stock units. The shares of common stock underlying restricted stock units typically vest over a four-year period. The shares of common stock are recorded in stockholders’ equity as they vest.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summarizes the Company’s restricted stock unit activity during the year ended December 31, 2022:</w:t>
      </w:r>
      <w:r>
        <w:rPr>
          <w:rFonts w:ascii="Times New Roman" w:hAnsi="Times New Roman"/>
          <w:sz w:val="20"/>
        </w:rPr>
        <w:t xml:space="preserve"> </w:t>
      </w:r>
    </w:p>
    <w:p>
      <w:pPr>
        <w:pStyle w:val="TextBody"/>
        <w:bidi w:val="0"/>
        <w:spacing w:before="0" w:after="0"/>
        <w:jc w:val="left"/>
        <w:rPr/>
      </w:pPr>
      <w:r>
        <w:rPr/>
        <w:t> </w:t>
      </w:r>
    </w:p>
    <w:tbl>
      <w:tblPr>
        <w:tblW w:w="5692" w:type="dxa"/>
        <w:jc w:val="left"/>
        <w:tblInd w:w="0" w:type="dxa"/>
        <w:tblLayout w:type="fixed"/>
        <w:tblCellMar>
          <w:top w:w="28" w:type="dxa"/>
          <w:left w:w="28" w:type="dxa"/>
          <w:bottom w:w="28" w:type="dxa"/>
          <w:right w:w="28" w:type="dxa"/>
        </w:tblCellMar>
      </w:tblPr>
      <w:tblGrid>
        <w:gridCol w:w="2701"/>
        <w:gridCol w:w="146"/>
        <w:gridCol w:w="146"/>
        <w:gridCol w:w="781"/>
        <w:gridCol w:w="166"/>
        <w:gridCol w:w="146"/>
        <w:gridCol w:w="326"/>
        <w:gridCol w:w="889"/>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 Grant</w:t>
              <w:br/>
              <w:t>Date Fair</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10.09</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aggregate intrinsic value of all restricted stock units and restricted stock awards that vested during the years ended December 31, 2022 and 2021 was $0.2</w:t>
      </w:r>
      <w:r>
        <w:rPr>
          <w:rFonts w:ascii="Times New Roman" w:hAnsi="Times New Roman"/>
          <w:sz w:val="20"/>
        </w:rPr>
        <w:t xml:space="preserve"> </w:t>
      </w:r>
      <w:r>
        <w:rPr>
          <w:rFonts w:ascii="Times New Roman;serif" w:hAnsi="Times New Roman;serif"/>
          <w:b w:val="false"/>
          <w:sz w:val="20"/>
        </w:rPr>
        <w:t>million and $1.5</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Stock-based Compensation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total compensation cost recognized in the statements of operations and comprehensive loss associated with all stock-based compensation awards granted by the Company is as follows (in thousands):</w:t>
      </w:r>
      <w:r>
        <w:rPr>
          <w:rFonts w:ascii="Times New Roman" w:hAnsi="Times New Roman"/>
          <w:sz w:val="20"/>
        </w:rPr>
        <w:t xml:space="preserve"> </w:t>
      </w:r>
    </w:p>
    <w:p>
      <w:pPr>
        <w:pStyle w:val="TextBody"/>
        <w:bidi w:val="0"/>
        <w:spacing w:before="0" w:after="0"/>
        <w:jc w:val="left"/>
        <w:rPr/>
      </w:pPr>
      <w:r>
        <w:rPr/>
        <w:t> </w:t>
      </w:r>
    </w:p>
    <w:tbl>
      <w:tblPr>
        <w:tblW w:w="5854"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6,614</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11,070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December 31, 2022, the Company had an aggregate of $32.0</w:t>
      </w:r>
      <w:r>
        <w:rPr>
          <w:rFonts w:ascii="Times New Roman" w:hAnsi="Times New Roman"/>
          <w:sz w:val="20"/>
        </w:rPr>
        <w:t xml:space="preserve"> </w:t>
      </w:r>
      <w:r>
        <w:rPr>
          <w:rFonts w:ascii="Times New Roman;serif" w:hAnsi="Times New Roman;serif"/>
          <w:b w:val="false"/>
          <w:sz w:val="20"/>
        </w:rPr>
        <w:t>million of unrecognized stock-based compensation expense, which is expected to be recognized over a weighted average period of 2.86</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2019 Employee Stock Purchase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July 2, 2019, the Company’s stockholders approved the 2019 Employee Stock Purchase Plan (the “ESPP”), which became effective on July 17, 2019. A total of 252,142</w:t>
      </w:r>
      <w:r>
        <w:rPr>
          <w:rFonts w:ascii="Times New Roman" w:hAnsi="Times New Roman"/>
          <w:sz w:val="20"/>
        </w:rPr>
        <w:t xml:space="preserve"> </w:t>
      </w:r>
      <w:r>
        <w:rPr>
          <w:rFonts w:ascii="Times New Roman;serif" w:hAnsi="Times New Roman;serif"/>
          <w:b w:val="false"/>
          <w:sz w:val="20"/>
        </w:rPr>
        <w:t>shares of common stock were initially reserved for issuance under the ESPP. In addition, the number of shares of common stock reserved under the ESPP was annually increased on January 1, 2020, and will be increased on each January 1 thereafter through January 1, 2029, by the least of (i) 428,571</w:t>
      </w:r>
      <w:r>
        <w:rPr>
          <w:rFonts w:ascii="Times New Roman" w:hAnsi="Times New Roman"/>
          <w:sz w:val="20"/>
        </w:rPr>
        <w:t xml:space="preserve"> </w:t>
      </w:r>
      <w:r>
        <w:rPr>
          <w:rFonts w:ascii="Times New Roman;serif" w:hAnsi="Times New Roman;serif"/>
          <w:b w:val="false"/>
          <w:sz w:val="20"/>
        </w:rPr>
        <w:t>shares of common stock, (ii) 1% of the number of shares of the Company’s common stock outstanding on the first day of each such year or (iii) an amount determined by the Company’s board of directors. As of December 31, 2022, there were 1,061,279</w:t>
      </w:r>
      <w:r>
        <w:rPr>
          <w:rFonts w:ascii="Times New Roman" w:hAnsi="Times New Roman"/>
          <w:sz w:val="20"/>
        </w:rPr>
        <w:t xml:space="preserve"> </w:t>
      </w:r>
      <w:r>
        <w:rPr>
          <w:rFonts w:ascii="Times New Roman;serif" w:hAnsi="Times New Roman;serif"/>
          <w:b w:val="false"/>
          <w:sz w:val="20"/>
        </w:rPr>
        <w:t>shares available for future issuance under the ESPP. On January 1, 2023, the number of shares reserved for issuance under the 2019 ESPP was increased by 428,571</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10. Collaboration and License Agreements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Acceleron Collaboration Agreement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pStyle w:val="TextBody"/>
        <w:bidi w:val="0"/>
        <w:spacing w:before="240" w:after="0"/>
        <w:jc w:val="left"/>
        <w:rPr>
          <w:rFonts w:ascii="Times New Roman" w:hAnsi="Times New Roman"/>
          <w:sz w:val="20"/>
        </w:rPr>
      </w:pPr>
      <w:r>
        <w:rPr>
          <w:rFonts w:ascii="Times New Roman;serif" w:hAnsi="Times New Roman;serif"/>
          <w:b w:val="false"/>
          <w:sz w:val="20"/>
        </w:rPr>
        <w:t>On June 3, 2022, Acceleron notified the Company of its termination of the Acceleron Collaboration Agreement for convenience, which became effective 120 days after the Company's receipt of the notice, or October 1, 2022.</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a mutually agreed research plan, the Company was responsible for performing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delivered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had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Acceleron did not designate any Targets prior to the notice of termination from Acceleron.</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received a non-refundable upfront payment of $10.0</w:t>
      </w:r>
      <w:r>
        <w:rPr>
          <w:rFonts w:ascii="Times New Roman" w:hAnsi="Times New Roman"/>
          <w:sz w:val="20"/>
        </w:rPr>
        <w:t xml:space="preserve"> </w:t>
      </w:r>
      <w:r>
        <w:rPr>
          <w:rFonts w:ascii="Times New Roman;serif" w:hAnsi="Times New Roman;serif"/>
          <w:b w:val="false"/>
          <w:sz w:val="20"/>
        </w:rPr>
        <w:t>million in December 2019 upon the execution of the Acceleron Collaboration Agreement. The Company was entitled to research milestone payments of up to $18.5</w:t>
      </w:r>
      <w:r>
        <w:rPr>
          <w:rFonts w:ascii="Times New Roman" w:hAnsi="Times New Roman"/>
          <w:sz w:val="20"/>
        </w:rPr>
        <w:t xml:space="preserve"> </w:t>
      </w:r>
      <w:r>
        <w:rPr>
          <w:rFonts w:ascii="Times New Roman;serif" w:hAnsi="Times New Roman;serif"/>
          <w:b w:val="false"/>
          <w:sz w:val="20"/>
        </w:rPr>
        <w:t>million in the aggregate upon achievement of specified research milestones, development milestone payments of up to $202.5</w:t>
      </w:r>
      <w:r>
        <w:rPr>
          <w:rFonts w:ascii="Times New Roman" w:hAnsi="Times New Roman"/>
          <w:sz w:val="20"/>
        </w:rPr>
        <w:t xml:space="preserve"> </w:t>
      </w:r>
      <w:r>
        <w:rPr>
          <w:rFonts w:ascii="Times New Roman;serif" w:hAnsi="Times New Roman;serif"/>
          <w:b w:val="false"/>
          <w:sz w:val="20"/>
        </w:rPr>
        <w:t>million in the aggregate upon achievement of specified clinical and regulatory milestones, and sales milestones payments of up to $217.5</w:t>
      </w:r>
      <w:r>
        <w:rPr>
          <w:rFonts w:ascii="Times New Roman" w:hAnsi="Times New Roman"/>
          <w:sz w:val="20"/>
        </w:rPr>
        <w:t xml:space="preserve"> </w:t>
      </w:r>
      <w:r>
        <w:rPr>
          <w:rFonts w:ascii="Times New Roman;serif" w:hAnsi="Times New Roman;serif"/>
          <w:b w:val="false"/>
          <w:sz w:val="20"/>
        </w:rPr>
        <w:t>million in the aggregate upon the achievement of certain aggregate annual worldwide net sales milestones for certain products directed to a Target that have achieved such milestones. Prior to the notice of termination from Acceleron, the Company achieved $2.0</w:t>
      </w:r>
      <w:r>
        <w:rPr>
          <w:rFonts w:ascii="Times New Roman" w:hAnsi="Times New Roman"/>
          <w:sz w:val="20"/>
        </w:rPr>
        <w:t xml:space="preserve"> </w:t>
      </w:r>
      <w:r>
        <w:rPr>
          <w:rFonts w:ascii="Times New Roman;serif" w:hAnsi="Times New Roman;serif"/>
          <w:b w:val="false"/>
          <w:sz w:val="20"/>
        </w:rPr>
        <w:t>million of specified research milestones. In addition, the Company was entitled to tiered royalties ranging from a mid single-digit percentage to a low double-digit percentage</w:t>
      </w:r>
      <w:r>
        <w:rPr>
          <w:rFonts w:ascii="Times New Roman" w:hAnsi="Times New Roman"/>
          <w:sz w:val="20"/>
        </w:rPr>
        <w:t xml:space="preserve"> </w:t>
      </w:r>
      <w:r>
        <w:rPr>
          <w:rFonts w:ascii="Times New Roman;serif" w:hAnsi="Times New Roman;serif"/>
          <w:b w:val="false"/>
          <w:sz w:val="20"/>
        </w:rPr>
        <w:t>on Acceleron’s annual worldwide net sales of products directed to any Target, subject to reduction in specified circumstances. The Company was also entitled to receive reimbursement from Acceleron for research costs incurred under the research plan, including internal and external costs.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Accounting Analysis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Identification of the Contract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assessed the Acceleron Collaboration Agreement and concluded that it represents a contract with a customer within the scope of ASC 606.</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Identification of the Promises and Performance Obligations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determined that the Acceleron Collaboration Agreement contained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assessed the above promises and concluded that the License is not capable of being distinct from the Research Services given that the License has limited value without the performance of the Research Services and the Research Services could only be performed by the Company due to their specialized nature. Therefore, the Company concluded that the License and the Research Services represented a single combined performance obligation.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also assessed the participation on the JSC and concluded that the promise was quantitatively and qualitatively immaterial in the context of the Acceleron Collaboration Agreement. Accordingly, the Company disregarded its participation on the JSC as a performance obligation.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Determination of the Transaction Price</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received a non-refundable upfront payment of $10.0</w:t>
      </w:r>
      <w:r>
        <w:rPr>
          <w:rFonts w:ascii="Times New Roman" w:hAnsi="Times New Roman"/>
          <w:sz w:val="20"/>
        </w:rPr>
        <w:t xml:space="preserve"> </w:t>
      </w:r>
      <w:r>
        <w:rPr>
          <w:rFonts w:ascii="Times New Roman;serif" w:hAnsi="Times New Roman;serif"/>
          <w:b w:val="false"/>
          <w:sz w:val="20"/>
        </w:rPr>
        <w:t>million upon the execution of the Acceleron Collaboration Agreement, which the Company included in the transaction price. In December 2020, the Company achieved $2.0</w:t>
      </w:r>
      <w:r>
        <w:rPr>
          <w:rFonts w:ascii="Times New Roman" w:hAnsi="Times New Roman"/>
          <w:sz w:val="20"/>
        </w:rPr>
        <w:t xml:space="preserve"> </w:t>
      </w:r>
      <w:r>
        <w:rPr>
          <w:rFonts w:ascii="Times New Roman;serif" w:hAnsi="Times New Roman;serif"/>
          <w:b w:val="false"/>
          <w:sz w:val="20"/>
        </w:rPr>
        <w:t>million of specified research milestones associated with the Acceleron Collaboration Agreement, which the Company included in the transaction price. The Company has constrained the variable consideration associated with the unachieved milestone payments as of the date that the Company received notice of termination from Acceleron and has excluded the unachieved milestone payments from the transaction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also included in the transaction price the amount of costs to be reimbursed for the Research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Prior to the receipt of notice of termination from Acceleron, the Company reassessed the transaction price at the end of each reporting period and as uncertain events were resolved or other changes in circumstances occurred, and, if necessary, adjusted its estimate of the transaction price. There was no</w:t>
      </w:r>
      <w:r>
        <w:rPr>
          <w:rFonts w:ascii="Times New Roman" w:hAnsi="Times New Roman"/>
          <w:sz w:val="20"/>
        </w:rPr>
        <w:t xml:space="preserve"> </w:t>
      </w:r>
      <w:r>
        <w:rPr>
          <w:rFonts w:ascii="Times New Roman;serif" w:hAnsi="Times New Roman;serif"/>
          <w:b w:val="false"/>
          <w:sz w:val="20"/>
        </w:rPr>
        <w:t>change in the amount of variable consideration constrained during the year ended December 31, 2022.</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Allocation of the Transaction Price to Performance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noted above, the Company identified a single performance obligation associated with the Acceleron Collaboration Agreement. Therefore, the Company allocated the entire amount of the transaction price to the identified single performance obligation.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Recognition of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recognized revenue related to the Acceleron Collaboration Agreement over time as the Research Services are rendered. The Company concluded that an input method was a representative depiction of the transfer of services under the Acceleron Collaboration Agreement. Prior to the receipt of notice of termination from Acceleron, the method of measuring progress towards the delivery of the services incorporated actual cumulative internal and external costs incurred relative to total internal and external costs expected to be incurred to satisfy the performance obligation. The period over which total costs was estimated reflected the Company’s estimate of the period over which it would perform the Research Services. Changes in estimates of total internal and external costs expected to be incurred were recognized in the period of change as a cumulative catch-up adjustment.</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year ended December 31, 2022, the Company recognized $1.0</w:t>
      </w:r>
      <w:r>
        <w:rPr>
          <w:rFonts w:ascii="Times New Roman" w:hAnsi="Times New Roman"/>
          <w:sz w:val="20"/>
        </w:rPr>
        <w:t xml:space="preserve"> </w:t>
      </w:r>
      <w:r>
        <w:rPr>
          <w:rFonts w:ascii="Times New Roman;serif" w:hAnsi="Times New Roman;serif"/>
          <w:b w:val="false"/>
          <w:sz w:val="20"/>
        </w:rPr>
        <w:t>million of collaboration revenue associated with the Acceleron Collaboration Agreement, which includes $0.6</w:t>
      </w:r>
      <w:r>
        <w:rPr>
          <w:rFonts w:ascii="Times New Roman" w:hAnsi="Times New Roman"/>
          <w:sz w:val="20"/>
        </w:rPr>
        <w:t xml:space="preserve"> </w:t>
      </w:r>
      <w:r>
        <w:rPr>
          <w:rFonts w:ascii="Times New Roman;serif" w:hAnsi="Times New Roman;serif"/>
          <w:b w:val="false"/>
          <w:sz w:val="20"/>
        </w:rPr>
        <w:t>million of revenue recognized that was included in deferred revenue as of December 31, 2021. During the year ended December 31, 2021, the Company recognized $9.6</w:t>
      </w:r>
      <w:r>
        <w:rPr>
          <w:rFonts w:ascii="Times New Roman" w:hAnsi="Times New Roman"/>
          <w:sz w:val="20"/>
        </w:rPr>
        <w:t xml:space="preserve"> </w:t>
      </w:r>
      <w:r>
        <w:rPr>
          <w:rFonts w:ascii="Times New Roman;serif" w:hAnsi="Times New Roman;serif"/>
          <w:b w:val="false"/>
          <w:sz w:val="20"/>
        </w:rPr>
        <w:t>million of collaboration revenue associated with the Acceleron Collaboration Agreement, which includes $7.3</w:t>
      </w:r>
      <w:r>
        <w:rPr>
          <w:rFonts w:ascii="Times New Roman" w:hAnsi="Times New Roman"/>
          <w:sz w:val="20"/>
        </w:rPr>
        <w:t xml:space="preserve"> </w:t>
      </w:r>
      <w:r>
        <w:rPr>
          <w:rFonts w:ascii="Times New Roman;serif" w:hAnsi="Times New Roman;serif"/>
          <w:b w:val="false"/>
          <w:sz w:val="20"/>
        </w:rPr>
        <w:t>million of revenue recognized that was included in deferred revenue as of December 31, 2020. As of December 31, 2022 the Company recorded no deferred revenue associated with the Acceleron Collaboration Agreement. As of December 31, 2021</w:t>
      </w:r>
      <w:r>
        <w:rPr>
          <w:rFonts w:ascii="Times New Roman" w:hAnsi="Times New Roman"/>
          <w:sz w:val="20"/>
        </w:rPr>
        <w:t xml:space="preserve"> </w:t>
      </w:r>
      <w:r>
        <w:rPr>
          <w:rFonts w:ascii="Times New Roman;serif" w:hAnsi="Times New Roman;serif"/>
          <w:b w:val="false"/>
          <w:sz w:val="20"/>
        </w:rPr>
        <w:t>the Company recorded deferred revenue associated with the Acceleron Collaboration Agreement of $0.6</w:t>
      </w:r>
      <w:r>
        <w:rPr>
          <w:rFonts w:ascii="Times New Roman" w:hAnsi="Times New Roman"/>
          <w:sz w:val="20"/>
        </w:rPr>
        <w:t xml:space="preserve"> </w:t>
      </w:r>
      <w:r>
        <w:rPr>
          <w:rFonts w:ascii="Times New Roman;serif" w:hAnsi="Times New Roman;serif"/>
          <w:b w:val="false"/>
          <w:sz w:val="20"/>
        </w:rPr>
        <w:t>million, which was classified as either current or net of current portion in the accompanying consolidated balance sheets based on the period over which the revenue was expected to be recognized. The aggregate deferred revenue balance represents the aggregate amount of the transaction price allocated to the performance obligations that were unsatisfied as of December 31, 2021. As of December 31, 2022, the Company had received $4.9</w:t>
      </w:r>
      <w:r>
        <w:rPr>
          <w:rFonts w:ascii="Times New Roman" w:hAnsi="Times New Roman"/>
          <w:sz w:val="20"/>
        </w:rPr>
        <w:t xml:space="preserve"> </w:t>
      </w:r>
      <w:r>
        <w:rPr>
          <w:rFonts w:ascii="Times New Roman;serif" w:hAnsi="Times New Roman;serif"/>
          <w:b w:val="false"/>
          <w:sz w:val="20"/>
        </w:rPr>
        <w:t>million of cost reimbursement payments under the Acceleron Collaboration Agreement and $2.0</w:t>
      </w:r>
      <w:r>
        <w:rPr>
          <w:rFonts w:ascii="Times New Roman" w:hAnsi="Times New Roman"/>
          <w:sz w:val="20"/>
        </w:rPr>
        <w:t xml:space="preserve"> </w:t>
      </w:r>
      <w:r>
        <w:rPr>
          <w:rFonts w:ascii="Times New Roman;serif" w:hAnsi="Times New Roman;serif"/>
          <w:b w:val="false"/>
          <w:sz w:val="20"/>
        </w:rPr>
        <w:t>million associated with the achievement of specified research milestones. As of December 31, 2021, the Company had received $3.9</w:t>
      </w:r>
      <w:r>
        <w:rPr>
          <w:rFonts w:ascii="Times New Roman" w:hAnsi="Times New Roman"/>
          <w:sz w:val="20"/>
        </w:rPr>
        <w:t xml:space="preserve"> </w:t>
      </w:r>
      <w:r>
        <w:rPr>
          <w:rFonts w:ascii="Times New Roman;serif" w:hAnsi="Times New Roman;serif"/>
          <w:b w:val="false"/>
          <w:sz w:val="20"/>
        </w:rPr>
        <w:t>million of cost reimbursement payments under the Acceleron Collaboration Agreement and $2.0</w:t>
      </w:r>
      <w:r>
        <w:rPr>
          <w:rFonts w:ascii="Times New Roman" w:hAnsi="Times New Roman"/>
          <w:sz w:val="20"/>
        </w:rPr>
        <w:t xml:space="preserve"> </w:t>
      </w:r>
      <w:r>
        <w:rPr>
          <w:rFonts w:ascii="Times New Roman;serif" w:hAnsi="Times New Roman;serif"/>
          <w:b w:val="false"/>
          <w:sz w:val="20"/>
        </w:rPr>
        <w:t>million associated with the achievement of specified research milestones. As of December 31, 2022, the Company recorded no</w:t>
      </w:r>
      <w:r>
        <w:rPr>
          <w:rFonts w:ascii="Times New Roman" w:hAnsi="Times New Roman"/>
          <w:sz w:val="20"/>
        </w:rPr>
        <w:t xml:space="preserve"> </w:t>
      </w:r>
      <w:r>
        <w:rPr>
          <w:rFonts w:ascii="Times New Roman;serif" w:hAnsi="Times New Roman;serif"/>
          <w:b w:val="false"/>
          <w:sz w:val="20"/>
        </w:rPr>
        <w:t>unbilled accounts receivable related to reimbursable research and development costs under the Acceleron Collaboration Agreement. As of December 31, 2021, the Company recorded unbilled accounts receivable of $0.7</w:t>
      </w:r>
      <w:r>
        <w:rPr>
          <w:rFonts w:ascii="Times New Roman" w:hAnsi="Times New Roman"/>
          <w:sz w:val="20"/>
        </w:rPr>
        <w:t xml:space="preserve"> </w:t>
      </w:r>
      <w:r>
        <w:rPr>
          <w:rFonts w:ascii="Times New Roman;serif" w:hAnsi="Times New Roman;serif"/>
          <w:b w:val="false"/>
          <w:sz w:val="20"/>
        </w:rPr>
        <w:t>million related to reimbursable research and development costs under the Acceleron Collaboration Agreement for activities performed during the three months ended December 31, 2021. As of December 31, 2022</w:t>
      </w:r>
      <w:r>
        <w:rPr>
          <w:rFonts w:ascii="Times New Roman" w:hAnsi="Times New Roman"/>
          <w:sz w:val="20"/>
        </w:rPr>
        <w:t xml:space="preserve"> </w:t>
      </w:r>
      <w:r>
        <w:rPr>
          <w:rFonts w:ascii="Times New Roman;serif" w:hAnsi="Times New Roman;serif"/>
          <w:b w:val="false"/>
          <w:sz w:val="20"/>
        </w:rPr>
        <w:t>and 2021, the Company had recorded no</w:t>
      </w:r>
      <w:r>
        <w:rPr>
          <w:rFonts w:ascii="Times New Roman" w:hAnsi="Times New Roman"/>
          <w:sz w:val="20"/>
        </w:rPr>
        <w:t xml:space="preserve"> </w:t>
      </w:r>
      <w:r>
        <w:rPr>
          <w:rFonts w:ascii="Times New Roman;serif" w:hAnsi="Times New Roman;serif"/>
          <w:b w:val="false"/>
          <w:sz w:val="20"/>
        </w:rPr>
        <w:t>accounts receivable under the Acceleron Collaboration Agreement.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MyoKardia Collaboration Agreement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MyoKardia Collaboration Agreement, MyoKardia made a $10.0</w:t>
      </w:r>
      <w:r>
        <w:rPr>
          <w:rFonts w:ascii="Times New Roman" w:hAnsi="Times New Roman"/>
          <w:sz w:val="20"/>
        </w:rPr>
        <w:t xml:space="preserve"> </w:t>
      </w:r>
      <w:r>
        <w:rPr>
          <w:rFonts w:ascii="Times New Roman;serif" w:hAnsi="Times New Roman;serif"/>
          <w:b w:val="false"/>
          <w:sz w:val="20"/>
        </w:rPr>
        <w:t>million upfront payment and a $2.5</w:t>
      </w:r>
      <w:r>
        <w:rPr>
          <w:rFonts w:ascii="Times New Roman" w:hAnsi="Times New Roman"/>
          <w:sz w:val="20"/>
        </w:rPr>
        <w:t xml:space="preserve"> </w:t>
      </w:r>
      <w:r>
        <w:rPr>
          <w:rFonts w:ascii="Times New Roman;serif" w:hAnsi="Times New Roman;serif"/>
          <w:b w:val="false"/>
          <w:sz w:val="20"/>
        </w:rPr>
        <w:t>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w:t>
      </w:r>
      <w:r>
        <w:rPr>
          <w:rFonts w:ascii="Times New Roman" w:hAnsi="Times New Roman"/>
          <w:sz w:val="20"/>
        </w:rPr>
        <w:t xml:space="preserve"> </w:t>
      </w:r>
      <w:r>
        <w:rPr>
          <w:rFonts w:ascii="Times New Roman;serif" w:hAnsi="Times New Roman;serif"/>
          <w:b w:val="false"/>
          <w:sz w:val="20"/>
        </w:rPr>
        <w:t>million in the aggregate per target for certain Identified Targets, and of up to $150.0</w:t>
      </w:r>
      <w:r>
        <w:rPr>
          <w:rFonts w:ascii="Times New Roman" w:hAnsi="Times New Roman"/>
          <w:sz w:val="20"/>
        </w:rPr>
        <w:t xml:space="preserve"> </w:t>
      </w:r>
      <w:r>
        <w:rPr>
          <w:rFonts w:ascii="Times New Roman;serif" w:hAnsi="Times New Roman;serif"/>
          <w:b w:val="false"/>
          <w:sz w:val="20"/>
        </w:rPr>
        <w:t>million in the aggregate per target for certain other Identified Targets. To date, the Company has achieved a $2.5</w:t>
      </w:r>
      <w:r>
        <w:rPr>
          <w:rFonts w:ascii="Times New Roman" w:hAnsi="Times New Roman"/>
          <w:sz w:val="20"/>
        </w:rPr>
        <w:t xml:space="preserve"> </w:t>
      </w:r>
      <w:r>
        <w:rPr>
          <w:rFonts w:ascii="Times New Roman;serif" w:hAnsi="Times New Roman;serif"/>
          <w:b w:val="false"/>
          <w:sz w:val="20"/>
        </w:rPr>
        <w:t>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Accounting Analysis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Identification of the Contract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assessed the MyoKardia Collaboration Agreement and concluded that it represents a contract with a customer within the scope of ASC 606.</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Identification of the Promises and Performance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Determination of the Transaction Price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received a non-refundable upfront payment of $10.0</w:t>
      </w:r>
      <w:r>
        <w:rPr>
          <w:rFonts w:ascii="Times New Roman" w:hAnsi="Times New Roman"/>
          <w:sz w:val="20"/>
        </w:rPr>
        <w:t xml:space="preserve"> </w:t>
      </w:r>
      <w:r>
        <w:rPr>
          <w:rFonts w:ascii="Times New Roman;serif" w:hAnsi="Times New Roman;serif"/>
          <w:b w:val="false"/>
          <w:sz w:val="20"/>
        </w:rPr>
        <w:t>million, which the Company included in the transaction price. In December 2021, the Company achieved a $2.5</w:t>
      </w:r>
      <w:r>
        <w:rPr>
          <w:rFonts w:ascii="Times New Roman" w:hAnsi="Times New Roman"/>
          <w:sz w:val="20"/>
        </w:rPr>
        <w:t xml:space="preserve"> </w:t>
      </w:r>
      <w:r>
        <w:rPr>
          <w:rFonts w:ascii="Times New Roman;serif" w:hAnsi="Times New Roman;serif"/>
          <w:b w:val="false"/>
          <w:sz w:val="20"/>
        </w:rPr>
        <w:t>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also included in the transaction price the expected amount of costs to be reimbursed for the MyoKardia Research Services, which includes the $2.5</w:t>
      </w:r>
      <w:r>
        <w:rPr>
          <w:rFonts w:ascii="Times New Roman" w:hAnsi="Times New Roman"/>
          <w:sz w:val="20"/>
        </w:rPr>
        <w:t xml:space="preserve"> </w:t>
      </w:r>
      <w:r>
        <w:rPr>
          <w:rFonts w:ascii="Times New Roman;serif" w:hAnsi="Times New Roman;serif"/>
          <w:b w:val="false"/>
          <w:sz w:val="20"/>
        </w:rPr>
        <w:t>million prepaid research funding payment that the Company received in the third quarter of 2020.</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year ended December 31,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Allocation of the Transaction Price to Performance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Recognition of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year ended December 31, 2022, the Company recognized $5.3</w:t>
      </w:r>
      <w:r>
        <w:rPr>
          <w:rFonts w:ascii="Times New Roman" w:hAnsi="Times New Roman"/>
          <w:sz w:val="20"/>
        </w:rPr>
        <w:t xml:space="preserve"> </w:t>
      </w:r>
      <w:r>
        <w:rPr>
          <w:rFonts w:ascii="Times New Roman;serif" w:hAnsi="Times New Roman;serif"/>
          <w:b w:val="false"/>
          <w:sz w:val="20"/>
        </w:rPr>
        <w:t>million of collaboration revenue associated with the MyoKardia Collaboration Agreement, which includes $3.2</w:t>
      </w:r>
      <w:r>
        <w:rPr>
          <w:rFonts w:ascii="Times New Roman" w:hAnsi="Times New Roman"/>
          <w:sz w:val="20"/>
        </w:rPr>
        <w:t xml:space="preserve"> </w:t>
      </w:r>
      <w:r>
        <w:rPr>
          <w:rFonts w:ascii="Times New Roman;serif" w:hAnsi="Times New Roman;serif"/>
          <w:b w:val="false"/>
          <w:sz w:val="20"/>
        </w:rPr>
        <w:t>million of revenue recognized that was included in deferred revenue as of December 31, 2021. During the year ended December 31, 2021, the Company recognized $9.6</w:t>
      </w:r>
      <w:r>
        <w:rPr>
          <w:rFonts w:ascii="Times New Roman" w:hAnsi="Times New Roman"/>
          <w:sz w:val="20"/>
        </w:rPr>
        <w:t xml:space="preserve"> </w:t>
      </w:r>
      <w:r>
        <w:rPr>
          <w:rFonts w:ascii="Times New Roman;serif" w:hAnsi="Times New Roman;serif"/>
          <w:b w:val="false"/>
          <w:sz w:val="20"/>
        </w:rPr>
        <w:t>million of collaboration revenue associated with the MyoKardia Collaboration Agreement, which includes $6.7</w:t>
      </w:r>
      <w:r>
        <w:rPr>
          <w:rFonts w:ascii="Times New Roman" w:hAnsi="Times New Roman"/>
          <w:sz w:val="20"/>
        </w:rPr>
        <w:t xml:space="preserve"> </w:t>
      </w:r>
      <w:r>
        <w:rPr>
          <w:rFonts w:ascii="Times New Roman;serif" w:hAnsi="Times New Roman;serif"/>
          <w:b w:val="false"/>
          <w:sz w:val="20"/>
        </w:rPr>
        <w:t>million of revenue recognized that was included in deferred revenue as of December 31, 2021</w:t>
      </w:r>
      <w:r>
        <w:rPr>
          <w:rFonts w:ascii="Times New Roman" w:hAnsi="Times New Roman"/>
          <w:sz w:val="20"/>
        </w:rPr>
        <w:t xml:space="preserve"> </w:t>
      </w:r>
      <w:r>
        <w:rPr>
          <w:rFonts w:ascii="Times New Roman;serif" w:hAnsi="Times New Roman;serif"/>
          <w:b w:val="false"/>
          <w:sz w:val="20"/>
        </w:rPr>
        <w:t>and a cumulative catch-up adjustment of $1.7</w:t>
      </w:r>
      <w:r>
        <w:rPr>
          <w:rFonts w:ascii="Times New Roman" w:hAnsi="Times New Roman"/>
          <w:sz w:val="20"/>
        </w:rPr>
        <w:t xml:space="preserve"> </w:t>
      </w:r>
      <w:r>
        <w:rPr>
          <w:rFonts w:ascii="Times New Roman;serif" w:hAnsi="Times New Roman;serif"/>
          <w:b w:val="false"/>
          <w:sz w:val="20"/>
        </w:rPr>
        <w:t>million attributable to the removal of the constraint associated with the $2.5</w:t>
      </w:r>
      <w:r>
        <w:rPr>
          <w:rFonts w:ascii="Times New Roman" w:hAnsi="Times New Roman"/>
          <w:sz w:val="20"/>
        </w:rPr>
        <w:t xml:space="preserve"> </w:t>
      </w:r>
      <w:r>
        <w:rPr>
          <w:rFonts w:ascii="Times New Roman;serif" w:hAnsi="Times New Roman;serif"/>
          <w:b w:val="false"/>
          <w:sz w:val="20"/>
        </w:rPr>
        <w:t>million preclinical milestone achieved in December 2021. As of December 31, 2022 and 2021, the Company recorded deferred revenue of $0.9</w:t>
      </w:r>
      <w:r>
        <w:rPr>
          <w:rFonts w:ascii="Times New Roman" w:hAnsi="Times New Roman"/>
          <w:sz w:val="20"/>
        </w:rPr>
        <w:t xml:space="preserve"> </w:t>
      </w:r>
      <w:r>
        <w:rPr>
          <w:rFonts w:ascii="Times New Roman;serif" w:hAnsi="Times New Roman;serif"/>
          <w:b w:val="false"/>
          <w:sz w:val="20"/>
        </w:rPr>
        <w:t>million and $4.1</w:t>
      </w:r>
      <w:r>
        <w:rPr>
          <w:rFonts w:ascii="Times New Roman" w:hAnsi="Times New Roman"/>
          <w:sz w:val="20"/>
        </w:rPr>
        <w:t xml:space="preserve"> </w:t>
      </w:r>
      <w:r>
        <w:rPr>
          <w:rFonts w:ascii="Times New Roman;serif" w:hAnsi="Times New Roman;serif"/>
          <w:b w:val="false"/>
          <w:sz w:val="20"/>
        </w:rPr>
        <w:t>million, respectively,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December 31, 2022 and 2021. As of December 31, 2022, the Company had received $5.6</w:t>
      </w:r>
      <w:r>
        <w:rPr>
          <w:rFonts w:ascii="Times New Roman" w:hAnsi="Times New Roman"/>
          <w:sz w:val="20"/>
        </w:rPr>
        <w:t xml:space="preserve"> </w:t>
      </w:r>
      <w:r>
        <w:rPr>
          <w:rFonts w:ascii="Times New Roman;serif" w:hAnsi="Times New Roman;serif"/>
          <w:b w:val="false"/>
          <w:sz w:val="20"/>
        </w:rPr>
        <w:t>million of cost reimbursement payments under the MyoKardia Collaboration Agreement and $2.5</w:t>
      </w:r>
      <w:r>
        <w:rPr>
          <w:rFonts w:ascii="Times New Roman" w:hAnsi="Times New Roman"/>
          <w:sz w:val="20"/>
        </w:rPr>
        <w:t xml:space="preserve"> </w:t>
      </w:r>
      <w:r>
        <w:rPr>
          <w:rFonts w:ascii="Times New Roman;serif" w:hAnsi="Times New Roman;serif"/>
          <w:b w:val="false"/>
          <w:sz w:val="20"/>
        </w:rPr>
        <w:t>million associated with the achievement of a preclinical milestone. As of December 31, 2021, the Company had received $3.2</w:t>
      </w:r>
      <w:r>
        <w:rPr>
          <w:rFonts w:ascii="Times New Roman" w:hAnsi="Times New Roman"/>
          <w:sz w:val="20"/>
        </w:rPr>
        <w:t xml:space="preserve"> </w:t>
      </w:r>
      <w:r>
        <w:rPr>
          <w:rFonts w:ascii="Times New Roman;serif" w:hAnsi="Times New Roman;serif"/>
          <w:b w:val="false"/>
          <w:sz w:val="20"/>
        </w:rPr>
        <w:t>million of cost reimbursement payments under the MyoKardia Collaboration Agreement and no milestone or royalty payments. As of December 31, 2022, the Company recorded unbilled accounts receivable of $0.2</w:t>
      </w:r>
      <w:r>
        <w:rPr>
          <w:rFonts w:ascii="Times New Roman" w:hAnsi="Times New Roman"/>
          <w:sz w:val="20"/>
        </w:rPr>
        <w:t xml:space="preserve"> </w:t>
      </w:r>
      <w:r>
        <w:rPr>
          <w:rFonts w:ascii="Times New Roman;serif" w:hAnsi="Times New Roman;serif"/>
          <w:b w:val="false"/>
          <w:sz w:val="20"/>
        </w:rPr>
        <w:t>million related to reimbursable research and development costs under the MyoKardia Collaboration Agreement for activities performed during the three months ended December 31, 2022. As of December 31, 2021, the Company recorded unbilled accounts receivable of $0.5</w:t>
      </w:r>
      <w:r>
        <w:rPr>
          <w:rFonts w:ascii="Times New Roman" w:hAnsi="Times New Roman"/>
          <w:sz w:val="20"/>
        </w:rPr>
        <w:t xml:space="preserve"> </w:t>
      </w:r>
      <w:r>
        <w:rPr>
          <w:rFonts w:ascii="Times New Roman;serif" w:hAnsi="Times New Roman;serif"/>
          <w:b w:val="false"/>
          <w:sz w:val="20"/>
        </w:rPr>
        <w:t>million related to reimbursable research and development costs under the MyoKardia Collaboration Agreement for activities performed during the three months ended December 31, 2021. As of December 31, 2022, the Company recorded no</w:t>
      </w:r>
      <w:r>
        <w:rPr>
          <w:rFonts w:ascii="Times New Roman" w:hAnsi="Times New Roman"/>
          <w:sz w:val="20"/>
        </w:rPr>
        <w:t xml:space="preserve"> </w:t>
      </w:r>
      <w:r>
        <w:rPr>
          <w:rFonts w:ascii="Times New Roman;serif" w:hAnsi="Times New Roman;serif"/>
          <w:b w:val="false"/>
          <w:sz w:val="20"/>
        </w:rPr>
        <w:t>accounts receivable under the MyoKardia Collaboration Agreement. As of December 31, 2021, the Company recorded accounts receivable of $2.5</w:t>
      </w:r>
      <w:r>
        <w:rPr>
          <w:rFonts w:ascii="Times New Roman" w:hAnsi="Times New Roman"/>
          <w:sz w:val="20"/>
        </w:rPr>
        <w:t xml:space="preserve"> </w:t>
      </w:r>
      <w:r>
        <w:rPr>
          <w:rFonts w:ascii="Times New Roman;serif" w:hAnsi="Times New Roman;serif"/>
          <w:b w:val="false"/>
          <w:sz w:val="20"/>
        </w:rPr>
        <w:t>million under the MyoKardia Collaboration Agreement associated with the achievement of a preclinical milestone in December 2021.</w:t>
      </w:r>
    </w:p>
    <w:p>
      <w:pPr>
        <w:pStyle w:val="TextBody"/>
        <w:bidi w:val="0"/>
        <w:spacing w:before="360" w:after="0"/>
        <w:jc w:val="left"/>
        <w:rPr>
          <w:rFonts w:ascii="Times New Roman;serif" w:hAnsi="Times New Roman;serif"/>
          <w:b/>
          <w:sz w:val="20"/>
        </w:rPr>
      </w:pPr>
      <w:r>
        <w:rPr>
          <w:rFonts w:ascii="Times New Roman;serif" w:hAnsi="Times New Roman;serif"/>
          <w:b/>
          <w:sz w:val="20"/>
        </w:rPr>
        <w:t>11. Right of Reference and License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GSK Agreement, the Company issued 12,500,000</w:t>
      </w:r>
      <w:r>
        <w:rPr>
          <w:rFonts w:ascii="Times New Roman" w:hAnsi="Times New Roman"/>
          <w:sz w:val="20"/>
        </w:rPr>
        <w:t xml:space="preserve"> </w:t>
      </w:r>
      <w:r>
        <w:rPr>
          <w:rFonts w:ascii="Times New Roman;serif" w:hAnsi="Times New Roman;serif"/>
          <w:b w:val="false"/>
          <w:sz w:val="20"/>
        </w:rPr>
        <w:t>shares of Series B Preferred Stock to GSK. In addition, the Company may owe GSK up to $37.5</w:t>
      </w:r>
      <w:r>
        <w:rPr>
          <w:rFonts w:ascii="Times New Roman" w:hAnsi="Times New Roman"/>
          <w:sz w:val="20"/>
        </w:rPr>
        <w:t xml:space="preserve"> </w:t>
      </w:r>
      <w:r>
        <w:rPr>
          <w:rFonts w:ascii="Times New Roman;serif" w:hAnsi="Times New Roman;serif"/>
          <w:b w:val="false"/>
          <w:sz w:val="20"/>
        </w:rPr>
        <w:t>million in certain specified clinical and regulatory milestones, including a $5.0</w:t>
      </w:r>
      <w:r>
        <w:rPr>
          <w:rFonts w:ascii="Times New Roman" w:hAnsi="Times New Roman"/>
          <w:sz w:val="20"/>
        </w:rPr>
        <w:t xml:space="preserve"> </w:t>
      </w:r>
      <w:r>
        <w:rPr>
          <w:rFonts w:ascii="Times New Roman;serif" w:hAnsi="Times New Roman;serif"/>
          <w:b w:val="false"/>
          <w:sz w:val="20"/>
        </w:rPr>
        <w:t>million milestone that was achieved and paid during the year ended December 31, 2022 and a $2.5</w:t>
      </w:r>
      <w:r>
        <w:rPr>
          <w:rFonts w:ascii="Times New Roman" w:hAnsi="Times New Roman"/>
          <w:sz w:val="20"/>
        </w:rPr>
        <w:t xml:space="preserve"> </w:t>
      </w:r>
      <w:r>
        <w:rPr>
          <w:rFonts w:ascii="Times New Roman;serif" w:hAnsi="Times New Roman;serif"/>
          <w:b w:val="false"/>
          <w:sz w:val="20"/>
        </w:rPr>
        <w:t>million milestone previously achieved and paid during 2019, and up to $60.0</w:t>
      </w:r>
      <w:r>
        <w:rPr>
          <w:rFonts w:ascii="Times New Roman" w:hAnsi="Times New Roman"/>
          <w:sz w:val="20"/>
        </w:rPr>
        <w:t xml:space="preserve"> </w:t>
      </w:r>
      <w:r>
        <w:rPr>
          <w:rFonts w:ascii="Times New Roman;serif" w:hAnsi="Times New Roman;serif"/>
          <w:b w:val="false"/>
          <w:sz w:val="20"/>
        </w:rPr>
        <w:t>million in certain specified sales milestones. The Company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achieved a $5.0</w:t>
      </w:r>
      <w:r>
        <w:rPr>
          <w:rFonts w:ascii="Times New Roman" w:hAnsi="Times New Roman"/>
          <w:sz w:val="20"/>
        </w:rPr>
        <w:t xml:space="preserve"> </w:t>
      </w:r>
      <w:r>
        <w:rPr>
          <w:rFonts w:ascii="Times New Roman;serif" w:hAnsi="Times New Roman;serif"/>
          <w:b w:val="false"/>
          <w:sz w:val="20"/>
        </w:rPr>
        <w:t>million milestone during the second quarter of 2022, which the Company recorded as research and development expense in the consolidated statement of operations and comprehensive loss for the year ended December 31,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12. Leases</w:t>
      </w:r>
    </w:p>
    <w:p>
      <w:pPr>
        <w:pStyle w:val="TextBody"/>
        <w:bidi w:val="0"/>
        <w:spacing w:before="120" w:after="0"/>
        <w:jc w:val="left"/>
        <w:rPr>
          <w:rFonts w:ascii="Times New Roman" w:hAnsi="Times New Roman"/>
          <w:sz w:val="20"/>
        </w:rPr>
      </w:pPr>
      <w:r>
        <w:rPr>
          <w:rFonts w:ascii="Times New Roman;serif" w:hAnsi="Times New Roman;serif"/>
          <w:b/>
          <w:i/>
          <w:sz w:val="20"/>
        </w:rPr>
        <w:t>Operating Leases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26 Landsdowne Street</w:t>
      </w:r>
    </w:p>
    <w:p>
      <w:pPr>
        <w:pStyle w:val="TextBody"/>
        <w:bidi w:val="0"/>
        <w:spacing w:before="240" w:after="0"/>
        <w:jc w:val="left"/>
        <w:rPr>
          <w:rFonts w:ascii="Times New Roman" w:hAnsi="Times New Roman"/>
          <w:sz w:val="20"/>
        </w:rPr>
      </w:pPr>
      <w:r>
        <w:rPr>
          <w:rFonts w:ascii="Times New Roman;serif" w:hAnsi="Times New Roman;serif"/>
          <w:b w:val="false"/>
          <w:sz w:val="20"/>
        </w:rPr>
        <w:t>In November 2017, the Company entered into a lease agreement for its current corporate headquarters comprising approximately 28,731</w:t>
      </w:r>
      <w:r>
        <w:rPr>
          <w:rFonts w:ascii="Times New Roman" w:hAnsi="Times New Roman"/>
          <w:sz w:val="20"/>
        </w:rPr>
        <w:t xml:space="preserve"> </w:t>
      </w:r>
      <w:r>
        <w:rPr>
          <w:rFonts w:ascii="Times New Roman;serif" w:hAnsi="Times New Roman;serif"/>
          <w:b w:val="false"/>
          <w:sz w:val="20"/>
        </w:rPr>
        <w:t>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w:t>
      </w:r>
      <w:r>
        <w:rPr>
          <w:rFonts w:ascii="Times New Roman;serif" w:hAnsi="Times New Roman;serif"/>
          <w:sz w:val="20"/>
        </w:rPr>
        <w:t xml:space="preserve"> </w:t>
      </w:r>
      <w:r>
        <w:rPr>
          <w:rFonts w:ascii="Times New Roman;serif" w:hAnsi="Times New Roman;serif"/>
          <w:b w:val="false"/>
          <w:sz w:val="20"/>
        </w:rPr>
        <w:t>period, at the market rate, by giving the landlord written notice of its election to exercise the extension at least nine months prior to the original expiration of the lease term. The lease has a total commitment of $25.1</w:t>
      </w:r>
      <w:r>
        <w:rPr>
          <w:rFonts w:ascii="Times New Roman" w:hAnsi="Times New Roman"/>
          <w:sz w:val="20"/>
        </w:rPr>
        <w:t xml:space="preserve"> </w:t>
      </w:r>
      <w:r>
        <w:rPr>
          <w:rFonts w:ascii="Times New Roman;serif" w:hAnsi="Times New Roman;serif"/>
          <w:b w:val="false"/>
          <w:sz w:val="20"/>
        </w:rPr>
        <w:t>million over the ten year</w:t>
      </w:r>
      <w:r>
        <w:rPr>
          <w:rFonts w:ascii="Times New Roman" w:hAnsi="Times New Roman"/>
          <w:sz w:val="20"/>
        </w:rPr>
        <w:t xml:space="preserve"> </w:t>
      </w:r>
      <w:r>
        <w:rPr>
          <w:rFonts w:ascii="Times New Roman;serif" w:hAnsi="Times New Roman;serif"/>
          <w:b w:val="false"/>
          <w:sz w:val="20"/>
        </w:rPr>
        <w:t>term, and includes escalating rent payments. The lease provides the Company with an allowance for normal leasehold improvements of $5.0</w:t>
      </w:r>
      <w:r>
        <w:rPr>
          <w:rFonts w:ascii="Times New Roman" w:hAnsi="Times New Roman"/>
          <w:sz w:val="20"/>
        </w:rPr>
        <w:t xml:space="preserve"> </w:t>
      </w:r>
      <w:r>
        <w:rPr>
          <w:rFonts w:ascii="Times New Roman;serif" w:hAnsi="Times New Roman;serif"/>
          <w:b w:val="false"/>
          <w:sz w:val="20"/>
        </w:rPr>
        <w:t>million. The lease agreement requires the Company to either pay a security deposit or maintain a letter of credit of $1.1</w:t>
      </w:r>
      <w:r>
        <w:rPr>
          <w:rFonts w:ascii="Times New Roman" w:hAnsi="Times New Roman"/>
          <w:sz w:val="20"/>
        </w:rPr>
        <w:t xml:space="preserve"> </w:t>
      </w:r>
      <w:r>
        <w:rPr>
          <w:rFonts w:ascii="Times New Roman;serif" w:hAnsi="Times New Roman;serif"/>
          <w:b w:val="false"/>
          <w:sz w:val="20"/>
        </w:rPr>
        <w:t>million. The Company maintains a letter of credit for this lease and has recorded the cash held to secure the letter of credit as restricted cash on the consolidated balance sheet as of December 31, 2022 and December 31, 2021.</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u w:val="single"/>
        </w:rPr>
      </w:pPr>
      <w:r>
        <w:rPr>
          <w:rFonts w:ascii="Times New Roman;serif" w:hAnsi="Times New Roman;serif"/>
          <w:b w:val="false"/>
          <w:i/>
          <w:sz w:val="20"/>
          <w:u w:val="single"/>
        </w:rPr>
        <w:t>Accounting Under ASU 2016-02, as Amended</w:t>
      </w:r>
    </w:p>
    <w:p>
      <w:pPr>
        <w:pStyle w:val="TextBody"/>
        <w:bidi w:val="0"/>
        <w:spacing w:before="240" w:after="0"/>
        <w:jc w:val="left"/>
        <w:rPr>
          <w:rFonts w:ascii="Times New Roman" w:hAnsi="Times New Roman"/>
          <w:sz w:val="20"/>
        </w:rPr>
      </w:pPr>
      <w:r>
        <w:rPr>
          <w:rFonts w:ascii="Times New Roman;serif" w:hAnsi="Times New Roman;serif"/>
          <w:b w:val="false"/>
          <w:sz w:val="20"/>
        </w:rPr>
        <w:t>As a result of the adoption of ASU 2016-02, as amended, on January 1, 2022, the Company recorded a right-of-use asset and a corresponding lease liability associated with the 26 Landsdowne Street lease on the consolidated balance sheet as of December 31, 2022. As there is no rate implicit in the 26 Landsdowne Street lease, the Company estimated its incremental borrowing</w:t>
      </w:r>
      <w:r>
        <w:rPr>
          <w:rFonts w:ascii="Times New Roman" w:hAnsi="Times New Roman"/>
          <w:sz w:val="20"/>
        </w:rPr>
        <w:t xml:space="preserve"> </w:t>
      </w:r>
      <w:r>
        <w:rPr>
          <w:rFonts w:ascii="Times New Roman;serif" w:hAnsi="Times New Roman;serif"/>
          <w:b w:val="false"/>
          <w:sz w:val="20"/>
        </w:rPr>
        <w:t>rate based upon a synthetic credit rating and yield curve analysis. Based upon this analysis, the Company calculated a discount rate of 6.1% for the lease. As of December 31, 2022, the remaining lease term was</w:t>
      </w:r>
      <w:r>
        <w:rPr>
          <w:rFonts w:ascii="Times New Roman" w:hAnsi="Times New Roman"/>
          <w:sz w:val="20"/>
        </w:rPr>
        <w:t xml:space="preserve"> </w:t>
      </w:r>
      <w:r>
        <w:rPr>
          <w:rFonts w:ascii="Times New Roman;serif" w:hAnsi="Times New Roman;serif"/>
          <w:b w:val="false"/>
          <w:sz w:val="20"/>
        </w:rPr>
        <w:t>5.5</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ASU 2016-02, as amended, operating lease expense and variable lease expense associated with this lease for the year ended December 31, 2022</w:t>
      </w:r>
      <w:r>
        <w:rPr>
          <w:rFonts w:ascii="Times New Roman" w:hAnsi="Times New Roman"/>
          <w:sz w:val="20"/>
        </w:rPr>
        <w:t xml:space="preserve"> </w:t>
      </w:r>
      <w:r>
        <w:rPr>
          <w:rFonts w:ascii="Times New Roman;serif" w:hAnsi="Times New Roman;serif"/>
          <w:b w:val="false"/>
          <w:sz w:val="20"/>
        </w:rPr>
        <w:t>was approximately $1.9</w:t>
      </w:r>
      <w:r>
        <w:rPr>
          <w:rFonts w:ascii="Times New Roman" w:hAnsi="Times New Roman"/>
          <w:sz w:val="20"/>
        </w:rPr>
        <w:t xml:space="preserve"> </w:t>
      </w:r>
      <w:r>
        <w:rPr>
          <w:rFonts w:ascii="Times New Roman;serif" w:hAnsi="Times New Roman;serif"/>
          <w:b w:val="false"/>
          <w:sz w:val="20"/>
        </w:rPr>
        <w:t>million and $1.0</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future minimum lease payments associated with the 26 Landsdowne Street lease as of December 31, 2022, are as follows (in thousands):</w:t>
      </w:r>
      <w:r>
        <w:rPr>
          <w:rFonts w:ascii="Times New Roman" w:hAnsi="Times New Roman"/>
          <w:sz w:val="20"/>
        </w:rPr>
        <w:t xml:space="preserve"> </w:t>
      </w:r>
    </w:p>
    <w:p>
      <w:pPr>
        <w:pStyle w:val="TextBody"/>
        <w:bidi w:val="0"/>
        <w:spacing w:before="0" w:after="0"/>
        <w:jc w:val="left"/>
        <w:rPr/>
      </w:pPr>
      <w:r>
        <w:rPr/>
        <w:t> </w:t>
      </w:r>
    </w:p>
    <w:tbl>
      <w:tblPr>
        <w:tblW w:w="3900" w:type="dxa"/>
        <w:jc w:val="left"/>
        <w:tblInd w:w="0" w:type="dxa"/>
        <w:tblLayout w:type="fixed"/>
        <w:tblCellMar>
          <w:top w:w="28" w:type="dxa"/>
          <w:left w:w="28" w:type="dxa"/>
          <w:bottom w:w="28" w:type="dxa"/>
          <w:right w:w="28" w:type="dxa"/>
        </w:tblCellMar>
      </w:tblPr>
      <w:tblGrid>
        <w:gridCol w:w="2656"/>
        <w:gridCol w:w="146"/>
        <w:gridCol w:w="211"/>
        <w:gridCol w:w="676"/>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2,497</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2,572</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2,649</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2,729</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14,684</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12,406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i/>
          <w:sz w:val="20"/>
          <w:u w:val="single"/>
        </w:rPr>
      </w:pPr>
      <w:r>
        <w:rPr>
          <w:rFonts w:ascii="Times New Roman;serif" w:hAnsi="Times New Roman;serif"/>
          <w:b w:val="false"/>
          <w:i/>
          <w:sz w:val="20"/>
          <w:u w:val="single"/>
        </w:rPr>
        <w:t>Accounting Under ASC 840</w:t>
      </w:r>
    </w:p>
    <w:p>
      <w:pPr>
        <w:pStyle w:val="TextBody"/>
        <w:bidi w:val="0"/>
        <w:spacing w:before="240" w:after="0"/>
        <w:jc w:val="left"/>
        <w:rPr>
          <w:rFonts w:ascii="Times New Roman" w:hAnsi="Times New Roman"/>
          <w:sz w:val="20"/>
        </w:rPr>
      </w:pPr>
      <w:r>
        <w:rPr>
          <w:rFonts w:ascii="Times New Roman;serif" w:hAnsi="Times New Roman;serif"/>
          <w:b w:val="false"/>
          <w:sz w:val="20"/>
        </w:rPr>
        <w:t>Prior to the adoption of ASU 2016-02, as amended, and pursuant to the legacy guidance within ASC 840, the Company recorded rent expense on a straight-line basis through the end of the lease term and also recorded deferred rent on the consolidated balance sheets. The Company recorded the leasehold improvement incentives as a deferred lease incentive on the consolidated balance sheets and amortized the deferred lease incentive through a reduction of rent expense ratably over the lease 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ASC 840, rent expense associated with this lease for the year ended December 31, 2021</w:t>
      </w:r>
      <w:r>
        <w:rPr>
          <w:rFonts w:ascii="Times New Roman" w:hAnsi="Times New Roman"/>
          <w:sz w:val="20"/>
        </w:rPr>
        <w:t xml:space="preserve"> </w:t>
      </w:r>
      <w:r>
        <w:rPr>
          <w:rFonts w:ascii="Times New Roman;serif" w:hAnsi="Times New Roman;serif"/>
          <w:b w:val="false"/>
          <w:sz w:val="20"/>
        </w:rPr>
        <w:t>was approximately $1.9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Under ASC 840, minimum rental commitments under non-cancelable leases for each of the next five years and total thereafter as of December 31, 2021, were as follows (in thousands):</w:t>
      </w:r>
    </w:p>
    <w:p>
      <w:pPr>
        <w:pStyle w:val="TextBody"/>
        <w:bidi w:val="0"/>
        <w:spacing w:before="0" w:after="0"/>
        <w:jc w:val="left"/>
        <w:rPr/>
      </w:pPr>
      <w:r>
        <w:rPr/>
        <w:t> </w:t>
      </w:r>
    </w:p>
    <w:tbl>
      <w:tblPr>
        <w:tblW w:w="3880" w:type="dxa"/>
        <w:jc w:val="left"/>
        <w:tblInd w:w="0" w:type="dxa"/>
        <w:tblLayout w:type="fixed"/>
        <w:tblCellMar>
          <w:top w:w="28" w:type="dxa"/>
          <w:left w:w="28" w:type="dxa"/>
          <w:bottom w:w="28" w:type="dxa"/>
          <w:right w:w="28" w:type="dxa"/>
        </w:tblCellMar>
      </w:tblPr>
      <w:tblGrid>
        <w:gridCol w:w="2656"/>
        <w:gridCol w:w="146"/>
        <w:gridCol w:w="211"/>
        <w:gridCol w:w="676"/>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2,424</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2,497</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2,572</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2,649</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2,729</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17,108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125 Sidney Street</w:t>
      </w:r>
    </w:p>
    <w:p>
      <w:pPr>
        <w:pStyle w:val="TextBody"/>
        <w:bidi w:val="0"/>
        <w:spacing w:before="240" w:after="0"/>
        <w:jc w:val="left"/>
        <w:rPr>
          <w:rFonts w:ascii="Times New Roman" w:hAnsi="Times New Roman"/>
          <w:sz w:val="20"/>
        </w:rPr>
      </w:pPr>
      <w:r>
        <w:rPr>
          <w:rFonts w:ascii="Times New Roman;serif" w:hAnsi="Times New Roman;serif"/>
          <w:b w:val="false"/>
          <w:sz w:val="20"/>
        </w:rPr>
        <w:t>In November 2021, the Company entered into a lease agreement comprising approximately 12,196</w:t>
      </w:r>
      <w:r>
        <w:rPr>
          <w:rFonts w:ascii="Times New Roman" w:hAnsi="Times New Roman"/>
          <w:sz w:val="20"/>
        </w:rPr>
        <w:t xml:space="preserve"> </w:t>
      </w:r>
      <w:r>
        <w:rPr>
          <w:rFonts w:ascii="Times New Roman;serif" w:hAnsi="Times New Roman;serif"/>
          <w:b w:val="false"/>
          <w:sz w:val="20"/>
        </w:rPr>
        <w:t>square feet of office space at 125 Sidney Street in Cambridge, Massachusetts, commencing November 2021. The Company began recognizing rent expense associated with this lease during November 2021. The lease ends on March 31, 2024. The Company has the option to extend the term of the lease for two successive one-year periods, at the market rate, by giving the landlord written notice of its election to exercise the extension at least nine months prior to the original expiration of the lease term. The lease has a total commitment of $1.7</w:t>
      </w:r>
      <w:r>
        <w:rPr>
          <w:rFonts w:ascii="Times New Roman" w:hAnsi="Times New Roman"/>
          <w:sz w:val="20"/>
        </w:rPr>
        <w:t xml:space="preserve"> </w:t>
      </w:r>
      <w:r>
        <w:rPr>
          <w:rFonts w:ascii="Times New Roman;serif" w:hAnsi="Times New Roman;serif"/>
          <w:b w:val="false"/>
          <w:sz w:val="20"/>
        </w:rPr>
        <w:t>million over the initial term, and includes escalating rent payments.</w:t>
      </w:r>
    </w:p>
    <w:p>
      <w:pPr>
        <w:pStyle w:val="TextBody"/>
        <w:bidi w:val="0"/>
        <w:spacing w:before="240" w:after="0"/>
        <w:jc w:val="left"/>
        <w:rPr>
          <w:rFonts w:ascii="Times New Roman;serif" w:hAnsi="Times New Roman;serif"/>
          <w:b w:val="false"/>
          <w:i/>
          <w:sz w:val="20"/>
          <w:u w:val="single"/>
        </w:rPr>
      </w:pPr>
      <w:r>
        <w:rPr>
          <w:rFonts w:ascii="Times New Roman;serif" w:hAnsi="Times New Roman;serif"/>
          <w:b w:val="false"/>
          <w:i/>
          <w:sz w:val="20"/>
          <w:u w:val="single"/>
        </w:rPr>
        <w:t>Accounting Under ASU 2016-02, as Amended</w:t>
      </w:r>
    </w:p>
    <w:p>
      <w:pPr>
        <w:pStyle w:val="TextBody"/>
        <w:bidi w:val="0"/>
        <w:spacing w:before="240" w:after="0"/>
        <w:jc w:val="left"/>
        <w:rPr>
          <w:rFonts w:ascii="Times New Roman" w:hAnsi="Times New Roman"/>
          <w:sz w:val="20"/>
        </w:rPr>
      </w:pPr>
      <w:r>
        <w:rPr>
          <w:rFonts w:ascii="Times New Roman;serif" w:hAnsi="Times New Roman;serif"/>
          <w:b w:val="false"/>
          <w:sz w:val="20"/>
        </w:rPr>
        <w:t>As a result of the adoption of ASU 2016-02, as amended, on January 1, 2022, the Company recorded a right-of-use asset and a corresponding lease liability associated with the 125 Sidney Street lease on the consolidated balance sheet as of December 31, 2022. As there is no rate implicit in the 125 Sidney Street lease, the Company estimated its incremental borrowing</w:t>
      </w:r>
      <w:r>
        <w:rPr>
          <w:rFonts w:ascii="Times New Roman" w:hAnsi="Times New Roman"/>
          <w:sz w:val="20"/>
        </w:rPr>
        <w:t xml:space="preserve"> </w:t>
      </w:r>
      <w:r>
        <w:rPr>
          <w:rFonts w:ascii="Times New Roman;serif" w:hAnsi="Times New Roman;serif"/>
          <w:b w:val="false"/>
          <w:sz w:val="20"/>
        </w:rPr>
        <w:t>rate based upon a synthetic credit rating and yield curve analysis. Based upon this analysis, the Company calculated a discount rate of 4.2% for the lease. As of December 31, 2022, the remaining lease term was 1.2</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ASU 2016-02, as amended, operating lease expense associated with this lease for the year ended December 31, 2022</w:t>
      </w:r>
      <w:r>
        <w:rPr>
          <w:rFonts w:ascii="Times New Roman" w:hAnsi="Times New Roman"/>
          <w:sz w:val="20"/>
        </w:rPr>
        <w:t xml:space="preserve"> </w:t>
      </w:r>
      <w:r>
        <w:rPr>
          <w:rFonts w:ascii="Times New Roman;serif" w:hAnsi="Times New Roman;serif"/>
          <w:b w:val="false"/>
          <w:sz w:val="20"/>
        </w:rPr>
        <w:t>was approximately $0.7</w:t>
      </w:r>
      <w:r>
        <w:rPr>
          <w:rFonts w:ascii="Times New Roman" w:hAnsi="Times New Roman"/>
          <w:sz w:val="20"/>
        </w:rPr>
        <w:t xml:space="preserve"> </w:t>
      </w:r>
      <w:r>
        <w:rPr>
          <w:rFonts w:ascii="Times New Roman;serif" w:hAnsi="Times New Roman;serif"/>
          <w:b w:val="false"/>
          <w:sz w:val="20"/>
        </w:rPr>
        <w:t>million. No</w:t>
      </w:r>
      <w:r>
        <w:rPr>
          <w:rFonts w:ascii="Times New Roman" w:hAnsi="Times New Roman"/>
          <w:sz w:val="20"/>
        </w:rPr>
        <w:t xml:space="preserve"> </w:t>
      </w:r>
      <w:r>
        <w:rPr>
          <w:rFonts w:ascii="Times New Roman;serif" w:hAnsi="Times New Roman;serif"/>
          <w:b w:val="false"/>
          <w:sz w:val="20"/>
        </w:rPr>
        <w:t>variable lease expense was recorded associated with this lease for the year ended December 31, 2022. The future minimum lease payments associated with this lease as of December 31, 2022, are as follows (in thousands):</w:t>
      </w:r>
      <w:r>
        <w:rPr>
          <w:rFonts w:ascii="Times New Roman" w:hAnsi="Times New Roman"/>
          <w:sz w:val="20"/>
        </w:rPr>
        <w:t xml:space="preserve"> </w:t>
      </w:r>
    </w:p>
    <w:p>
      <w:pPr>
        <w:pStyle w:val="TextBody"/>
        <w:bidi w:val="0"/>
        <w:spacing w:before="0" w:after="0"/>
        <w:jc w:val="left"/>
        <w:rPr/>
      </w:pPr>
      <w:r>
        <w:rPr/>
        <w:t> </w:t>
      </w:r>
    </w:p>
    <w:tbl>
      <w:tblPr>
        <w:tblW w:w="3795" w:type="dxa"/>
        <w:jc w:val="left"/>
        <w:tblInd w:w="0" w:type="dxa"/>
        <w:tblLayout w:type="fixed"/>
        <w:tblCellMar>
          <w:top w:w="28" w:type="dxa"/>
          <w:left w:w="28" w:type="dxa"/>
          <w:bottom w:w="28" w:type="dxa"/>
          <w:right w:w="28" w:type="dxa"/>
        </w:tblCellMar>
      </w:tblPr>
      <w:tblGrid>
        <w:gridCol w:w="2656"/>
        <w:gridCol w:w="146"/>
        <w:gridCol w:w="211"/>
        <w:gridCol w:w="57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i/>
          <w:sz w:val="20"/>
          <w:u w:val="single"/>
        </w:rPr>
      </w:pPr>
      <w:r>
        <w:rPr>
          <w:rFonts w:ascii="Times New Roman;serif" w:hAnsi="Times New Roman;serif"/>
          <w:b w:val="false"/>
          <w:i/>
          <w:sz w:val="20"/>
          <w:u w:val="single"/>
        </w:rPr>
        <w:t>Accounting Under ASC 840</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Prior to the adoption of ASU 2016-02, as amended, and pursuant to the legacy guidance within ASC 840, the Company recorded rent expense on a straight-line basis through the end of the lease term and also recorded deferred rent on the consolidated balance sheets.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ASC 840, rent expense associated with this lease for the year ended December 31, 2021</w:t>
      </w:r>
      <w:r>
        <w:rPr>
          <w:rFonts w:ascii="Times New Roman" w:hAnsi="Times New Roman"/>
          <w:sz w:val="20"/>
        </w:rPr>
        <w:t xml:space="preserve"> </w:t>
      </w:r>
      <w:r>
        <w:rPr>
          <w:rFonts w:ascii="Times New Roman;serif" w:hAnsi="Times New Roman;serif"/>
          <w:b w:val="false"/>
          <w:sz w:val="20"/>
        </w:rPr>
        <w:t>was approximately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Under ASC 840, minimum rental commitments under non-cancelable leases for each of the next five years and total thereafter as of December 31, 2021, were as follows (in thousands):</w:t>
      </w:r>
    </w:p>
    <w:p>
      <w:pPr>
        <w:pStyle w:val="TextBody"/>
        <w:bidi w:val="0"/>
        <w:spacing w:before="0" w:after="0"/>
        <w:jc w:val="left"/>
        <w:rPr/>
      </w:pPr>
      <w:r>
        <w:rPr/>
        <w:t> </w:t>
      </w:r>
    </w:p>
    <w:tbl>
      <w:tblPr>
        <w:tblW w:w="3775" w:type="dxa"/>
        <w:jc w:val="left"/>
        <w:tblInd w:w="0" w:type="dxa"/>
        <w:tblLayout w:type="fixed"/>
        <w:tblCellMar>
          <w:top w:w="28" w:type="dxa"/>
          <w:left w:w="28" w:type="dxa"/>
          <w:bottom w:w="28" w:type="dxa"/>
          <w:right w:w="28" w:type="dxa"/>
        </w:tblCellMar>
      </w:tblPr>
      <w:tblGrid>
        <w:gridCol w:w="2656"/>
        <w:gridCol w:w="146"/>
        <w:gridCol w:w="211"/>
        <w:gridCol w:w="571"/>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13. Commitments and Contingencies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Indemnification Agreements</w:t>
      </w:r>
    </w:p>
    <w:p>
      <w:pPr>
        <w:pStyle w:val="TextBody"/>
        <w:bidi w:val="0"/>
        <w:spacing w:before="240" w:after="0"/>
        <w:jc w:val="left"/>
        <w:rPr>
          <w:rFonts w:ascii="Times New Roman" w:hAnsi="Times New Roman"/>
          <w:sz w:val="20"/>
        </w:rPr>
      </w:pPr>
      <w:r>
        <w:rPr>
          <w:rFonts w:ascii="Times New Roman;serif" w:hAnsi="Times New Roman;serif"/>
          <w:b w:val="false"/>
          <w:sz w:val="20"/>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2022 or 2021.</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w:t>
      </w:r>
      <w:r>
        <w:rPr>
          <w:rFonts w:ascii="Times New Roman" w:hAnsi="Times New Roman"/>
          <w:sz w:val="20"/>
        </w:rPr>
        <w:t xml:space="preserve"> </w:t>
      </w:r>
      <w:r>
        <w:rPr>
          <w:rFonts w:ascii="Times New Roman;serif" w:hAnsi="Times New Roman;serif"/>
          <w:b w:val="false"/>
          <w:sz w:val="20"/>
        </w:rPr>
        <w:t>such costs have been incurred for the years ended December 31, 2022 and 2021.</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14. 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A reconciliation of the U.S. federal statutory income tax rate to the Company’s effective income tax rate is as follows:</w:t>
      </w:r>
      <w:r>
        <w:rPr>
          <w:rFonts w:ascii="Times New Roman" w:hAnsi="Times New Roman"/>
          <w:sz w:val="20"/>
        </w:rPr>
        <w:t xml:space="preserve"> </w:t>
      </w:r>
    </w:p>
    <w:p>
      <w:pPr>
        <w:pStyle w:val="TextBody"/>
        <w:bidi w:val="0"/>
        <w:spacing w:before="0" w:after="0"/>
        <w:jc w:val="left"/>
        <w:rPr/>
      </w:pPr>
      <w:r>
        <w:rPr/>
        <w:t> </w:t>
      </w:r>
    </w:p>
    <w:tbl>
      <w:tblPr>
        <w:tblW w:w="7300" w:type="dxa"/>
        <w:jc w:val="left"/>
        <w:tblInd w:w="0" w:type="dxa"/>
        <w:tblLayout w:type="fixed"/>
        <w:tblCellMar>
          <w:top w:w="28" w:type="dxa"/>
          <w:left w:w="28" w:type="dxa"/>
          <w:bottom w:w="28" w:type="dxa"/>
          <w:right w:w="28" w:type="dxa"/>
        </w:tblCellMar>
      </w:tblPr>
      <w:tblGrid>
        <w:gridCol w:w="4231"/>
        <w:gridCol w:w="146"/>
        <w:gridCol w:w="205"/>
        <w:gridCol w:w="890"/>
        <w:gridCol w:w="271"/>
        <w:gridCol w:w="146"/>
        <w:gridCol w:w="205"/>
        <w:gridCol w:w="890"/>
        <w:gridCol w:w="31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b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br/>
              <w:t>2021</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income tax at statutory rate</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Permanent differences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and state research and development credits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31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orphan drug credits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31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State income tax, net of federal benefit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31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Impact of ownership change</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valuation allowance</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(33.65</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income tax rate</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the years ended December 31, 2022 and 2021, the Company incurred book and tax losses and, because it maintains a full valuation allowance on its net deferred tax assets, did not recognize federal or state income tax expense or benefit.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deferred tax assets and liabilities consist of the following (in thousands):</w:t>
      </w:r>
      <w:r>
        <w:rPr>
          <w:rFonts w:ascii="Times New Roman" w:hAnsi="Times New Roman"/>
          <w:sz w:val="20"/>
        </w:rPr>
        <w:t xml:space="preserve"> </w:t>
      </w:r>
    </w:p>
    <w:p>
      <w:pPr>
        <w:pStyle w:val="TextBody"/>
        <w:bidi w:val="0"/>
        <w:spacing w:before="0" w:after="0"/>
        <w:jc w:val="left"/>
        <w:rPr/>
      </w:pPr>
      <w:r>
        <w:rPr/>
        <w:t> </w:t>
      </w:r>
    </w:p>
    <w:tbl>
      <w:tblPr>
        <w:tblW w:w="7000" w:type="dxa"/>
        <w:jc w:val="left"/>
        <w:tblInd w:w="0" w:type="dxa"/>
        <w:tblLayout w:type="fixed"/>
        <w:tblCellMar>
          <w:top w:w="28" w:type="dxa"/>
          <w:left w:w="28" w:type="dxa"/>
          <w:bottom w:w="28" w:type="dxa"/>
          <w:right w:w="28" w:type="dxa"/>
        </w:tblCellMar>
      </w:tblPr>
      <w:tblGrid>
        <w:gridCol w:w="3961"/>
        <w:gridCol w:w="146"/>
        <w:gridCol w:w="219"/>
        <w:gridCol w:w="876"/>
        <w:gridCol w:w="166"/>
        <w:gridCol w:w="146"/>
        <w:gridCol w:w="244"/>
        <w:gridCol w:w="851"/>
        <w:gridCol w:w="3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operating loss carryforwards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67,043</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Capitalized research and development costs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Orphan drug credit carryforwards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6,679</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credit carryforwards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8,774</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6,192</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4,537</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lease incentive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rent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deferred tax assets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132,698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95,589</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Valuation allowance</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(94,630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deferred tax assets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w:t>
            </w:r>
          </w:p>
        </w:tc>
        <w:tc>
          <w:tcPr>
            <w:tcW w:w="391"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liability</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deferred tax assets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2022 and 2021. The valuation allowance increased by $34.9</w:t>
      </w:r>
      <w:r>
        <w:rPr>
          <w:rFonts w:ascii="Times New Roman" w:hAnsi="Times New Roman"/>
          <w:sz w:val="20"/>
        </w:rPr>
        <w:t xml:space="preserve"> </w:t>
      </w:r>
      <w:r>
        <w:rPr>
          <w:rFonts w:ascii="Times New Roman;serif" w:hAnsi="Times New Roman;serif"/>
          <w:b w:val="false"/>
          <w:sz w:val="20"/>
        </w:rPr>
        <w:t>million during the year ended December 31, 2022, which is primarily attributable to increases in net operating loss carryforwards as a result of current year net losses, increases in capitalized research and development costs, and the generation of research and development and orphan drug tax credit carryforwards. The Company reevaluates the positive and negative evidence at each reporting period.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As of December 31, 2022, the Company had federal net operating loss carryforwards of approximately $275.1</w:t>
      </w:r>
      <w:r>
        <w:rPr>
          <w:rFonts w:ascii="Times New Roman" w:hAnsi="Times New Roman"/>
          <w:sz w:val="20"/>
        </w:rPr>
        <w:t xml:space="preserve"> </w:t>
      </w:r>
      <w:r>
        <w:rPr>
          <w:rFonts w:ascii="Times New Roman;serif" w:hAnsi="Times New Roman;serif"/>
          <w:b w:val="false"/>
          <w:sz w:val="20"/>
        </w:rPr>
        <w:t>million, a portion of</w:t>
      </w:r>
      <w:r>
        <w:rPr>
          <w:rFonts w:ascii="Times New Roman" w:hAnsi="Times New Roman"/>
          <w:sz w:val="20"/>
        </w:rPr>
        <w:t xml:space="preserve"> </w:t>
      </w:r>
      <w:r>
        <w:rPr>
          <w:rFonts w:ascii="Times New Roman;serif" w:hAnsi="Times New Roman;serif"/>
          <w:b w:val="false"/>
          <w:sz w:val="20"/>
        </w:rPr>
        <w:t>which begin to expire in 2036. Approximately $251.5</w:t>
      </w:r>
      <w:r>
        <w:rPr>
          <w:rFonts w:ascii="Times New Roman" w:hAnsi="Times New Roman"/>
          <w:sz w:val="20"/>
        </w:rPr>
        <w:t xml:space="preserve"> </w:t>
      </w:r>
      <w:r>
        <w:rPr>
          <w:rFonts w:ascii="Times New Roman;serif" w:hAnsi="Times New Roman;serif"/>
          <w:b w:val="false"/>
          <w:sz w:val="20"/>
        </w:rPr>
        <w:t>million of the federal net operating losses can be carried forward indefinitely. As of December 31, 2022, the Company also had state net operating loss carryforwards of approximately $272.6</w:t>
      </w:r>
      <w:r>
        <w:rPr>
          <w:rFonts w:ascii="Times New Roman" w:hAnsi="Times New Roman"/>
          <w:sz w:val="20"/>
        </w:rPr>
        <w:t xml:space="preserve"> </w:t>
      </w:r>
      <w:r>
        <w:rPr>
          <w:rFonts w:ascii="Times New Roman;serif" w:hAnsi="Times New Roman;serif"/>
          <w:b w:val="false"/>
          <w:sz w:val="20"/>
        </w:rPr>
        <w:t>million, which begin to expire in 2036.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December 31, 2022, the Company had federal orphan drug credits of approximately $14.6</w:t>
      </w:r>
      <w:r>
        <w:rPr>
          <w:rFonts w:ascii="Times New Roman" w:hAnsi="Times New Roman"/>
          <w:sz w:val="20"/>
        </w:rPr>
        <w:t xml:space="preserve"> </w:t>
      </w:r>
      <w:r>
        <w:rPr>
          <w:rFonts w:ascii="Times New Roman;serif" w:hAnsi="Times New Roman;serif"/>
          <w:b w:val="false"/>
          <w:sz w:val="20"/>
        </w:rPr>
        <w:t>million, which begin to expire in 2040. As of December 31, 2022, the Company had federal research and development tax credit carryforwards of approximately $6.9</w:t>
      </w:r>
      <w:r>
        <w:rPr>
          <w:rFonts w:ascii="Times New Roman" w:hAnsi="Times New Roman"/>
          <w:sz w:val="20"/>
        </w:rPr>
        <w:t xml:space="preserve"> </w:t>
      </w:r>
      <w:r>
        <w:rPr>
          <w:rFonts w:ascii="Times New Roman;serif" w:hAnsi="Times New Roman;serif"/>
          <w:b w:val="false"/>
          <w:sz w:val="20"/>
        </w:rPr>
        <w:t>million, which begin to expire in 2035. As of December 31, 2022, the Company also had state research and development tax credit carryforwards of approximately $4.0</w:t>
      </w:r>
      <w:r>
        <w:rPr>
          <w:rFonts w:ascii="Times New Roman" w:hAnsi="Times New Roman"/>
          <w:sz w:val="20"/>
        </w:rPr>
        <w:t xml:space="preserve"> </w:t>
      </w:r>
      <w:r>
        <w:rPr>
          <w:rFonts w:ascii="Times New Roman;serif" w:hAnsi="Times New Roman;serif"/>
          <w:b w:val="false"/>
          <w:sz w:val="20"/>
        </w:rPr>
        <w:t>million, which begin to expire in 2030.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conducted an analysis under Section 382 to determine if historical changes in ownership through December 31, 2021 would limit or otherwise restrict the Company's ability to utilize its pre-change net operating losses and research and development tax credit carryforwards to offset future taxable income. As a result of the analysis, the Company does not believe that there are any significant limitations on its ability to utilize its net operating losses and research and development tax credit carryforwards to offset future taxable income. The Company has not conducted a study to assess whether a change of control has occurred or whether there have been multiple changes of control since December 31, 2021. If the Company has experienced a change of control, as defined by Section 382, subsequent to December 31, 2021,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2022, the Company’s tax years are still open under statute from 2016</w:t>
      </w:r>
      <w:r>
        <w:rPr>
          <w:rFonts w:ascii="Times New Roman" w:hAnsi="Times New Roman"/>
          <w:sz w:val="20"/>
        </w:rPr>
        <w:t xml:space="preserve"> </w:t>
      </w:r>
      <w:r>
        <w:rPr>
          <w:rFonts w:ascii="Times New Roman;serif" w:hAnsi="Times New Roman;serif"/>
          <w:b w:val="false"/>
          <w:sz w:val="20"/>
        </w:rPr>
        <w:t>to the present.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It is the Company’s policy to include penalties and interest expense related to income taxes as a component of the provision for income taxes. As of December 31, 2022 and 2021, the Company had no</w:t>
      </w:r>
      <w:r>
        <w:rPr>
          <w:rFonts w:ascii="Times New Roman" w:hAnsi="Times New Roman"/>
          <w:sz w:val="20"/>
        </w:rPr>
        <w:t xml:space="preserve"> </w:t>
      </w:r>
      <w:r>
        <w:rPr>
          <w:rFonts w:ascii="Times New Roman;serif" w:hAnsi="Times New Roman;serif"/>
          <w:b w:val="false"/>
          <w:sz w:val="20"/>
        </w:rPr>
        <w:t>accrued interest or penalties related to uncertain tax positions and no</w:t>
      </w:r>
      <w:r>
        <w:rPr>
          <w:rFonts w:ascii="Times New Roman" w:hAnsi="Times New Roman"/>
          <w:sz w:val="20"/>
        </w:rPr>
        <w:t xml:space="preserve"> </w:t>
      </w:r>
      <w:r>
        <w:rPr>
          <w:rFonts w:ascii="Times New Roman;serif" w:hAnsi="Times New Roman;serif"/>
          <w:b w:val="false"/>
          <w:sz w:val="20"/>
        </w:rPr>
        <w:t>amounts have been recognized in the Company’s statements of operations. For the year ended December 31, 2022,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pStyle w:val="TextBody"/>
        <w:bidi w:val="0"/>
        <w:spacing w:before="360" w:after="0"/>
        <w:jc w:val="left"/>
        <w:rPr>
          <w:rFonts w:ascii="Times New Roman" w:hAnsi="Times New Roman"/>
          <w:sz w:val="20"/>
        </w:rPr>
      </w:pPr>
      <w:r>
        <w:rPr>
          <w:rFonts w:ascii="Times New Roman;serif" w:hAnsi="Times New Roman;serif"/>
          <w:b/>
          <w:sz w:val="20"/>
        </w:rPr>
        <w:t>15. Defined Contribution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 defined contribution savings plan under Section 401(k) of the Internal Revenue Code (the “401(k)</w:t>
      </w:r>
      <w:r>
        <w:rPr>
          <w:rFonts w:ascii="Times New Roman" w:hAnsi="Times New Roman"/>
          <w:sz w:val="20"/>
        </w:rPr>
        <w:t xml:space="preserve"> </w:t>
      </w:r>
      <w:r>
        <w:rPr>
          <w:rFonts w:ascii="Times New Roman;serif" w:hAnsi="Times New Roman;serif"/>
          <w:b w:val="false"/>
          <w:sz w:val="20"/>
        </w:rPr>
        <w:t>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$0.8</w:t>
      </w:r>
      <w:r>
        <w:rPr>
          <w:rFonts w:ascii="Times New Roman" w:hAnsi="Times New Roman"/>
          <w:sz w:val="20"/>
        </w:rPr>
        <w:t xml:space="preserve"> </w:t>
      </w:r>
      <w:r>
        <w:rPr>
          <w:rFonts w:ascii="Times New Roman;serif" w:hAnsi="Times New Roman;serif"/>
          <w:b w:val="false"/>
          <w:sz w:val="20"/>
        </w:rPr>
        <w:t>million in contributions to the 401(k) Plan for the year ended December 31, 2022. No</w:t>
      </w:r>
      <w:r>
        <w:rPr>
          <w:rFonts w:ascii="Times New Roman" w:hAnsi="Times New Roman"/>
          <w:sz w:val="20"/>
        </w:rPr>
        <w:t xml:space="preserve"> </w:t>
      </w:r>
      <w:r>
        <w:rPr>
          <w:rFonts w:ascii="Times New Roman;serif" w:hAnsi="Times New Roman;serif"/>
          <w:b w:val="false"/>
          <w:sz w:val="20"/>
        </w:rPr>
        <w:t>contributions were made to the 401(k) Plan for the year ended December 31, 2021.</w:t>
      </w:r>
    </w:p>
    <w:p>
      <w:pPr>
        <w:pStyle w:val="TextBody"/>
        <w:bidi w:val="0"/>
        <w:spacing w:before="360" w:after="0"/>
        <w:jc w:val="left"/>
        <w:rPr>
          <w:rFonts w:ascii="Times New Roman;serif" w:hAnsi="Times New Roman;serif"/>
          <w:b/>
          <w:sz w:val="20"/>
        </w:rPr>
      </w:pPr>
      <w:r>
        <w:rPr>
          <w:rFonts w:ascii="Times New Roman;serif" w:hAnsi="Times New Roman;serif"/>
          <w:b/>
          <w:sz w:val="20"/>
        </w:rPr>
        <w:t>16. Restructuring Activities</w:t>
      </w:r>
    </w:p>
    <w:p>
      <w:pPr>
        <w:pStyle w:val="TextBody"/>
        <w:bidi w:val="0"/>
        <w:spacing w:before="240" w:after="0"/>
        <w:jc w:val="left"/>
        <w:rPr>
          <w:rFonts w:ascii="Times New Roman" w:hAnsi="Times New Roman"/>
          <w:sz w:val="20"/>
        </w:rPr>
      </w:pPr>
      <w:r>
        <w:rPr>
          <w:rFonts w:ascii="Times New Roman;serif" w:hAnsi="Times New Roman;serif"/>
          <w:b w:val="false"/>
          <w:sz w:val="20"/>
        </w:rPr>
        <w:t>In August 2022, the Company announced the implementation of a strategic plan to realign internal investments and operations to prioritize the Company's two</w:t>
      </w:r>
      <w:r>
        <w:rPr>
          <w:rFonts w:ascii="Times New Roman" w:hAnsi="Times New Roman"/>
          <w:sz w:val="20"/>
        </w:rPr>
        <w:t xml:space="preserve"> </w:t>
      </w:r>
      <w:r>
        <w:rPr>
          <w:rFonts w:ascii="Times New Roman;serif" w:hAnsi="Times New Roman;serif"/>
          <w:b w:val="false"/>
          <w:sz w:val="20"/>
        </w:rPr>
        <w:t>clinical programs. In connection with this decision, the Company announced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workforce reduction of 25% of its planned headcount, which was completed in August 2022. During the year ended December 31, 2022,</w:t>
      </w:r>
      <w:r>
        <w:rPr>
          <w:rFonts w:ascii="Times New Roman" w:hAnsi="Times New Roman"/>
          <w:sz w:val="20"/>
        </w:rPr>
        <w:t xml:space="preserve"> </w:t>
      </w:r>
      <w:r>
        <w:rPr>
          <w:rFonts w:ascii="Times New Roman;serif" w:hAnsi="Times New Roman;serif"/>
          <w:b w:val="false"/>
          <w:sz w:val="20"/>
        </w:rPr>
        <w:t>the Company recorded aggregate restructuring charges of $0.4</w:t>
      </w:r>
      <w:r>
        <w:rPr>
          <w:rFonts w:ascii="Times New Roman" w:hAnsi="Times New Roman"/>
          <w:sz w:val="20"/>
        </w:rPr>
        <w:t xml:space="preserve"> </w:t>
      </w:r>
      <w:r>
        <w:rPr>
          <w:rFonts w:ascii="Times New Roman;serif" w:hAnsi="Times New Roman;serif"/>
          <w:b w:val="false"/>
          <w:sz w:val="20"/>
        </w:rPr>
        <w:t>million related to severance and other employee-related costs. The Company does not expect to incur any additional significant costs associated with this restructuring.</w:t>
      </w:r>
      <w:r>
        <w:rPr>
          <w:rFonts w:ascii="Times New Roman" w:hAnsi="Times New Roman"/>
          <w:sz w:val="20"/>
        </w:rPr>
        <w:t xml:space="preserve"> </w:t>
      </w:r>
      <w:r>
        <w:rPr>
          <w:rFonts w:ascii="Times New Roman;serif" w:hAnsi="Times New Roman;serif"/>
          <w:b w:val="false"/>
          <w:sz w:val="20"/>
        </w:rPr>
        <w:t>During the year ended December 31, 2022, the Company paid $0.4</w:t>
      </w:r>
      <w:r>
        <w:rPr>
          <w:rFonts w:ascii="Times New Roman;serif" w:hAnsi="Times New Roman;serif"/>
          <w:sz w:val="20"/>
        </w:rPr>
        <w:t xml:space="preserve"> </w:t>
      </w:r>
      <w:r>
        <w:rPr>
          <w:rFonts w:ascii="Times New Roman;serif" w:hAnsi="Times New Roman;serif"/>
          <w:b w:val="false"/>
          <w:sz w:val="20"/>
        </w:rPr>
        <w:t xml:space="preserve">million of the restructuring charges. </w:t>
      </w:r>
    </w:p>
    <w:p>
      <w:pPr>
        <w:pStyle w:val="TextBody"/>
        <w:bidi w:val="0"/>
        <w:spacing w:before="0" w:after="0"/>
        <w:jc w:val="left"/>
        <w:rPr/>
      </w:pPr>
      <w:r>
        <w:rPr/>
        <w:t> </w:t>
      </w:r>
    </w:p>
    <w:tbl>
      <w:tblPr>
        <w:tblW w:w="5740" w:type="dxa"/>
        <w:jc w:val="left"/>
        <w:tblInd w:w="0" w:type="dxa"/>
        <w:tblLayout w:type="fixed"/>
        <w:tblCellMar>
          <w:top w:w="28" w:type="dxa"/>
          <w:left w:w="28" w:type="dxa"/>
          <w:bottom w:w="28" w:type="dxa"/>
          <w:right w:w="28" w:type="dxa"/>
        </w:tblCellMar>
      </w:tblPr>
      <w:tblGrid>
        <w:gridCol w:w="4576"/>
        <w:gridCol w:w="146"/>
        <w:gridCol w:w="146"/>
        <w:gridCol w:w="481"/>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restructuring charges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charges incurred during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391" w:type="dxa"/>
            <w:tcBorders/>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Amounts paid during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restructuring charges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17. 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common stock equivalents were excluded from the calculation of diluted net loss per share for the periods indicated because including them would have had an anti-dilutive effect:</w:t>
      </w:r>
      <w:r>
        <w:rPr>
          <w:rFonts w:ascii="Times New Roman" w:hAnsi="Times New Roman"/>
          <w:sz w:val="20"/>
        </w:rPr>
        <w:t xml:space="preserve"> </w:t>
      </w:r>
    </w:p>
    <w:p>
      <w:pPr>
        <w:pStyle w:val="TextBody"/>
        <w:bidi w:val="0"/>
        <w:spacing w:before="0" w:after="0"/>
        <w:jc w:val="left"/>
        <w:rPr/>
      </w:pPr>
      <w:r>
        <w:rPr/>
        <w:t> </w:t>
      </w:r>
    </w:p>
    <w:tbl>
      <w:tblPr>
        <w:tblW w:w="5394" w:type="dxa"/>
        <w:jc w:val="left"/>
        <w:tblInd w:w="0" w:type="dxa"/>
        <w:tblLayout w:type="fixed"/>
        <w:tblCellMar>
          <w:top w:w="28" w:type="dxa"/>
          <w:left w:w="28" w:type="dxa"/>
          <w:bottom w:w="28" w:type="dxa"/>
          <w:right w:w="28" w:type="dxa"/>
        </w:tblCellMar>
      </w:tblPr>
      <w:tblGrid>
        <w:gridCol w:w="2611"/>
        <w:gridCol w:w="146"/>
        <w:gridCol w:w="146"/>
        <w:gridCol w:w="931"/>
        <w:gridCol w:w="146"/>
        <w:gridCol w:w="146"/>
        <w:gridCol w:w="146"/>
        <w:gridCol w:w="931"/>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6,504,080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5,188,354</w:t>
            </w:r>
          </w:p>
        </w:tc>
        <w:tc>
          <w:tcPr>
            <w:tcW w:w="1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6,580,798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5,198,528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EXHIBIT INDEX</w:t>
      </w:r>
    </w:p>
    <w:tbl>
      <w:tblPr>
        <w:tblW w:w="10205" w:type="dxa"/>
        <w:jc w:val="left"/>
        <w:tblInd w:w="0" w:type="dxa"/>
        <w:tblLayout w:type="fixed"/>
        <w:tblCellMar>
          <w:top w:w="28" w:type="dxa"/>
          <w:left w:w="28" w:type="dxa"/>
          <w:bottom w:w="28" w:type="dxa"/>
          <w:right w:w="28" w:type="dxa"/>
        </w:tblCellMar>
      </w:tblPr>
      <w:tblGrid>
        <w:gridCol w:w="738"/>
        <w:gridCol w:w="146"/>
        <w:gridCol w:w="9321"/>
      </w:tblGrid>
      <w:tr>
        <w:trPr/>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1" w:type="dxa"/>
            <w:tcBorders/>
            <w:vAlign w:val="center"/>
          </w:tcPr>
          <w:p>
            <w:pPr>
              <w:pStyle w:val="TableContents"/>
              <w:bidi w:val="0"/>
              <w:spacing w:before="0" w:after="283"/>
              <w:jc w:val="left"/>
              <w:rPr>
                <w:sz w:val="4"/>
                <w:szCs w:val="4"/>
              </w:rPr>
            </w:pPr>
            <w:r>
              <w:rPr>
                <w:sz w:val="4"/>
                <w:szCs w:val="4"/>
              </w:rPr>
            </w:r>
          </w:p>
        </w:tc>
      </w:tr>
      <w:tr>
        <w:trPr/>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Restated Certificate of Incorporation of the Registrant (incorporated by reference to Exhibit 3.1 to the Registrant’s Current Report on Form 8-K filed with the Securities and Exchange Commission on July 22,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the Registrant (incorporated by reference to Exhibit 3.2 to the Registrant’s Current Report on Form 8-K filed with the Securities and Exchange Commission on July 22,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4.1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Specimen Stock Certificate evidencing shares of common stock (incorporated by reference to Exhibit 4.1 to the Registrant’s Registration Statement on Form S-1 (File No. 333-232260) filed with the Securities and Exchange Commission on June 21,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4.2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Description of the Registrant’s Securities Registered under Section 12 of the Exchange Act (incorporated by reference to Exhibit 4.2 to the Registrant’s Annual Report on Form 10-K filed with the Securities and Exchange Commission on March 5, 2020).</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Amended and Restated Investors' Rights Agreement, dated as of August 24, 2018, by and among the Registrant and the other parties thereto (incorporated by reference to Exhibit 10.1 to the Registrant’s Registration Statement on Form S-1 (File No. 333-232260) filed with the Securities and Exchange Commission on June 21,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Registration Rights Agreement, dated June 9, 2020, by and among the Registrant and the other parties thereto (incorporated by reference to Exhibit 10.2 of the Registrant's Current Report on Form 8-K filed with the Securities and Exchange Commission on June 10, 2020).</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2016 Stock Incentive Plan, as amended (incorporated by reference to Exhibit 10.2 to the Registrant’s Registration Statement on Form S-1 (File No. 333-232260) filed with the Securities and Exchange Commission on June 21,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9">
              <w:r>
                <w:rPr>
                  <w:rStyle w:val="InternetLink"/>
                  <w:rFonts w:ascii="Times New Roman;serif" w:hAnsi="Times New Roman;serif"/>
                  <w:b w:val="false"/>
                  <w:sz w:val="20"/>
                  <w:u w:val="single"/>
                </w:rPr>
                <w:t>Form of Incentive Stock Option Agreement under the 2016 Stock Incentive Plan (incorporated by reference to Exhibit 10.3 to the Registrant’s Registration Statement on Form S-1 (File No. 333-232260) filed with the Securities and Exchange Commission on June 21, 2019)</w:t>
              </w:r>
            </w:hyperlink>
            <w:r>
              <w:rPr>
                <w:rFonts w:ascii="Times New Roman;serif" w:hAnsi="Times New Roman;serif"/>
                <w:b w:val="false"/>
                <w:sz w:val="20"/>
              </w:rPr>
              <w:t>.</w:t>
            </w:r>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0">
              <w:r>
                <w:rPr>
                  <w:rStyle w:val="InternetLink"/>
                  <w:rFonts w:ascii="Times New Roman;serif" w:hAnsi="Times New Roman;serif"/>
                  <w:b w:val="false"/>
                  <w:sz w:val="20"/>
                  <w:u w:val="single"/>
                </w:rPr>
                <w:t>Form of Non-Statutory Stock Option Agreement under the 2016 Stock Incentive Plan (incorporated by reference to Exhibit 10.4 to the Registrant’s Registration Statement on Form S-1 (File No. 333-232260) filed with the Securities and Exchange Commission on June 21,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1">
              <w:r>
                <w:rPr>
                  <w:rStyle w:val="InternetLink"/>
                  <w:rFonts w:ascii="Times New Roman;serif" w:hAnsi="Times New Roman;serif"/>
                  <w:b w:val="false"/>
                  <w:sz w:val="20"/>
                  <w:u w:val="single"/>
                </w:rPr>
                <w:t>Form of Restricted Stock Agreement under the 2016 Stock Incentive Plan (incorporated by reference to Exhibit 10.5 to the Registrant’s Registration Statement on Form S-1 (File No. 333-232260) filed with the Securities and Exchange Commission on June 21,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2">
              <w:r>
                <w:rPr>
                  <w:rStyle w:val="InternetLink"/>
                  <w:rFonts w:ascii="Times New Roman;serif" w:hAnsi="Times New Roman;serif"/>
                  <w:b w:val="false"/>
                  <w:sz w:val="20"/>
                  <w:u w:val="single"/>
                </w:rPr>
                <w:t>2019 Stock Incentive Plan (incorporated by reference to Exhibit 10.6 to Amendment No. 1 to Registrant’s Registration Statement on Form S-1 (File No. 333-232260) filed with the Securities and Exchange Commission on July 8,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10.8#</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3">
              <w:r>
                <w:rPr>
                  <w:rStyle w:val="InternetLink"/>
                  <w:rFonts w:ascii="Times New Roman;serif" w:hAnsi="Times New Roman;serif"/>
                  <w:b w:val="false"/>
                  <w:sz w:val="20"/>
                  <w:u w:val="single"/>
                </w:rPr>
                <w:t>Form of Stock Option Agreement under the 2019 Stock Incentive Plan (incorporated by reference to Exhibit 10.7 to Amendment No. 1 to Registrant’s Registration Statement on Form S-1 (File No. 333-232260) filed with the Securities and Exchange Commission on July 8,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10.9#</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4">
              <w:r>
                <w:rPr>
                  <w:rStyle w:val="InternetLink"/>
                  <w:rFonts w:ascii="Times New Roman;serif" w:hAnsi="Times New Roman;serif"/>
                  <w:b w:val="false"/>
                  <w:sz w:val="20"/>
                  <w:u w:val="single"/>
                </w:rPr>
                <w:t>Form of Inducement Stock Option Agreement (incorporated by reference to Exhibit 10.1 to the Registrant’s Quarterly Report on Form 10-Q filed with the Securities and Exchange Commission on November 4, 2021).</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5">
              <w:r>
                <w:rPr>
                  <w:rStyle w:val="InternetLink"/>
                  <w:rFonts w:ascii="Times New Roman;serif" w:hAnsi="Times New Roman;serif"/>
                  <w:b w:val="false"/>
                  <w:sz w:val="20"/>
                  <w:u w:val="single"/>
                </w:rPr>
                <w:t>Form of Restricted Stock Unit Agreement under the 2019 Stock Incentive Plan (incorporated by reference to Exhibit 10.10 to the Registrant’s Annual Report on Form 10-K filed with the Securities and Exchange Commission on March 3, 2022).</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6">
              <w:r>
                <w:rPr>
                  <w:rStyle w:val="InternetLink"/>
                  <w:rFonts w:ascii="Times New Roman;serif" w:hAnsi="Times New Roman;serif"/>
                  <w:b w:val="false"/>
                  <w:sz w:val="20"/>
                  <w:u w:val="single"/>
                </w:rPr>
                <w:t>2019 Employee Stock Purchase Plan (incorporated by reference to Exhibit 10.8 to Amendment No. 1 to Registrant’s Registration Statement on Form S-1 (File No. 333-232260) filed with the Securities and Exchange Commission on July 8,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7">
              <w:r>
                <w:rPr>
                  <w:rStyle w:val="InternetLink"/>
                  <w:rFonts w:ascii="Times New Roman;serif" w:hAnsi="Times New Roman;serif"/>
                  <w:b w:val="false"/>
                  <w:sz w:val="20"/>
                  <w:u w:val="single"/>
                </w:rPr>
                <w:t>2022 Inducement Stock Incentive Plan (incorporated by reference to Exhibit 10.12 to the Registrant’s Annual Report on Form 10-K filed with the Securities and Exchange Commission on March 3, 2022).</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8">
              <w:r>
                <w:rPr>
                  <w:rStyle w:val="InternetLink"/>
                  <w:rFonts w:ascii="Times New Roman;serif" w:hAnsi="Times New Roman;serif"/>
                  <w:b w:val="false"/>
                  <w:sz w:val="20"/>
                  <w:u w:val="single"/>
                </w:rPr>
                <w:t>First Amendment to 2022 Inducement Stock Incentive Plan (incorporated by reference to Exhibit 10.13 to the Registrant’s Annual Report on Form 10-K filed with the Securities and Exchange Commission on March 9, 2023).</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9">
              <w:r>
                <w:rPr>
                  <w:rStyle w:val="InternetLink"/>
                  <w:rFonts w:ascii="Times New Roman;serif" w:hAnsi="Times New Roman;serif"/>
                  <w:b w:val="false"/>
                  <w:sz w:val="20"/>
                  <w:u w:val="single"/>
                </w:rPr>
                <w:t>Form of Non-Statutory Stock Option Agreement under 2022 Inducement Stock Incentive Plan (incorporated by reference to Exhibit 10.13 to the Registrant’s Annual Report on Form 10-K filed with the Securities and Exchange Commission on March 3, 2022).</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0">
              <w:r>
                <w:rPr>
                  <w:rStyle w:val="InternetLink"/>
                  <w:rFonts w:ascii="Times New Roman;serif" w:hAnsi="Times New Roman;serif"/>
                  <w:b w:val="false"/>
                  <w:sz w:val="20"/>
                  <w:u w:val="single"/>
                </w:rPr>
                <w:t>Form of Restricted Stock Unit Agreement under 2022 Inducement Stock Incentive Plan (incorporated by reference to Exhibit 10.14 to the Registrant’s Annual Report on Form 10-K filed with the Securities and Exchange Commission on March 3, 2022).</w:t>
              </w:r>
            </w:hyperlink>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41"/>
        <w:gridCol w:w="146"/>
        <w:gridCol w:w="9318"/>
      </w:tblGrid>
      <w:tr>
        <w:trPr/>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8" w:type="dxa"/>
            <w:tcBorders/>
            <w:vAlign w:val="center"/>
          </w:tcPr>
          <w:p>
            <w:pPr>
              <w:pStyle w:val="TableContents"/>
              <w:bidi w:val="0"/>
              <w:spacing w:before="0" w:after="283"/>
              <w:jc w:val="left"/>
              <w:rPr>
                <w:sz w:val="4"/>
                <w:szCs w:val="4"/>
              </w:rPr>
            </w:pPr>
            <w:r>
              <w:rPr>
                <w:sz w:val="4"/>
                <w:szCs w:val="4"/>
              </w:rPr>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1">
              <w:r>
                <w:rPr>
                  <w:rStyle w:val="InternetLink"/>
                  <w:rFonts w:ascii="Times New Roman;serif" w:hAnsi="Times New Roman;serif"/>
                  <w:b w:val="false"/>
                  <w:sz w:val="20"/>
                  <w:u w:val="single"/>
                </w:rPr>
                <w:t>Summary of Non-Employee Director Compensation Program (incorporated by reference to Exhibit 10.16 to the Registrant’s Annual Report on Form 10-K filed with the Securities and Exchange Commission on March 9, 2023).</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2">
              <w:r>
                <w:rPr>
                  <w:rStyle w:val="InternetLink"/>
                  <w:rFonts w:ascii="Times New Roman;serif" w:hAnsi="Times New Roman;serif"/>
                  <w:b w:val="false"/>
                  <w:sz w:val="20"/>
                  <w:u w:val="single"/>
                </w:rPr>
                <w:t>Form of Employment Agreement for Executive Officers (incorporated by reference to Exhibit 10.12 to Amendment No. 1 to Registrant’s Registration Statement on Form S-1 (File No. 333-232260) filed with the Securities and Exchange Commission on July 8, 2019).</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10.18#</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3">
              <w:r>
                <w:rPr>
                  <w:rStyle w:val="InternetLink"/>
                  <w:rFonts w:ascii="Times New Roman;serif" w:hAnsi="Times New Roman;serif"/>
                  <w:b w:val="false"/>
                  <w:sz w:val="20"/>
                  <w:u w:val="single"/>
                </w:rPr>
                <w:t>Letter Agreement, dated January 3, 2023, by and between Registrant and Robert J. Gould (incorporated by reference to Exhibit 10.18 to the Registrant’s Annual Report on Form 10-K filed with the Securities and Exchange Commission on March 9, 2023).</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10.19#</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4">
              <w:r>
                <w:rPr>
                  <w:rStyle w:val="InternetLink"/>
                  <w:rFonts w:ascii="Times New Roman;serif" w:hAnsi="Times New Roman;serif"/>
                  <w:b w:val="false"/>
                  <w:sz w:val="20"/>
                  <w:u w:val="single"/>
                </w:rPr>
                <w:t>Separation Agreement, dated January 2, 2023, by and between Registrant and Bryan Stuart (incorporated by reference to Exhibit 10.19 to the Registrant’s Annual Report on Form 10-K filed with the Securities and Exchange Commission on March 9, 2023).</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5">
              <w:r>
                <w:rPr>
                  <w:rStyle w:val="InternetLink"/>
                  <w:rFonts w:ascii="Times New Roman;serif" w:hAnsi="Times New Roman;serif"/>
                  <w:b w:val="false"/>
                  <w:sz w:val="20"/>
                  <w:u w:val="single"/>
                </w:rPr>
                <w:t>Employment Agreement, dated October 29, 2020, by and between the Registrant and Curtis Oltmans (incorporated by reference to Exhibit 10.16 to the Registrant’s Annual Report on Form 10-K filed with the Securities and Exchange Commission on March 4, 2021).</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6">
              <w:r>
                <w:rPr>
                  <w:rStyle w:val="InternetLink"/>
                  <w:rFonts w:ascii="Times New Roman;serif" w:hAnsi="Times New Roman;serif"/>
                  <w:b w:val="false"/>
                  <w:sz w:val="20"/>
                  <w:u w:val="single"/>
                </w:rPr>
                <w:t>Separation Agreement, dated October 14, 2022, by and between the Registrant and Judith Dunn (incorporated by reference to Exhibit 10.21 to the Registrant’s Annual Report on Form 10-K filed with the Securities and Exchange Commission on March 9, 2023).</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7">
              <w:r>
                <w:rPr>
                  <w:rStyle w:val="InternetLink"/>
                  <w:rFonts w:ascii="Times New Roman;serif" w:hAnsi="Times New Roman;serif"/>
                  <w:b w:val="false"/>
                  <w:sz w:val="20"/>
                  <w:u w:val="single"/>
                </w:rPr>
                <w:t>Employment Agreement, dated September 7, 2021, by and between the Registrant and Mel Hayes (incorporated by reference to Exhibit 10.1 to the Registrant’s Quarterly Report on Form 10-Q filed with the Securities and Exchange Commission on November 8, 2022).</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8">
              <w:r>
                <w:rPr>
                  <w:rStyle w:val="InternetLink"/>
                  <w:rFonts w:ascii="Times New Roman;serif" w:hAnsi="Times New Roman;serif"/>
                  <w:b w:val="false"/>
                  <w:sz w:val="20"/>
                  <w:u w:val="single"/>
                </w:rPr>
                <w:t>Employment Agreement, dated January 3, 2022, by and between the Registrant and Esther Rajavelu (incorporated by reference to Exhibit 10.1 to the Registrant’s Annual Report on Form 10-K filed with the Securities and Exchange Commission on March 3, 2022).</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9">
              <w:r>
                <w:rPr>
                  <w:rStyle w:val="InternetLink"/>
                  <w:rFonts w:ascii="Times New Roman;serif" w:hAnsi="Times New Roman;serif"/>
                  <w:b w:val="false"/>
                  <w:sz w:val="20"/>
                  <w:u w:val="single"/>
                </w:rPr>
                <w:t>Employment Agreement, dated November 7, 2022, by and between the Registrant and Santiago Arroyo (incorporated by reference to Exhibit 10.24 to the Registrant’s Annual Report on Form 10-K filed with the Securities and Exchange Commission on March 9, 2023).</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0">
              <w:r>
                <w:rPr>
                  <w:rStyle w:val="InternetLink"/>
                  <w:rFonts w:ascii="Times New Roman;serif" w:hAnsi="Times New Roman;serif"/>
                  <w:b w:val="false"/>
                  <w:sz w:val="20"/>
                  <w:u w:val="single"/>
                </w:rPr>
                <w:t>Form of Indemnification Agreement between the Registrant and each of its Executive Officers and Directors (incorporated by reference to Exhibit 10.15 to Registrant’s Registration Statement on Form S-1 (File No. 333-232260) filed with the Securities and Exchange Commission on June 21, 2019).</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10.26</w:t>
            </w:r>
            <w:r>
              <w:rPr>
                <w:rFonts w:ascii="Times New Roman;serif" w:hAnsi="Times New Roman;serif"/>
                <w:b w:val="false"/>
                <w:sz w:val="16"/>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1">
              <w:r>
                <w:rPr>
                  <w:rStyle w:val="InternetLink"/>
                  <w:rFonts w:ascii="Times New Roman;serif" w:hAnsi="Times New Roman;serif"/>
                  <w:b w:val="false"/>
                  <w:sz w:val="20"/>
                  <w:u w:val="single"/>
                </w:rPr>
                <w:t>Right of Reference and License Agreement, dated as of February 8, 2019, by and among the Registrant, GlaxoSmithKline Intellectual Property (No. 2) Limited, GlaxoSmithKline LLC and Glaxo Group Limited (incorporated by reference to Exhibit 10.10 to the Registrant’s Registration Statement on Form S-1 (File No. 333-232260) filed with the Securities and Exchange Commission on June 21, 2019).</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10.27</w:t>
            </w:r>
            <w:r>
              <w:rPr>
                <w:rFonts w:ascii="Times New Roman;serif" w:hAnsi="Times New Roman;serif"/>
                <w:b w:val="false"/>
                <w:sz w:val="16"/>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2">
              <w:r>
                <w:rPr>
                  <w:rStyle w:val="InternetLink"/>
                  <w:rFonts w:ascii="Times New Roman;serif" w:hAnsi="Times New Roman;serif"/>
                  <w:b w:val="false"/>
                  <w:sz w:val="20"/>
                  <w:u w:val="single"/>
                </w:rPr>
                <w:t>First Amendment to the Right of Reference and License Agreement, dated as of September 23, 2020, by and among the Registrant, GlaxoSmithKline Intellectual Property (No. 2) Limited, GlaxoSmithKline LLC and Glaxo Group Limited (incorporated by reference to Exhibit 10.2 to the Registrant’s Quarterly Report on Form 10-Q (File No. 001-38978) filed with the Securities and Exchange Commission on November 10, 2020).</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10.28</w:t>
            </w:r>
            <w:r>
              <w:rPr>
                <w:rFonts w:ascii="Times New Roman;serif" w:hAnsi="Times New Roman;serif"/>
                <w:b w:val="false"/>
                <w:sz w:val="16"/>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3">
              <w:r>
                <w:rPr>
                  <w:rStyle w:val="InternetLink"/>
                  <w:rFonts w:ascii="Times New Roman;serif" w:hAnsi="Times New Roman;serif"/>
                  <w:b w:val="false"/>
                  <w:sz w:val="20"/>
                  <w:u w:val="single"/>
                </w:rPr>
                <w:t>Collaboration and License Agreement, dated as of July 20, 2020, by and between the Registrant and MyoKardia, Inc, a wholly-owned subsidiary of Bristol Myers Squibb Company (incorporated by reference to Exhibit 10.1 to the Registrant’s Quarterly Report on Form 10-Q (File No. 001-38978) filed with the Securities and Exchange Commission on November 10, 2020).</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10.29</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4">
              <w:r>
                <w:rPr>
                  <w:rStyle w:val="InternetLink"/>
                  <w:rFonts w:ascii="Times New Roman;serif" w:hAnsi="Times New Roman;serif"/>
                  <w:b w:val="false"/>
                  <w:sz w:val="20"/>
                  <w:u w:val="single"/>
                </w:rPr>
                <w:t>Lease for 26 Landsdowne Street, dated November 22, 2017, by and between the UP 26 Landsdowne, LLC and the Registrant (incorporated by reference to Exhibit 10.11 to the Registrant’s Registration Statement on Form S-1 (File No. 333-232260) filed with the Securities and Exchange Commission on June 21, 2019).</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10.30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5">
              <w:r>
                <w:rPr>
                  <w:rStyle w:val="InternetLink"/>
                  <w:rFonts w:ascii="Times New Roman;serif" w:hAnsi="Times New Roman;serif"/>
                  <w:b w:val="false"/>
                  <w:sz w:val="20"/>
                  <w:u w:val="single"/>
                </w:rPr>
                <w:t>Equity Distribution Agreement, dated May 9, 2022, by and between the Registrant and Piper Sandler &amp; Co. (incorporated by reference to Exhibit 1.1 to the Registrant's Current Report on Form 8-K filed with the Securities and Exchange Commission on May 10, 2022).</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21.1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6">
              <w:r>
                <w:rPr>
                  <w:rStyle w:val="InternetLink"/>
                  <w:rFonts w:ascii="Times New Roman;serif" w:hAnsi="Times New Roman;serif"/>
                  <w:b w:val="false"/>
                  <w:sz w:val="20"/>
                  <w:u w:val="single"/>
                </w:rPr>
                <w:t>Subsidiary of the Registrant (incorporated by reference to Exhibit 21.1 to the Registrant’s Annual Report on Form 10-K filed with the Securities and Exchange Commission on March 9, 2023).</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23.1*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ulc-ex23_1.htm">
              <w:r>
                <w:rPr>
                  <w:rStyle w:val="InternetLink"/>
                  <w:rFonts w:ascii="Times New Roman;serif" w:hAnsi="Times New Roman;serif"/>
                  <w:b w:val="false"/>
                  <w:sz w:val="20"/>
                  <w:u w:val="single"/>
                </w:rPr>
                <w:t>Consent of Ernst &amp; Young LLP, independent registered public accounting firm.</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ulc-ex31_1.htm">
              <w:r>
                <w:rPr>
                  <w:rStyle w:val="InternetLink"/>
                  <w:rFonts w:ascii="Times New Roman;serif" w:hAnsi="Times New Roman;serif"/>
                  <w:b w:val="false"/>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ulc-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r>
      <w:tr>
        <w:trPr/>
        <w:tc>
          <w:tcPr>
            <w:tcW w:w="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01"/>
        <w:gridCol w:w="146"/>
        <w:gridCol w:w="9258"/>
      </w:tblGrid>
      <w:tr>
        <w:trPr/>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8" w:type="dxa"/>
            <w:tcBorders/>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5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5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5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5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5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r>
    </w:tbl>
    <w:p>
      <w:pPr>
        <w:pStyle w:val="TextBody"/>
        <w:pBdr>
          <w:bottom w:val="single" w:sz="2" w:space="1" w:color="000000"/>
        </w:pBdr>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Indicates a management contract or any compensatory plan, contract or arrangement.</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Certain portions of this exhibit have been omitted because the registrant has determined that they are both not material and is the type of information that the registrant treats as private or confidential.</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Furnished herewith.</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sz w:val="20"/>
        </w:rPr>
        <w: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36"/>
        <w:gridCol w:w="109"/>
        <w:gridCol w:w="400"/>
        <w:gridCol w:w="8060"/>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60"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Fulcrum Therapeutics, Inc.</w:t>
            </w:r>
          </w:p>
        </w:tc>
      </w:tr>
      <w:tr>
        <w:trPr/>
        <w:tc>
          <w:tcPr>
            <w:tcW w:w="1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06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June 23,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806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Robert J. Gould</w:t>
            </w:r>
          </w:p>
        </w:tc>
      </w:tr>
      <w:tr>
        <w:trPr/>
        <w:tc>
          <w:tcPr>
            <w:tcW w:w="1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06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Robert J. Gould, Ph.D.</w:t>
            </w:r>
          </w:p>
        </w:tc>
      </w:tr>
      <w:tr>
        <w:trPr/>
        <w:tc>
          <w:tcPr>
            <w:tcW w:w="1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06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Interim President and Chief Executive Officer (Principal Executive Officer and 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10" w:name="fulc-ex23_1.htm"/>
      <w:bookmarkStart w:id="11" w:name="ksfulcex23_1"/>
      <w:bookmarkEnd w:id="10"/>
      <w:bookmarkEnd w:id="11"/>
      <w:r>
        <w:rPr/>
        <w:t> </w:t>
      </w:r>
      <w:r>
        <w:br w:type="page"/>
      </w:r>
    </w:p>
    <w:p>
      <w:pPr>
        <w:pStyle w:val="TextBody"/>
        <w:bidi w:val="0"/>
        <w:spacing w:before="0" w:after="0"/>
        <w:jc w:val="center"/>
        <w:rPr/>
      </w:pPr>
      <w:r>
        <w:rPr/>
        <w:t> </w:t>
      </w:r>
    </w:p>
    <w:p>
      <w:pPr>
        <w:pStyle w:val="TextBody"/>
        <w:bidi w:val="0"/>
        <w:spacing w:before="0" w:after="0"/>
        <w:jc w:val="right"/>
        <w:rPr>
          <w:rFonts w:ascii="Times New Roman;serif" w:hAnsi="Times New Roman;serif"/>
          <w:b/>
          <w:sz w:val="20"/>
        </w:rPr>
      </w:pPr>
      <w:bookmarkStart w:id="12" w:name="exhibit_23_1"/>
      <w:bookmarkEnd w:id="12"/>
      <w:r>
        <w:rPr>
          <w:rFonts w:ascii="Times New Roman;serif" w:hAnsi="Times New Roman;serif"/>
          <w:b/>
          <w:sz w:val="20"/>
        </w:rPr>
        <w:t>Exhibit 23.1</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Consent of Independent Registered Public Accounting Firm</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consent to the incorporation by reference in the following Registration Statements:</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Registration Statement (Form S-8 No. 333-233452) pertaining to the 2016 Stock Incentive Plan, as amended, 2019 Stock Incentive Plan, and 2019 Employee Stock Purchase Plan of Fulcrum Therapeutics, Inc.;</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Registration Statement (Form S-8 No. 333-236910) pertaining to the 2019 Stock Incentive Plan and 2019 Employee Stock Purchase Plan of Fulcrum Therapeutics, Inc.;</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Registration Statement (Form S-1 No. 333-239353) and related Prospectus of Fulcrum Therapeutics, Inc. (as amended by Form S-3/A No. 333-239353); </w:t>
      </w:r>
    </w:p>
    <w:p>
      <w:pPr>
        <w:pStyle w:val="TextBody"/>
        <w:bidi w:val="0"/>
        <w:spacing w:before="0" w:after="0"/>
        <w:jc w:val="both"/>
        <w:rPr>
          <w:rFonts w:ascii="Times New Roman" w:hAnsi="Times New Roman"/>
          <w:b w:val="false"/>
          <w:sz w:val="20"/>
        </w:rPr>
      </w:pPr>
      <w:r>
        <w:rPr>
          <w:rFonts w:ascii="Times New Roman" w:hAnsi="Times New Roman"/>
          <w:b w:val="false"/>
          <w:sz w:val="20"/>
        </w:rPr>
        <w:t>4.</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Registration Statement (Form S-8 No. 333-253862) pertaining to the 2019 Stock Incentive Plan and 2019 Employee Stock Purchase Plan of Fulcrum Therapeutics, Inc.,</w:t>
      </w:r>
    </w:p>
    <w:p>
      <w:pPr>
        <w:pStyle w:val="TextBody"/>
        <w:bidi w:val="0"/>
        <w:spacing w:before="0" w:after="0"/>
        <w:jc w:val="both"/>
        <w:rPr>
          <w:rFonts w:ascii="Times New Roman" w:hAnsi="Times New Roman"/>
          <w:b w:val="false"/>
          <w:sz w:val="20"/>
        </w:rPr>
      </w:pPr>
      <w:r>
        <w:rPr>
          <w:rFonts w:ascii="Times New Roman" w:hAnsi="Times New Roman"/>
          <w:b w:val="false"/>
          <w:sz w:val="20"/>
        </w:rPr>
        <w:t>5.</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Registration Statement (Form S-8 No. 333-262356) pertaining to the 2019 Stock Incentive Plan, 2019 Employee Stock Purchase Plan, and Inducement Stock Option Awards (September 2021 – January 2022) of Fulcrum Therapeutics, Inc.,</w:t>
      </w:r>
    </w:p>
    <w:p>
      <w:pPr>
        <w:pStyle w:val="TextBody"/>
        <w:bidi w:val="0"/>
        <w:spacing w:before="0" w:after="0"/>
        <w:jc w:val="both"/>
        <w:rPr>
          <w:rFonts w:ascii="Times New Roman" w:hAnsi="Times New Roman"/>
          <w:b w:val="false"/>
          <w:sz w:val="20"/>
        </w:rPr>
      </w:pPr>
      <w:r>
        <w:rPr>
          <w:rFonts w:ascii="Times New Roman" w:hAnsi="Times New Roman"/>
          <w:b w:val="false"/>
          <w:sz w:val="20"/>
        </w:rPr>
        <w:t>6.</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Registration Statement (Form S-8 No. 333-263249) pertaining to 2022 Inducement Stock Incentive Plan, and Inducement Stock Option Award, as amended (February 2022) of Fulcrum Therapeutics, Inc.; and</w:t>
      </w:r>
    </w:p>
    <w:p>
      <w:pPr>
        <w:pStyle w:val="TextBody"/>
        <w:bidi w:val="0"/>
        <w:spacing w:before="0" w:after="0"/>
        <w:jc w:val="both"/>
        <w:rPr>
          <w:rFonts w:ascii="Times New Roman" w:hAnsi="Times New Roman"/>
          <w:b w:val="false"/>
          <w:sz w:val="20"/>
        </w:rPr>
      </w:pPr>
      <w:r>
        <w:rPr>
          <w:rFonts w:ascii="Times New Roman" w:hAnsi="Times New Roman"/>
          <w:b w:val="false"/>
          <w:sz w:val="20"/>
        </w:rPr>
        <w:t>7.</w:t>
      </w:r>
    </w:p>
    <w:p>
      <w:pPr>
        <w:pStyle w:val="TextBody"/>
        <w:bidi w:val="0"/>
        <w:jc w:val="both"/>
        <w:rPr>
          <w:rFonts w:ascii="Times New Roman;serif" w:hAnsi="Times New Roman;serif"/>
          <w:b w:val="false"/>
          <w:sz w:val="20"/>
        </w:rPr>
      </w:pPr>
      <w:r>
        <w:rPr>
          <w:rFonts w:ascii="Times New Roman;serif" w:hAnsi="Times New Roman;serif"/>
          <w:b w:val="false"/>
          <w:sz w:val="20"/>
        </w:rPr>
        <w:t>Registration Statement (Form S-8 No. 333-270385) pertaining to the 2019 Stock Incentive Plan, the 2019 Employee Stock Purchase Plan and the 2022 Inducement Stock Incentive Plan.</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of our report dated March 9, 2023, with respect to the consolidated financial statements of Fulcrum Therapeutics, Inc. included in this Annual Report (Form 10-K/A) of Fulcrum Therapeutics, Inc. for the year ended December 31, 2022.</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 Ernst &amp; Young LLP</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Boston, Massachusetts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June 23, 2023</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13" w:name="fulc-ex31_1.htm"/>
      <w:bookmarkStart w:id="14" w:name="ksfulcex31_1"/>
      <w:bookmarkEnd w:id="13"/>
      <w:bookmarkEnd w:id="14"/>
      <w:r>
        <w:rPr>
          <w:rFonts w:ascii="Times New Roman;serif" w:hAnsi="Times New Roman;serif"/>
          <w:b/>
          <w:sz w:val="20"/>
        </w:rPr>
        <w:t>Exhibit 31.1</w:t>
      </w:r>
      <w:r>
        <w:rPr>
          <w:rFonts w:ascii="Times New Roman" w:hAnsi="Times New Roman"/>
          <w:sz w:val="20"/>
        </w:rPr>
        <w:t xml:space="preserve"> </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 xml:space="preserve">CERTIFICATION PURSUANT TO RULES 13a-14(a) AND 15d-14(a) UNDER THE SECURITIES </w:t>
        <w:br/>
        <w:t>EXCHANGE ACT OF 1934, AS ADOPTED PURSUANT TO SECTION 302 OF THE SARBANES-</w:t>
        <w:br/>
        <w:t>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Robert J. Gould, certify that: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I have reviewed this Annual Report on Form 10-K, as amended, of Fulcrum Therapeutics, Inc.;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7158" w:type="dxa"/>
        <w:jc w:val="left"/>
        <w:tblInd w:w="0" w:type="dxa"/>
        <w:tblLayout w:type="fixed"/>
        <w:tblCellMar>
          <w:top w:w="28" w:type="dxa"/>
          <w:left w:w="28" w:type="dxa"/>
          <w:bottom w:w="28" w:type="dxa"/>
          <w:right w:w="28" w:type="dxa"/>
        </w:tblCellMar>
      </w:tblPr>
      <w:tblGrid>
        <w:gridCol w:w="1741"/>
        <w:gridCol w:w="406"/>
        <w:gridCol w:w="50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June 23,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Robert J. Gould</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J. Gould, Ph.D.</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President and 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 and 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15" w:name="fulc-ex32_1.htm"/>
      <w:bookmarkStart w:id="16" w:name="ksfulcex32_1"/>
      <w:bookmarkEnd w:id="15"/>
      <w:bookmarkEnd w:id="1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Annual Report on Form 10-K, as amended, of Fulcrum Therapeutics, Inc. (the “Company”) for the year ended December 31, 2022, as filed with the Securities and Exchange Commission on the date hereof (the “Report”), the undersigned, Robert J. Gould, Interim President and Chief Executive Officer of the Company, hereby certifies, pursuant to 18 U.S.C. Section 1350, as adopted pursuant to Section 906 of the Sarbanes-Oxley Act of 2002, that to his knowledge: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7304" w:type="dxa"/>
        <w:jc w:val="left"/>
        <w:tblInd w:w="0" w:type="dxa"/>
        <w:tblLayout w:type="fixed"/>
        <w:tblCellMar>
          <w:top w:w="28" w:type="dxa"/>
          <w:left w:w="28" w:type="dxa"/>
          <w:bottom w:w="28" w:type="dxa"/>
          <w:right w:w="28" w:type="dxa"/>
        </w:tblCellMar>
      </w:tblPr>
      <w:tblGrid>
        <w:gridCol w:w="1741"/>
        <w:gridCol w:w="146"/>
        <w:gridCol w:w="406"/>
        <w:gridCol w:w="50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741" w:type="dxa"/>
            <w:vMerge w:val="restart"/>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June 23, 2023</w:t>
            </w:r>
          </w:p>
        </w:tc>
        <w:tc>
          <w:tcPr>
            <w:tcW w:w="146" w:type="dxa"/>
            <w:tcBorders/>
            <w:vAlign w:val="center"/>
          </w:tcPr>
          <w:p>
            <w:pPr>
              <w:pStyle w:val="TableContents"/>
              <w:bidi w:val="0"/>
              <w:spacing w:before="0" w:after="0"/>
              <w:ind w:left="0" w:right="0" w:hanging="0"/>
              <w:jc w:val="left"/>
              <w:rPr/>
            </w:pPr>
            <w:r>
              <w:rPr/>
              <w:t> </w:t>
            </w:r>
          </w:p>
        </w:tc>
        <w:tc>
          <w:tcPr>
            <w:tcW w:w="406" w:type="dxa"/>
            <w:vMerge w:val="restart"/>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Robert J. Gould</w:t>
            </w:r>
          </w:p>
        </w:tc>
      </w:tr>
      <w:tr>
        <w:trPr/>
        <w:tc>
          <w:tcPr>
            <w:tcW w:w="17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0"/>
              <w:ind w:left="0" w:right="0" w:hanging="0"/>
              <w:jc w:val="left"/>
              <w:rPr/>
            </w:pPr>
            <w:r>
              <w:rPr/>
              <w:t> </w:t>
            </w:r>
          </w:p>
        </w:tc>
        <w:tc>
          <w:tcPr>
            <w:tcW w:w="406" w:type="dxa"/>
            <w:vMerge w:val="continue"/>
            <w:tcBorders/>
            <w:vAlign w:val="center"/>
          </w:tcPr>
          <w:p>
            <w:pPr>
              <w:pStyle w:val="Normal"/>
              <w:bidi w:val="0"/>
              <w:jc w:val="left"/>
              <w:rPr/>
            </w:pPr>
            <w:r>
              <w:rPr/>
            </w:r>
          </w:p>
        </w:tc>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J. Gould, Ph.D.</w:t>
            </w:r>
          </w:p>
        </w:tc>
      </w:tr>
      <w:tr>
        <w:trPr/>
        <w:tc>
          <w:tcPr>
            <w:tcW w:w="17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0"/>
              <w:ind w:left="0" w:right="0" w:hanging="0"/>
              <w:jc w:val="left"/>
              <w:rPr/>
            </w:pPr>
            <w:r>
              <w:rPr/>
              <w:t> </w:t>
            </w:r>
          </w:p>
        </w:tc>
        <w:tc>
          <w:tcPr>
            <w:tcW w:w="406" w:type="dxa"/>
            <w:vMerge w:val="continue"/>
            <w:tcBorders/>
            <w:vAlign w:val="center"/>
          </w:tcPr>
          <w:p>
            <w:pPr>
              <w:pStyle w:val="Normal"/>
              <w:bidi w:val="0"/>
              <w:jc w:val="left"/>
              <w:rPr/>
            </w:pPr>
            <w:r>
              <w:rPr/>
            </w:r>
          </w:p>
        </w:tc>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President and Chief Executive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 and 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80581/000104746919004324/a2239321zex-3_1.htm" TargetMode="External"/><Relationship Id="rId3" Type="http://schemas.openxmlformats.org/officeDocument/2006/relationships/hyperlink" Target="https://www.sec.gov/Archives/edgar/data/0001680581/000104746919004324/a2239321zex-3_2.htm" TargetMode="External"/><Relationship Id="rId4" Type="http://schemas.openxmlformats.org/officeDocument/2006/relationships/hyperlink" Target="https://www.sec.gov/Archives/edgar/data/1680581/000104746919003793/a2239080zex-4_1.htm" TargetMode="External"/><Relationship Id="rId5" Type="http://schemas.openxmlformats.org/officeDocument/2006/relationships/hyperlink" Target="https://www.sec.gov/Archives/edgar/data/1680581/000156459020008951/fulc-ex42_198.htm" TargetMode="External"/><Relationship Id="rId6" Type="http://schemas.openxmlformats.org/officeDocument/2006/relationships/hyperlink" Target="https://www.sec.gov/Archives/edgar/data/1680581/000104746919003793/a2239080zex-10_1.htm" TargetMode="External"/><Relationship Id="rId7" Type="http://schemas.openxmlformats.org/officeDocument/2006/relationships/hyperlink" Target="https://www.sec.gov/Archives/edgar/data/1680581/000119312520165696/d857108dex102.htm" TargetMode="External"/><Relationship Id="rId8" Type="http://schemas.openxmlformats.org/officeDocument/2006/relationships/hyperlink" Target="https://www.sec.gov/Archives/edgar/data/1680581/000104746919003793/a2239080zex-10_2.htm" TargetMode="External"/><Relationship Id="rId9" Type="http://schemas.openxmlformats.org/officeDocument/2006/relationships/hyperlink" Target="https://www.sec.gov/Archives/edgar/data/1680581/000104746919003793/a2239080zex-10_3.htm" TargetMode="External"/><Relationship Id="rId10" Type="http://schemas.openxmlformats.org/officeDocument/2006/relationships/hyperlink" Target="https://www.sec.gov/Archives/edgar/data/1680581/000104746919003793/a2239080zex-10_4.htm" TargetMode="External"/><Relationship Id="rId11" Type="http://schemas.openxmlformats.org/officeDocument/2006/relationships/hyperlink" Target="https://www.sec.gov/Archives/edgar/data/1680581/000104746919003793/a2239080zex-10_5.htm" TargetMode="External"/><Relationship Id="rId12" Type="http://schemas.openxmlformats.org/officeDocument/2006/relationships/hyperlink" Target="https://www.sec.gov/Archives/edgar/data/0001680581/000104746919004014/a2239182zex-10_6.htm" TargetMode="External"/><Relationship Id="rId13" Type="http://schemas.openxmlformats.org/officeDocument/2006/relationships/hyperlink" Target="https://www.sec.gov/Archives/edgar/data/0001680581/000104746919004014/a2239182zex-10_7.htm" TargetMode="External"/><Relationship Id="rId14" Type="http://schemas.openxmlformats.org/officeDocument/2006/relationships/hyperlink" Target="https://www.sec.gov/Archives/edgar/data/1680581/000156459021054234/fulc-ex101_13.htm" TargetMode="External"/><Relationship Id="rId15" Type="http://schemas.openxmlformats.org/officeDocument/2006/relationships/hyperlink" Target="https://www.sec.gov/Archives/edgar/data/1680581/000095017022002727/fulc-ex10_10.htm" TargetMode="External"/><Relationship Id="rId16" Type="http://schemas.openxmlformats.org/officeDocument/2006/relationships/hyperlink" Target="https://www.sec.gov/Archives/edgar/data/0001680581/000104746919004014/a2239182zex-10_8.htm" TargetMode="External"/><Relationship Id="rId17" Type="http://schemas.openxmlformats.org/officeDocument/2006/relationships/hyperlink" Target="https://www.sec.gov/Archives/edgar/data/1680581/000095017022002727/fulc-ex10_12.htm" TargetMode="External"/><Relationship Id="rId18" Type="http://schemas.openxmlformats.org/officeDocument/2006/relationships/hyperlink" Target="https://www.sec.gov/Archives/edgar/data/1680581/000095017023006841/fulc-ex10_13.htm" TargetMode="External"/><Relationship Id="rId19" Type="http://schemas.openxmlformats.org/officeDocument/2006/relationships/hyperlink" Target="https://www.sec.gov/Archives/edgar/data/1680581/000095017022002727/fulc-ex10_13.htm" TargetMode="External"/><Relationship Id="rId20" Type="http://schemas.openxmlformats.org/officeDocument/2006/relationships/hyperlink" Target="https://www.sec.gov/Archives/edgar/data/1680581/000095017022002727/fulc-ex10_14.htm" TargetMode="External"/><Relationship Id="rId21" Type="http://schemas.openxmlformats.org/officeDocument/2006/relationships/hyperlink" Target="https://www.sec.gov/Archives/edgar/data/1680581/000095017023006841/fulc-ex10_16.htm" TargetMode="External"/><Relationship Id="rId22" Type="http://schemas.openxmlformats.org/officeDocument/2006/relationships/hyperlink" Target="https://www.sec.gov/Archives/edgar/data/0001680581/000104746919004014/a2239182zex-10_12.htm" TargetMode="External"/><Relationship Id="rId23" Type="http://schemas.openxmlformats.org/officeDocument/2006/relationships/hyperlink" Target="https://www.sec.gov/Archives/edgar/data/1680581/000095017023006841/fulc-ex10_18.htm" TargetMode="External"/><Relationship Id="rId24" Type="http://schemas.openxmlformats.org/officeDocument/2006/relationships/hyperlink" Target="https://www.sec.gov/Archives/edgar/data/1680581/000095017023006841/fulc-ex10_19.htm" TargetMode="External"/><Relationship Id="rId25" Type="http://schemas.openxmlformats.org/officeDocument/2006/relationships/hyperlink" Target="https://www.sec.gov/Archives/edgar/data/1680581/000156459021010715/fulc-ex1016_279.htm" TargetMode="External"/><Relationship Id="rId26" Type="http://schemas.openxmlformats.org/officeDocument/2006/relationships/hyperlink" Target="https://www.sec.gov/Archives/edgar/data/1680581/000095017023006841/fulc-ex10_21.htm" TargetMode="External"/><Relationship Id="rId27" Type="http://schemas.openxmlformats.org/officeDocument/2006/relationships/hyperlink" Target="https://www.sec.gov/Archives/edgar/data/1680581/000119312522217954/d346123dex101.htm" TargetMode="External"/><Relationship Id="rId28" Type="http://schemas.openxmlformats.org/officeDocument/2006/relationships/hyperlink" Target="https://www.sec.gov/Archives/edgar/data/1680581/000095017022002727/fulc-ex10_23.htm" TargetMode="External"/><Relationship Id="rId29" Type="http://schemas.openxmlformats.org/officeDocument/2006/relationships/hyperlink" Target="https://www.sec.gov/Archives/edgar/data/1680581/000095017023006841/fulc-ex10_24.htm" TargetMode="External"/><Relationship Id="rId30" Type="http://schemas.openxmlformats.org/officeDocument/2006/relationships/hyperlink" Target="https://www.sec.gov/Archives/edgar/data/0001680581/000104746919003793/a2239080zex-10_15.htm" TargetMode="External"/><Relationship Id="rId31" Type="http://schemas.openxmlformats.org/officeDocument/2006/relationships/hyperlink" Target="https://www.sec.gov/Archives/edgar/data/1680581/000104746919003793/a2239080zex-10_10.htm" TargetMode="External"/><Relationship Id="rId32" Type="http://schemas.openxmlformats.org/officeDocument/2006/relationships/hyperlink" Target="https://www.sec.gov/Archives/edgar/data/1680581/000156459020052732/fulc-ex102_13.htm" TargetMode="External"/><Relationship Id="rId33" Type="http://schemas.openxmlformats.org/officeDocument/2006/relationships/hyperlink" Target="https://www.sec.gov/Archives/edgar/data/1680581/000156459020052732/fulc-ex101_12.htm" TargetMode="External"/><Relationship Id="rId34" Type="http://schemas.openxmlformats.org/officeDocument/2006/relationships/hyperlink" Target="https://www.sec.gov/Archives/edgar/data/1680581/000104746919003793/a2239080zex-10_11.htm" TargetMode="External"/><Relationship Id="rId35" Type="http://schemas.openxmlformats.org/officeDocument/2006/relationships/hyperlink" Target="https://www.sec.gov/Archives/edgar/data/1680581/000119312522145361/d335800dex11.htm" TargetMode="External"/><Relationship Id="rId36" Type="http://schemas.openxmlformats.org/officeDocument/2006/relationships/hyperlink" Target="https://www.sec.gov/Archives/edgar/data/1680581/000095017023006841/fulc-ex21_1.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20200</Words>
  <Characters>113437</Characters>
  <CharactersWithSpaces>134495</CharactersWithSpaces>
  <Paragraphs>3880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