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465361"/>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65361"/>
        </w:rPr>
        <w:t>Registration No. 333-260754</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465361"/>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465361"/>
        </w:rPr>
        <w:t>(To prospectus dated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83185</wp:posOffset>
            </wp:positionV>
            <wp:extent cx="289750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120"/>
        <w:spacing w:after="0"/>
        <w:rPr>
          <w:sz w:val="20"/>
          <w:szCs w:val="20"/>
          <w:color w:val="auto"/>
        </w:rPr>
      </w:pPr>
      <w:r>
        <w:rPr>
          <w:rFonts w:ascii="Arial" w:cs="Arial" w:eastAsia="Arial" w:hAnsi="Arial"/>
          <w:sz w:val="29"/>
          <w:szCs w:val="29"/>
          <w:b w:val="1"/>
          <w:bCs w:val="1"/>
          <w:color w:val="465361"/>
        </w:rPr>
        <w:t>$50,000,000</w:t>
      </w:r>
    </w:p>
    <w:p>
      <w:pPr>
        <w:spacing w:after="0" w:line="220" w:lineRule="exact"/>
        <w:rPr>
          <w:sz w:val="24"/>
          <w:szCs w:val="24"/>
          <w:color w:val="auto"/>
        </w:rPr>
      </w:pPr>
    </w:p>
    <w:p>
      <w:pPr>
        <w:ind w:left="120"/>
        <w:spacing w:after="0"/>
        <w:rPr>
          <w:sz w:val="20"/>
          <w:szCs w:val="20"/>
          <w:color w:val="auto"/>
        </w:rPr>
      </w:pPr>
      <w:r>
        <w:rPr>
          <w:rFonts w:ascii="Arial" w:cs="Arial" w:eastAsia="Arial" w:hAnsi="Arial"/>
          <w:sz w:val="29"/>
          <w:szCs w:val="29"/>
          <w:b w:val="1"/>
          <w:bCs w:val="1"/>
          <w:color w:val="465361"/>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120" w:right="20"/>
        <w:spacing w:after="0" w:line="259" w:lineRule="auto"/>
        <w:rPr>
          <w:sz w:val="20"/>
          <w:szCs w:val="20"/>
          <w:color w:val="auto"/>
        </w:rPr>
      </w:pPr>
      <w:r>
        <w:rPr>
          <w:rFonts w:ascii="Arial" w:cs="Arial" w:eastAsia="Arial" w:hAnsi="Arial"/>
          <w:sz w:val="18"/>
          <w:szCs w:val="18"/>
          <w:color w:val="465361"/>
        </w:rPr>
        <w:t>We have entered into an equity distribution agreement with Piper Sandler &amp; Co., or Piper Sandler, dated May 9, 2022, relating to the sale of shares of our common stock offered by this prospectus supplement. In accordance with the terms of the equity distribution agreement, under this prospectus supplement we may offer and sell shares of our common stock, $0.001 par value per share, having an aggregate offering price of up to $50,000,000 from time to time through Piper Sandler, acting as our agent.</w:t>
      </w:r>
    </w:p>
    <w:p>
      <w:pPr>
        <w:spacing w:after="0" w:line="187" w:lineRule="exact"/>
        <w:rPr>
          <w:sz w:val="24"/>
          <w:szCs w:val="24"/>
          <w:color w:val="auto"/>
        </w:rPr>
      </w:pPr>
    </w:p>
    <w:p>
      <w:pPr>
        <w:ind w:left="120" w:right="480"/>
        <w:spacing w:after="0" w:line="277" w:lineRule="auto"/>
        <w:rPr>
          <w:sz w:val="20"/>
          <w:szCs w:val="20"/>
          <w:color w:val="auto"/>
        </w:rPr>
      </w:pPr>
      <w:r>
        <w:rPr>
          <w:rFonts w:ascii="Arial" w:cs="Arial" w:eastAsia="Arial" w:hAnsi="Arial"/>
          <w:sz w:val="18"/>
          <w:szCs w:val="18"/>
          <w:color w:val="465361"/>
        </w:rPr>
        <w:t>Our common stock is listed on The Nasdaq Global Market under the symbol “FULC”. On May 6, 2022, the last sale price of our common stock as reported on The Nasdaq Global Market was $8.63 per share.</w:t>
      </w:r>
    </w:p>
    <w:p>
      <w:pPr>
        <w:spacing w:after="0" w:line="170" w:lineRule="exact"/>
        <w:rPr>
          <w:sz w:val="24"/>
          <w:szCs w:val="24"/>
          <w:color w:val="auto"/>
        </w:rPr>
      </w:pPr>
    </w:p>
    <w:p>
      <w:pPr>
        <w:ind w:left="120" w:right="80"/>
        <w:spacing w:after="0" w:line="275" w:lineRule="auto"/>
        <w:rPr>
          <w:sz w:val="20"/>
          <w:szCs w:val="20"/>
          <w:color w:val="auto"/>
        </w:rPr>
      </w:pPr>
      <w:r>
        <w:rPr>
          <w:rFonts w:ascii="Arial" w:cs="Arial" w:eastAsia="Arial" w:hAnsi="Arial"/>
          <w:sz w:val="17"/>
          <w:szCs w:val="17"/>
          <w:color w:val="465361"/>
        </w:rPr>
        <w:t>Sales of our common stock, if any, under this prospectus supplement and the accompanying base prospectus may be made by any method permitted by law that is deemed to be an “at the market offering” as defined in Rule 415(a)(4) under the Securities Act of 1933, as amended, or the Securities Act, including sales made directly on or through The Nasdaq Global Market, the existing trading market for our common stock. Piper Sandler is not required to sell any specific amount, but will act as our sales agent using commercially reasonable efforts, consistent with its normal trading and sales practices. There is no arrangement for funds to be received in an escrow, trust or similar arrangement.</w:t>
      </w:r>
    </w:p>
    <w:p>
      <w:pPr>
        <w:spacing w:after="0" w:line="176" w:lineRule="exact"/>
        <w:rPr>
          <w:sz w:val="24"/>
          <w:szCs w:val="24"/>
          <w:color w:val="auto"/>
        </w:rPr>
      </w:pPr>
    </w:p>
    <w:p>
      <w:pPr>
        <w:ind w:left="120" w:right="100"/>
        <w:spacing w:after="0" w:line="255" w:lineRule="auto"/>
        <w:rPr>
          <w:sz w:val="20"/>
          <w:szCs w:val="20"/>
          <w:color w:val="auto"/>
        </w:rPr>
      </w:pPr>
      <w:r>
        <w:rPr>
          <w:rFonts w:ascii="Arial" w:cs="Arial" w:eastAsia="Arial" w:hAnsi="Arial"/>
          <w:sz w:val="18"/>
          <w:szCs w:val="18"/>
          <w:color w:val="465361"/>
        </w:rPr>
        <w:t>The compensation to Piper Sandler for sales of common stock sold pursuant to the equity distribution agreement will be 3.0% of the gross proceeds of any shares of common stock sold under the equity distribution agreement. See “Plan of Distribution” beginning on page S-10 for additional information regarding the compensation to be paid to Piper Sandler. In connection with the sale of the common stock on our behalf, Piper Sandler will be deemed to be an “underwriter” within the meaning of the Securities Act and the compensation of Piper Sandler will be deemed to be underwriting commissions or discounts. We have also agreed to provide indemnification and contribution to Piper Sandler with respect to certain liabilities, including civil liabilities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120" w:right="60"/>
        <w:spacing w:after="0" w:line="266" w:lineRule="auto"/>
        <w:rPr>
          <w:rFonts w:ascii="Arial" w:cs="Arial" w:eastAsia="Arial" w:hAnsi="Arial"/>
          <w:sz w:val="18"/>
          <w:szCs w:val="18"/>
          <w:b w:val="1"/>
          <w:bCs w:val="1"/>
          <w:color w:val="465361"/>
        </w:rPr>
      </w:pPr>
      <w:r>
        <w:rPr>
          <w:rFonts w:ascii="Arial" w:cs="Arial" w:eastAsia="Arial" w:hAnsi="Arial"/>
          <w:sz w:val="18"/>
          <w:szCs w:val="18"/>
          <w:b w:val="1"/>
          <w:bCs w:val="1"/>
          <w:color w:val="465361"/>
        </w:rPr>
        <w:t>Investing in our common stock involves significant risks. See “</w:t>
      </w:r>
      <w:hyperlink w:anchor="page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465361"/>
        </w:rPr>
        <w:t>” beginning on page S-6 of this prospectus supplement, page 2 of the accompanying base prospectus and in the documents incorporated by reference in this prospectus supplement for a discussion of the factors you should carefully consider before deciding to purchase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120" w:right="40"/>
        <w:spacing w:after="0" w:line="266" w:lineRule="auto"/>
        <w:rPr>
          <w:sz w:val="20"/>
          <w:szCs w:val="20"/>
          <w:color w:val="auto"/>
        </w:rPr>
      </w:pPr>
      <w:r>
        <w:rPr>
          <w:rFonts w:ascii="Arial" w:cs="Arial" w:eastAsia="Arial" w:hAnsi="Arial"/>
          <w:sz w:val="18"/>
          <w:szCs w:val="18"/>
          <w:b w:val="1"/>
          <w:bCs w:val="1"/>
          <w:color w:val="465361"/>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465361"/>
        </w:rPr>
        <w:t>Piper Sandler</w:t>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465361"/>
        </w:rPr>
        <w:t>May 9, 2022</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8"/>
          </w:tcPr>
          <w:p>
            <w:pPr>
              <w:ind w:left="240"/>
              <w:spacing w:after="0"/>
              <w:rPr>
                <w:sz w:val="20"/>
                <w:szCs w:val="20"/>
                <w:color w:val="auto"/>
              </w:rPr>
            </w:pPr>
            <w:r>
              <w:rPr>
                <w:rFonts w:ascii="Arial" w:cs="Arial" w:eastAsia="Arial" w:hAnsi="Arial"/>
                <w:sz w:val="18"/>
                <w:szCs w:val="18"/>
                <w:b w:val="1"/>
                <w:bCs w:val="1"/>
                <w:color w:val="465361"/>
              </w:rPr>
              <w:t>TABLE OF CONTENTS</w:t>
            </w:r>
          </w:p>
        </w:tc>
        <w:tc>
          <w:tcPr>
            <w:tcW w:w="620" w:type="dxa"/>
            <w:vAlign w:val="bottom"/>
          </w:tcPr>
          <w:p>
            <w:pPr>
              <w:spacing w:after="0"/>
              <w:rPr>
                <w:sz w:val="24"/>
                <w:szCs w:val="24"/>
                <w:color w:val="auto"/>
              </w:rPr>
            </w:pPr>
          </w:p>
        </w:tc>
      </w:tr>
      <w:tr>
        <w:trPr>
          <w:trHeight w:val="459"/>
        </w:trPr>
        <w:tc>
          <w:tcPr>
            <w:tcW w:w="9360" w:type="dxa"/>
            <w:vAlign w:val="bottom"/>
            <w:gridSpan w:val="23"/>
          </w:tcPr>
          <w:p>
            <w:pPr>
              <w:ind w:left="1220"/>
              <w:spacing w:after="0"/>
              <w:rPr>
                <w:sz w:val="20"/>
                <w:szCs w:val="20"/>
                <w:color w:val="auto"/>
              </w:rPr>
            </w:pPr>
            <w:r>
              <w:rPr>
                <w:rFonts w:ascii="Arial" w:cs="Arial" w:eastAsia="Arial" w:hAnsi="Arial"/>
                <w:sz w:val="18"/>
                <w:szCs w:val="18"/>
                <w:b w:val="1"/>
                <w:bCs w:val="1"/>
                <w:color w:val="465361"/>
              </w:rPr>
              <w:t>Prospectus Supplement</w:t>
            </w:r>
          </w:p>
        </w:tc>
        <w:tc>
          <w:tcPr>
            <w:tcW w:w="620" w:type="dxa"/>
            <w:vAlign w:val="bottom"/>
          </w:tcPr>
          <w:p>
            <w:pPr>
              <w:spacing w:after="0"/>
              <w:rPr>
                <w:sz w:val="24"/>
                <w:szCs w:val="24"/>
                <w:color w:val="auto"/>
              </w:rPr>
            </w:pPr>
          </w:p>
        </w:tc>
      </w:tr>
      <w:tr>
        <w:trPr>
          <w:trHeight w:val="283"/>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4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452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S-1</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 AND INDUSTRY DATA</w:t>
              </w:r>
            </w:hyperlink>
          </w:p>
        </w:tc>
        <w:tc>
          <w:tcPr>
            <w:tcW w:w="620" w:type="dxa"/>
            <w:vAlign w:val="bottom"/>
          </w:tcPr>
          <w:p>
            <w:pPr>
              <w:jc w:val="right"/>
              <w:spacing w:after="0"/>
              <w:rPr>
                <w:sz w:val="20"/>
                <w:szCs w:val="20"/>
                <w:color w:val="auto"/>
              </w:rPr>
            </w:pPr>
            <w:r>
              <w:rPr>
                <w:rFonts w:ascii="Arial" w:cs="Arial" w:eastAsia="Arial" w:hAnsi="Arial"/>
                <w:sz w:val="18"/>
                <w:szCs w:val="18"/>
                <w:color w:val="465361"/>
              </w:rPr>
              <w:t>S-2</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Borders>
              <w:top w:val="single" w:sz="8" w:color="0000EE"/>
            </w:tcBorders>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0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S-3</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THE OFFERING</w:t>
              </w:r>
            </w:hyperlink>
          </w:p>
        </w:tc>
        <w:tc>
          <w:tcPr>
            <w:tcW w:w="800" w:type="dxa"/>
            <w:vAlign w:val="bottom"/>
            <w:tcBorders>
              <w:top w:val="single" w:sz="8" w:color="0000EE"/>
            </w:tcBorders>
            <w:gridSpan w:val="5"/>
          </w:tcPr>
          <w:p>
            <w:pPr>
              <w:spacing w:after="0"/>
              <w:rPr>
                <w:sz w:val="24"/>
                <w:szCs w:val="24"/>
                <w:color w:val="auto"/>
              </w:rPr>
            </w:pPr>
          </w:p>
        </w:tc>
        <w:tc>
          <w:tcPr>
            <w:tcW w:w="58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S-5</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6700" w:type="dxa"/>
            <w:vAlign w:val="bottom"/>
            <w:gridSpan w:val="1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S-6</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465361"/>
              </w:rPr>
              <w:t>S-8</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DILUTION</w:t>
              </w:r>
            </w:hyperlink>
          </w:p>
        </w:tc>
        <w:tc>
          <w:tcPr>
            <w:tcW w:w="638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S-9</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PLAN OF DISTRIBUTION</w:t>
              </w:r>
            </w:hyperlink>
          </w:p>
        </w:tc>
        <w:tc>
          <w:tcPr>
            <w:tcW w:w="590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S-10</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LEGAL MATTERS</w:t>
              </w:r>
            </w:hyperlink>
          </w:p>
        </w:tc>
        <w:tc>
          <w:tcPr>
            <w:tcW w:w="6500" w:type="dxa"/>
            <w:vAlign w:val="bottom"/>
            <w:gridSpan w:val="1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S-12</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EXPERTS</w:t>
              </w:r>
            </w:hyperlink>
          </w:p>
        </w:tc>
        <w:tc>
          <w:tcPr>
            <w:tcW w:w="7180" w:type="dxa"/>
            <w:vAlign w:val="bottom"/>
            <w:gridSpan w:val="2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S-12</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WHERE YOU CAN FIND MORE INFORMATION</w:t>
              </w:r>
            </w:hyperlink>
          </w:p>
        </w:tc>
        <w:tc>
          <w:tcPr>
            <w:tcW w:w="414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S-12</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INCORPORATION OF CERTAIN DOCUMENTS BY REFERENCE</w:t>
              </w:r>
            </w:hyperlink>
          </w:p>
        </w:tc>
        <w:tc>
          <w:tcPr>
            <w:tcW w:w="290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S-12</w:t>
            </w:r>
          </w:p>
        </w:tc>
      </w:tr>
      <w:tr>
        <w:trPr>
          <w:trHeight w:val="520"/>
        </w:trPr>
        <w:tc>
          <w:tcPr>
            <w:tcW w:w="9360" w:type="dxa"/>
            <w:vAlign w:val="bottom"/>
            <w:gridSpan w:val="23"/>
          </w:tcPr>
          <w:p>
            <w:pPr>
              <w:ind w:left="1220"/>
              <w:spacing w:after="0"/>
              <w:rPr>
                <w:sz w:val="20"/>
                <w:szCs w:val="20"/>
                <w:color w:val="auto"/>
              </w:rPr>
            </w:pPr>
            <w:r>
              <w:rPr>
                <w:rFonts w:ascii="Arial" w:cs="Arial" w:eastAsia="Arial" w:hAnsi="Arial"/>
                <w:sz w:val="18"/>
                <w:szCs w:val="18"/>
                <w:b w:val="1"/>
                <w:bCs w:val="1"/>
                <w:color w:val="465361"/>
              </w:rPr>
              <w:t>Prospectus</w:t>
            </w:r>
          </w:p>
        </w:tc>
        <w:tc>
          <w:tcPr>
            <w:tcW w:w="620" w:type="dxa"/>
            <w:vAlign w:val="bottom"/>
          </w:tcPr>
          <w:p>
            <w:pPr>
              <w:spacing w:after="0"/>
              <w:rPr>
                <w:sz w:val="24"/>
                <w:szCs w:val="24"/>
                <w:color w:val="auto"/>
              </w:rPr>
            </w:pPr>
          </w:p>
        </w:tc>
      </w:tr>
      <w:tr>
        <w:trPr>
          <w:trHeight w:val="283"/>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ABOUT THIS PROSPECTUS</w:t>
              </w:r>
            </w:hyperlink>
          </w:p>
        </w:tc>
        <w:tc>
          <w:tcPr>
            <w:tcW w:w="572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1</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6700" w:type="dxa"/>
            <w:vAlign w:val="bottom"/>
            <w:gridSpan w:val="1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2</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WHERE YOU CAN FIND MORE INFORMATION</w:t>
              </w:r>
            </w:hyperlink>
          </w:p>
        </w:tc>
        <w:tc>
          <w:tcPr>
            <w:tcW w:w="414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3</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INCORPORATION OF CERTAIN DOCUMENTS BY REFERENCE</w:t>
              </w:r>
            </w:hyperlink>
          </w:p>
        </w:tc>
        <w:tc>
          <w:tcPr>
            <w:tcW w:w="620" w:type="dxa"/>
            <w:vAlign w:val="bottom"/>
          </w:tcPr>
          <w:p>
            <w:pPr>
              <w:jc w:val="right"/>
              <w:spacing w:after="0"/>
              <w:rPr>
                <w:sz w:val="20"/>
                <w:szCs w:val="20"/>
                <w:color w:val="auto"/>
              </w:rPr>
            </w:pPr>
            <w:r>
              <w:rPr>
                <w:rFonts w:ascii="Arial" w:cs="Arial" w:eastAsia="Arial" w:hAnsi="Arial"/>
                <w:sz w:val="18"/>
                <w:szCs w:val="18"/>
                <w:color w:val="465361"/>
              </w:rPr>
              <w:t>3</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EE"/>
            </w:tcBorders>
            <w:gridSpan w:val="7"/>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8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CAUTIONARY NOTE REGARDING FORWARD-LOOKING STATEMENTS AND INDUSTRY DATA</w:t>
              </w:r>
            </w:hyperlink>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4</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ABOUT FULCRUM THERAPEUTICS, INC.</w:t>
              </w:r>
            </w:hyperlink>
          </w:p>
        </w:tc>
        <w:tc>
          <w:tcPr>
            <w:tcW w:w="460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5</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465361"/>
              </w:rPr>
              <w:t>6</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DESCRIPTION OF DEBT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465361"/>
              </w:rPr>
              <w:t>7</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tcBorders>
              <w:top w:val="single" w:sz="8" w:color="0000EE"/>
            </w:tcBorders>
            <w:gridSpan w:val="13"/>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DESCRIPTION OF CAPITAL STOCK</w:t>
              </w:r>
            </w:hyperlink>
          </w:p>
        </w:tc>
        <w:tc>
          <w:tcPr>
            <w:tcW w:w="494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17</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EE"/>
            </w:tcBorders>
            <w:gridSpan w:val="7"/>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DESCRIPTION OF DEPOSITARY SHARES</w:t>
              </w:r>
            </w:hyperlink>
          </w:p>
        </w:tc>
        <w:tc>
          <w:tcPr>
            <w:tcW w:w="620" w:type="dxa"/>
            <w:vAlign w:val="bottom"/>
          </w:tcPr>
          <w:p>
            <w:pPr>
              <w:jc w:val="right"/>
              <w:spacing w:after="0"/>
              <w:rPr>
                <w:sz w:val="20"/>
                <w:szCs w:val="20"/>
                <w:color w:val="auto"/>
              </w:rPr>
            </w:pPr>
            <w:r>
              <w:rPr>
                <w:rFonts w:ascii="Arial" w:cs="Arial" w:eastAsia="Arial" w:hAnsi="Arial"/>
                <w:sz w:val="18"/>
                <w:szCs w:val="18"/>
                <w:color w:val="465361"/>
              </w:rPr>
              <w:t>25</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Borders>
              <w:top w:val="single" w:sz="8" w:color="0000EE"/>
            </w:tcBorders>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UNITS</w:t>
              </w:r>
            </w:hyperlink>
          </w:p>
        </w:tc>
        <w:tc>
          <w:tcPr>
            <w:tcW w:w="464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28</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EE"/>
            </w:tcBorders>
            <w:gridSpan w:val="7"/>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DESCRIPTION OF WARRANTS</w:t>
              </w:r>
            </w:hyperlink>
          </w:p>
        </w:tc>
        <w:tc>
          <w:tcPr>
            <w:tcW w:w="620" w:type="dxa"/>
            <w:vAlign w:val="bottom"/>
          </w:tcPr>
          <w:p>
            <w:pPr>
              <w:jc w:val="right"/>
              <w:spacing w:after="0"/>
              <w:rPr>
                <w:sz w:val="20"/>
                <w:szCs w:val="20"/>
                <w:color w:val="auto"/>
              </w:rPr>
            </w:pPr>
            <w:r>
              <w:rPr>
                <w:rFonts w:ascii="Arial" w:cs="Arial" w:eastAsia="Arial" w:hAnsi="Arial"/>
                <w:sz w:val="18"/>
                <w:szCs w:val="18"/>
                <w:color w:val="465361"/>
              </w:rPr>
              <w:t>29</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FORMS OF SECURITIES</w:t>
              </w:r>
            </w:hyperlink>
          </w:p>
        </w:tc>
        <w:tc>
          <w:tcPr>
            <w:tcW w:w="460" w:type="dxa"/>
            <w:vAlign w:val="bottom"/>
            <w:tcBorders>
              <w:top w:val="single" w:sz="8" w:color="0000EE"/>
            </w:tcBorders>
            <w:gridSpan w:val="4"/>
          </w:tcPr>
          <w:p>
            <w:pPr>
              <w:spacing w:after="0"/>
              <w:rPr>
                <w:sz w:val="24"/>
                <w:szCs w:val="24"/>
                <w:color w:val="auto"/>
              </w:rPr>
            </w:pPr>
          </w:p>
        </w:tc>
        <w:tc>
          <w:tcPr>
            <w:tcW w:w="548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30</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PLAN OF DISTRIBUTION</w:t>
              </w:r>
            </w:hyperlink>
          </w:p>
        </w:tc>
        <w:tc>
          <w:tcPr>
            <w:tcW w:w="590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32</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LEGAL MATTERS</w:t>
              </w:r>
            </w:hyperlink>
          </w:p>
        </w:tc>
        <w:tc>
          <w:tcPr>
            <w:tcW w:w="6500" w:type="dxa"/>
            <w:vAlign w:val="bottom"/>
            <w:gridSpan w:val="1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35</w:t>
            </w:r>
          </w:p>
        </w:tc>
      </w:tr>
      <w:tr>
        <w:trPr>
          <w:trHeight w:val="304"/>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EXPERTS</w:t>
              </w:r>
            </w:hyperlink>
          </w:p>
        </w:tc>
        <w:tc>
          <w:tcPr>
            <w:tcW w:w="7180" w:type="dxa"/>
            <w:vAlign w:val="bottom"/>
            <w:gridSpan w:val="2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465361"/>
              </w:rPr>
              <w:t>35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8"/>
          <w:szCs w:val="18"/>
          <w:color w:val="465361"/>
        </w:rPr>
        <w:t>S-i</w:t>
      </w:r>
    </w:p>
    <w:p>
      <w:pPr>
        <w:sectPr>
          <w:pgSz w:w="11900" w:h="16838" w:orient="portrait"/>
          <w:cols w:equalWidth="0" w:num="1">
            <w:col w:w="10139"/>
          </w:cols>
          <w:pgMar w:left="320" w:top="44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ABOUT THIS PROSPECTUS SUPPLEMENT</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465361"/>
        </w:rPr>
        <w:t>This prospectus supplement is part of a registration statement that we filed with the Securities and Exchange Commission, or the SEC, utilizing a “shelf” registration process. Under this prospectus supplement, we may from time to time sell shares of our common stock having an aggregate offering price of up to $50,000,000, at prices and on terms to be determined by market conditions at the time of the offering.</w:t>
      </w:r>
    </w:p>
    <w:p>
      <w:pPr>
        <w:spacing w:after="0" w:line="165"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465361"/>
        </w:rPr>
        <w:t>Before buying any of the common stock that we are offering, we urge you to carefully read this prospectus supplement, the accompanying base prospectus and all of the information in the documents that are incorporated by reference in this prospectus supplement and the accompanying base prospectus, as well as the additional information described under the headings “Where You Can Find More Information” and “Incorporation of Certain Documents by Reference.” These documents contain important information that you should consider when making your investment decision.</w:t>
      </w:r>
    </w:p>
    <w:p>
      <w:pPr>
        <w:spacing w:after="0" w:line="15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465361"/>
        </w:rPr>
        <w:t>We provide information to you about this offering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1"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465361"/>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465361"/>
        </w:rPr>
        <w:t>We have not, and Piper Sandler has not, authorized anyone to provide you with any information other than that contained or incorporated by reference in this prospectus supplement or any accompanying prospectus or in any related free writing prospectus to which we have referred you. We and Piper Sandler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any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465361"/>
        </w:rPr>
        <w:t>You should also read and consider the information in the documents to which we have referred you in the sections entitled “Where You Can Find More Information” and “Incorporation of Certain Documents by Reference” in this prospectus supplement.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465361"/>
        </w:rPr>
        <w:t>Unless the context otherwise indicates, references in this prospectus supplement to “Fulcrum” “we,” “our,” “us” and “the Company” refer, collectively, to Fulcrum Therapeutics, Inc., a Delaware corporation and its consolidated subsidiary.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CAUTIONARY NOTE REGARDING FORWARD-LOOKING STATEMENTS AND INDUSTRY DATA</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465361"/>
        </w:rPr>
        <w:t>This prospectus supplement, the accompanying base prospectus and the documents incorporated by reference in each of this prospectus supplement and the accompanying base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supplement and the accompanying base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465361"/>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supplement,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465361"/>
        </w:rPr>
        <w:t>You should read this prospectus supplement, the accompanying base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The forward-looking statements contained in this prospectus supplement and the accompanying base prospectus and incorporated by reference herein are made as of the date hereof, and we do not assume any obligation to update any forward-looking statements except as required by applicable law.</w:t>
      </w:r>
    </w:p>
    <w:p>
      <w:pPr>
        <w:spacing w:after="0" w:line="176"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465361"/>
        </w:rPr>
        <w:t>This prospectus supplement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S-2</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465361"/>
        </w:rPr>
        <w:t>PROSPECTUS SUMMARY</w:t>
      </w:r>
    </w:p>
    <w:p>
      <w:pPr>
        <w:spacing w:after="0" w:line="121"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i w:val="1"/>
          <w:iCs w:val="1"/>
          <w:color w:val="465361"/>
        </w:rPr>
        <w:t>This summary highlights certain information about us, this offering and selected information contained elsewhere in this prospectus supplement, the accompanying base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S-6 of this prospectus supplement and page 2 of the accompanying base prospectus, along with our consolidated financial statements and notes to those consolidated financial statements and the other documents incorporated by reference in this prospectus supplement.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Overview</w:t>
      </w:r>
    </w:p>
    <w:p>
      <w:pPr>
        <w:spacing w:after="0" w:line="12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465361"/>
        </w:rPr>
        <w:t>We are a clinical-stage biopharmaceutical company focused on improving the lives of patients with genetically defined rare diseases in areas of high unmet medical need. Our most advanced product candidate, losmapimod,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REACH, a randomized, double-blind, placebo-controlled, multi-national Phase 3 clinical trial of losmapimod, our product candidate for FSHD, in the second quarter of 2022. We initiated a Phase 1b clinical trial of FTX-6058 in people with SCD in the fourth quarter of 2021, and we plan to present initial data, including measures of fetal hemoglobin, or HbF, protein induction and safety, from the ongoing 6 mg dose cohort at the European Hematology Association, or EHA, 2022 Hybrid Congress, taking place from June 9-12, 2022. Additionally, we submitted an investigational new drug application, or IND, in the fourth quarter of 2021 for FTX-6058 in other select hemoglobinopathies, including ß-thalassemia, and expect to initiate a Phase 1b clinical trial in the second half of 2022.</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465361"/>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Corporate Information</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465361"/>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supplement. We have included our website address in this prospectus supplement solely as an inactive textual reference.</w:t>
      </w:r>
    </w:p>
    <w:p>
      <w:pPr>
        <w:spacing w:after="0" w:line="17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465361"/>
        </w:rPr>
        <w:t>We own or have rights, or have applied for, to trademarks, service marks and trade names that we use in connection with the operation of our business, including our corporate name, logos and website names. Other trademarks, service marks and trade names appearing in this prospectus supplement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S-3</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465361"/>
        </w:rPr>
        <w:t xml:space="preserve">accompanying base prospectus are the property of their respective owners. Solely for convenience, some of the trademarks, service marks and trade names referred to in this prospectus supplement and the accompanying base prospectus are listed without the </w:t>
      </w:r>
      <w:r>
        <w:rPr>
          <w:rFonts w:ascii="Arial" w:cs="Arial" w:eastAsia="Arial" w:hAnsi="Arial"/>
          <w:sz w:val="15"/>
          <w:szCs w:val="15"/>
          <w:color w:val="465361"/>
        </w:rPr>
        <w:t>®</w:t>
      </w:r>
      <w:r>
        <w:rPr>
          <w:rFonts w:ascii="Arial" w:cs="Arial" w:eastAsia="Arial" w:hAnsi="Arial"/>
          <w:sz w:val="18"/>
          <w:szCs w:val="18"/>
          <w:color w:val="465361"/>
        </w:rPr>
        <w:t xml:space="preserve"> and </w:t>
      </w:r>
      <w:r>
        <w:rPr>
          <w:rFonts w:ascii="Arial" w:cs="Arial" w:eastAsia="Arial" w:hAnsi="Arial"/>
          <w:sz w:val="15"/>
          <w:szCs w:val="15"/>
          <w:color w:val="465361"/>
        </w:rPr>
        <w:t>™</w:t>
      </w:r>
      <w:r>
        <w:rPr>
          <w:rFonts w:ascii="Arial" w:cs="Arial" w:eastAsia="Arial" w:hAnsi="Arial"/>
          <w:sz w:val="18"/>
          <w:szCs w:val="18"/>
          <w:color w:val="465361"/>
        </w:rPr>
        <w:t xml:space="preserve"> symbols, but we will assert, to the fullest extent under applicable law, our rights to our trademarks, service marks and trade names.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Implications of Being an Emerging Growth Company and a Smaller Reporting Company</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465361"/>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192" w:lineRule="exact"/>
        <w:rPr>
          <w:sz w:val="20"/>
          <w:szCs w:val="20"/>
          <w:color w:val="auto"/>
        </w:rPr>
      </w:pPr>
    </w:p>
    <w:p>
      <w:pPr>
        <w:ind w:left="120" w:right="280"/>
        <w:spacing w:after="0" w:line="272" w:lineRule="auto"/>
        <w:rPr>
          <w:sz w:val="20"/>
          <w:szCs w:val="20"/>
          <w:color w:val="auto"/>
        </w:rPr>
      </w:pPr>
      <w:r>
        <w:rPr>
          <w:rFonts w:ascii="Arial" w:cs="Arial" w:eastAsia="Arial" w:hAnsi="Arial"/>
          <w:sz w:val="17"/>
          <w:szCs w:val="17"/>
          <w:color w:val="465361"/>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as of our most recently completed second fiscal quarter or (ii) our 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THE OFFERING</w:t>
      </w:r>
    </w:p>
    <w:p>
      <w:pPr>
        <w:sectPr>
          <w:pgSz w:w="11900" w:h="16838" w:orient="portrait"/>
          <w:cols w:equalWidth="0" w:num="1">
            <w:col w:w="11100"/>
          </w:cols>
          <w:pgMar w:left="320" w:top="459" w:right="47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465361"/>
        </w:rPr>
        <w:t>Shares of our common stock having an aggregate offering price of up to $50,000,000.</w:t>
      </w:r>
    </w:p>
    <w:p>
      <w:pPr>
        <w:spacing w:after="0" w:line="200" w:lineRule="exact"/>
        <w:rPr>
          <w:sz w:val="20"/>
          <w:szCs w:val="20"/>
          <w:color w:val="auto"/>
        </w:rPr>
      </w:pPr>
    </w:p>
    <w:p>
      <w:pPr>
        <w:sectPr>
          <w:pgSz w:w="11900" w:h="16838" w:orient="portrait"/>
          <w:cols w:equalWidth="0" w:num="2">
            <w:col w:w="3580" w:space="720"/>
            <w:col w:w="6800"/>
          </w:cols>
          <w:pgMar w:left="320" w:top="459" w:right="47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Common Stock to be Outstanding Immediately After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465361"/>
        </w:rPr>
        <w:t>Up to 46,477,767 shares, assuming sales of 5,793,742 shares of our common stock in this offering at a price of $8.63 per share, which was the last reported sale price of our common stock on The Nasdaq Global Market on May 6, 2022. The actual number of shares issued will vary depending on the sales price under this offering.</w:t>
      </w:r>
    </w:p>
    <w:p>
      <w:pPr>
        <w:spacing w:after="0" w:line="200" w:lineRule="exact"/>
        <w:rPr>
          <w:sz w:val="20"/>
          <w:szCs w:val="20"/>
          <w:color w:val="auto"/>
        </w:rPr>
      </w:pPr>
    </w:p>
    <w:p>
      <w:pPr>
        <w:sectPr>
          <w:pgSz w:w="11900" w:h="16838" w:orient="portrait"/>
          <w:cols w:equalWidth="0" w:num="2">
            <w:col w:w="3940" w:space="360"/>
            <w:col w:w="6800"/>
          </w:cols>
          <w:pgMar w:left="320" w:top="459"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color w:val="465361"/>
        </w:rPr>
        <w:t>Manner of Offering</w:t>
      </w:r>
    </w:p>
    <w:p>
      <w:pPr>
        <w:spacing w:after="0" w:line="20" w:lineRule="exact"/>
        <w:rPr>
          <w:sz w:val="20"/>
          <w:szCs w:val="20"/>
          <w:color w:val="auto"/>
        </w:rPr>
      </w:pPr>
      <w:r>
        <w:rPr>
          <w:sz w:val="20"/>
          <w:szCs w:val="20"/>
          <w:color w:val="auto"/>
        </w:rPr>
        <w:br w:type="column"/>
      </w:r>
    </w:p>
    <w:p>
      <w:pPr>
        <w:ind w:right="220"/>
        <w:spacing w:after="0" w:line="342" w:lineRule="auto"/>
        <w:rPr>
          <w:sz w:val="20"/>
          <w:szCs w:val="20"/>
          <w:color w:val="auto"/>
        </w:rPr>
      </w:pPr>
      <w:r>
        <w:rPr>
          <w:rFonts w:ascii="Arial" w:cs="Arial" w:eastAsia="Arial" w:hAnsi="Arial"/>
          <w:sz w:val="16"/>
          <w:szCs w:val="16"/>
          <w:color w:val="465361"/>
        </w:rPr>
        <w:t>“At the market” offering that may be made from time to time through our sales agent, Piper Sandler. See “Plan of Distribution” in this prospectus supplement for more information.</w:t>
      </w:r>
    </w:p>
    <w:p>
      <w:pPr>
        <w:spacing w:after="0" w:line="151" w:lineRule="exact"/>
        <w:rPr>
          <w:sz w:val="20"/>
          <w:szCs w:val="20"/>
          <w:color w:val="auto"/>
        </w:rPr>
      </w:pPr>
    </w:p>
    <w:p>
      <w:pPr>
        <w:sectPr>
          <w:pgSz w:w="11900" w:h="16838" w:orient="portrait"/>
          <w:cols w:equalWidth="0" w:num="2">
            <w:col w:w="3580" w:space="720"/>
            <w:col w:w="680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5"/>
          <w:szCs w:val="15"/>
          <w:color w:val="465361"/>
        </w:rPr>
        <w:t>Use of Proceeds</w:t>
      </w:r>
    </w:p>
    <w:p>
      <w:pPr>
        <w:spacing w:after="0" w:line="20" w:lineRule="exact"/>
        <w:rPr>
          <w:sz w:val="20"/>
          <w:szCs w:val="20"/>
          <w:color w:val="auto"/>
        </w:rPr>
      </w:pPr>
      <w:r>
        <w:rPr>
          <w:sz w:val="20"/>
          <w:szCs w:val="20"/>
          <w:color w:val="auto"/>
        </w:rPr>
        <w:br w:type="column"/>
      </w:r>
    </w:p>
    <w:p>
      <w:pPr>
        <w:ind w:right="80"/>
        <w:spacing w:after="0" w:line="271" w:lineRule="auto"/>
        <w:rPr>
          <w:sz w:val="20"/>
          <w:szCs w:val="20"/>
          <w:color w:val="auto"/>
        </w:rPr>
      </w:pPr>
      <w:r>
        <w:rPr>
          <w:rFonts w:ascii="Arial" w:cs="Arial" w:eastAsia="Arial" w:hAnsi="Arial"/>
          <w:sz w:val="17"/>
          <w:szCs w:val="17"/>
          <w:color w:val="465361"/>
        </w:rPr>
        <w:t>We intend to use the net proceeds from the sale of securities offered under this prospectus supplement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 See “Use of Proceeds” in this prospectus supplement for more information.</w:t>
      </w:r>
    </w:p>
    <w:p>
      <w:pPr>
        <w:spacing w:after="0" w:line="200" w:lineRule="exact"/>
        <w:rPr>
          <w:sz w:val="20"/>
          <w:szCs w:val="20"/>
          <w:color w:val="auto"/>
        </w:rPr>
      </w:pPr>
    </w:p>
    <w:p>
      <w:pPr>
        <w:sectPr>
          <w:pgSz w:w="11900" w:h="16838" w:orient="portrait"/>
          <w:cols w:equalWidth="0" w:num="2">
            <w:col w:w="3580" w:space="720"/>
            <w:col w:w="6800"/>
          </w:cols>
          <w:pgMar w:left="320" w:top="459" w:right="479" w:bottom="1440" w:gutter="0" w:footer="0" w:header="0"/>
          <w:type w:val="continuous"/>
        </w:sectPr>
      </w:pP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Risk Factors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465361"/>
        </w:rPr>
        <w:t>You should read the “Risk Factors” in this prospectus supplement, the accompanying base prospectus and the other documents incorporated by reference into this prospectus supplement for a discussion of factors to consider carefully before deciding to purchase shares of our common stock.</w:t>
      </w:r>
    </w:p>
    <w:p>
      <w:pPr>
        <w:spacing w:after="0" w:line="200" w:lineRule="exact"/>
        <w:rPr>
          <w:sz w:val="20"/>
          <w:szCs w:val="20"/>
          <w:color w:val="auto"/>
        </w:rPr>
      </w:pPr>
    </w:p>
    <w:p>
      <w:pPr>
        <w:sectPr>
          <w:pgSz w:w="11900" w:h="16838" w:orient="portrait"/>
          <w:cols w:equalWidth="0" w:num="2">
            <w:col w:w="3580" w:space="720"/>
            <w:col w:w="6800"/>
          </w:cols>
          <w:pgMar w:left="320" w:top="459"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65361"/>
        </w:rPr>
        <w:t>FULC</w:t>
      </w:r>
    </w:p>
    <w:p>
      <w:pPr>
        <w:spacing w:after="0" w:line="200" w:lineRule="exact"/>
        <w:rPr>
          <w:sz w:val="20"/>
          <w:szCs w:val="20"/>
          <w:color w:val="auto"/>
        </w:rPr>
      </w:pPr>
    </w:p>
    <w:p>
      <w:pPr>
        <w:sectPr>
          <w:pgSz w:w="11900" w:h="16838" w:orient="portrait"/>
          <w:cols w:equalWidth="0" w:num="2">
            <w:col w:w="3580" w:space="720"/>
            <w:col w:w="6800"/>
          </w:cols>
          <w:pgMar w:left="320" w:top="459" w:right="479" w:bottom="1440" w:gutter="0" w:footer="0" w:header="0"/>
          <w:type w:val="continuous"/>
        </w:sectPr>
      </w:pPr>
    </w:p>
    <w:p>
      <w:pPr>
        <w:spacing w:after="0" w:line="50"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465361"/>
        </w:rPr>
        <w:t>The number of shares of our common stock that will be outstanding immediately after this offering as shown above is based on 40,684,025 shares outstanding as of March 31, 2022, including 420 shares of unvested restricted stock awards subject to repurchase by us. The number of shares outstanding as of March 31, 2022 as used throughout this prospectus supplement, unless otherwise indicated, excludes:</w:t>
      </w:r>
    </w:p>
    <w:p>
      <w:pPr>
        <w:spacing w:after="0" w:line="71" w:lineRule="exact"/>
        <w:rPr>
          <w:sz w:val="20"/>
          <w:szCs w:val="20"/>
          <w:color w:val="auto"/>
        </w:rPr>
      </w:pPr>
    </w:p>
    <w:p>
      <w:pPr>
        <w:ind w:left="1420" w:right="240" w:hanging="427"/>
        <w:spacing w:after="0" w:line="277" w:lineRule="auto"/>
        <w:tabs>
          <w:tab w:leader="none" w:pos="142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6,526,973 shares of common stock issuable upon exercise of stock options outstanding as of March 31, 2022 at a weighted average exercise price of $13.85 per share;</w:t>
      </w:r>
    </w:p>
    <w:p>
      <w:pPr>
        <w:spacing w:after="0" w:line="75" w:lineRule="exact"/>
        <w:rPr>
          <w:rFonts w:ascii="Arial" w:cs="Arial" w:eastAsia="Arial" w:hAnsi="Arial"/>
          <w:sz w:val="18"/>
          <w:szCs w:val="18"/>
          <w:color w:val="465361"/>
        </w:rPr>
      </w:pPr>
    </w:p>
    <w:p>
      <w:pPr>
        <w:ind w:left="1420" w:hanging="427"/>
        <w:spacing w:after="0"/>
        <w:tabs>
          <w:tab w:leader="none" w:pos="142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44,427 shares of common stock issuable upon vesting of restricted stock units outstanding as of March 31, 2022; and</w:t>
      </w:r>
    </w:p>
    <w:p>
      <w:pPr>
        <w:spacing w:after="0" w:line="130" w:lineRule="exact"/>
        <w:rPr>
          <w:rFonts w:ascii="Arial" w:cs="Arial" w:eastAsia="Arial" w:hAnsi="Arial"/>
          <w:sz w:val="18"/>
          <w:szCs w:val="18"/>
          <w:color w:val="465361"/>
        </w:rPr>
      </w:pPr>
    </w:p>
    <w:p>
      <w:pPr>
        <w:ind w:left="1420" w:hanging="427"/>
        <w:spacing w:after="0" w:line="263" w:lineRule="auto"/>
        <w:tabs>
          <w:tab w:leader="none" w:pos="142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953,886, 1,718,480, and 1,113,021 shares of our common stock available for future issuance as of March 31, 2022 under our 2019 Stock Incentive Plan, our 2022 Inducement Stock Incentive Plan and our 2019 Employee Stock Purchase Plan, respectively, as well as any automatic increases in the number of shares of common stock reserved under these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S-5</w:t>
      </w:r>
    </w:p>
    <w:p>
      <w:pPr>
        <w:sectPr>
          <w:pgSz w:w="11900" w:h="16838" w:orient="portrait"/>
          <w:cols w:equalWidth="0" w:num="1">
            <w:col w:w="11100"/>
          </w:cols>
          <w:pgMar w:left="320" w:top="459" w:right="4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RISK FACTORS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465361"/>
        </w:rPr>
        <w:t>Investing in our common stock involves a high degree of risk. You should carefully consider the risks and uncertainties described below together with all of the other information contained in this prospectus supplement and the accompanying base prospectus and the risk factors in our most recent Annual Report on Form 10-K, our most recent Quarterly Report on Form 10-Q and in our other filings with the SEC that we make from time to time, which are incorporated by reference in this prospectus supplement, together with other information in this prospectus supplement, the accompanying base prospectus and the information and documents incorporated by reference in this prospectus supplement and the accompanying base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Risks Related to This Offering</w:t>
      </w:r>
    </w:p>
    <w:p>
      <w:pPr>
        <w:spacing w:after="0" w:line="121"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465361"/>
        </w:rPr>
        <w:t>Sale of a substantial number of shares of our common stock, including by us, could cause the market price of our common stock to drop significantly, even if our business is doing well.</w:t>
      </w:r>
    </w:p>
    <w:p>
      <w:pPr>
        <w:spacing w:after="0" w:line="6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465361"/>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465361"/>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465361"/>
        </w:rPr>
        <w:t>We have filed a registration statement covering the resale of 4,029,411 shares of our common stock that we sold to purchasers in a private placement and have agreed to keep such registration statement effective until the date the shares covered by the registration statement have been sold or can be resold without restriction under Rule 144 of the Securities Act.</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465361"/>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465361"/>
        </w:rPr>
        <w:t>Our management may invest or spend the proceeds of this offering in ways with which you may not agree or in ways that may not yield a return.</w:t>
      </w:r>
    </w:p>
    <w:p>
      <w:pPr>
        <w:spacing w:after="0" w:line="140"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465361"/>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7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465361"/>
        </w:rPr>
        <w:t>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65361"/>
        </w:rPr>
        <w:t>Purchasers will experience immediate dilution in the book value per share of the common stock purchased in the offering.</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465361"/>
        </w:rPr>
        <w:t>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$50,000,000 at an assumed offering price of $8.63 per share, the last sale price of our common stock on May 6, 2022 on The Nasdaq Global Market, and after deducting estimated commissions and estimated offering expenses payable by us, our as adjusted net tangible book value as of March 31, 2022 would have been approximately $237.5 million, or approximately $5.11 per share. This represents an immediate increase in as adjusted net tangible book value of approximately $0.46 per share to our existing stockholders and an immediate dilution in as adjusted net tangible book value of approximately $3.52 per share to purchasers of our common stock in this offering. See “Dilution” in this prospectus supplement for more information.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65361"/>
        </w:rPr>
        <w:t>You may experience future dilution as a result of future equity offerings.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465361"/>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19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465361"/>
        </w:rPr>
        <w:t>We do not anticipate paying any cash dividends on our common stock in the foreseeable future. Accordingly, stockholders must rely on capital appreciation, if any, for any return on their investment.</w:t>
      </w:r>
    </w:p>
    <w:p>
      <w:pPr>
        <w:spacing w:after="0" w:line="6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465361"/>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65361"/>
        </w:rPr>
        <w:t>The actual number of shares we will issue under the equity distribution agreement, at any one time or in total, is uncertain.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465361"/>
        </w:rPr>
        <w:t>Subject to certain limitations in the equity distribution agreement and compliance with applicable law, we have the discretion to deliver a placement notice to Piper Sandler at any time throughout the term of the equity distribution agreement. The number of shares that are sold by Piper Sandler after delivering a placement notice will fluctuate based on the market price of our common stock during the sales period and limits we set with Piper Sandler. Because the price per share of each share sold will fluctuate based on the market price of our common stock during the sales period, it is not possible at this stage to predict the number of shares that will be ultimately issued.</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465361"/>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465361"/>
        </w:rPr>
        <w:t>Investors who purchase shares in this offering at different times will likely pay different prices, and so may experience different outcomes in their investment results. We will have discretion, subject to market demand, to vary the timing, prices, and numbers of shares sold. Investors may experience a decline in the value of their shares as a result of share sales made at prices lower than the prices they paid.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S-7</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USE OF PROCEEDS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465361"/>
        </w:rPr>
        <w:t>We may issue and sell shares of our common stock having aggregate gross sales proceeds of up to $50,000,000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465361"/>
        </w:rPr>
        <w:t>We currently anticipate that we will use the net proceeds from this offering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465361"/>
        </w:rPr>
        <w:t>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465361"/>
        </w:rPr>
        <w:t>Pending the use of proceeds described above, we intend to invest the net proceeds in a variety of capital preservation investments, including short-term, investment-grade, interest-bearing instruments and U.S. government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DILUTION</w:t>
      </w:r>
    </w:p>
    <w:p>
      <w:pPr>
        <w:spacing w:after="0" w:line="22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465361"/>
        </w:rPr>
        <w:t>If you invest in our common stock in this offering, your ownership interest will be diluted immediately to the extent of the difference between the price per share you pay in this offering and the as adjusted net tangible book value per share of our common stock immediately after this offering.</w:t>
      </w:r>
    </w:p>
    <w:p>
      <w:pPr>
        <w:spacing w:after="0" w:line="12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465361"/>
        </w:rPr>
        <w:t>Our historical net tangible book value as of March 31, 2022 was approximately $189.2 million, or $4.65 per share of our common stock. Our historical net tangible book value is the amount of our total tangible assets less our total liabilities. Historical net tangible book value per share represents historical net tangible book value divided by the 40,684,025 shares of our common stock outstanding as of March 31, 2022, including 420 shares of unvested restricted stock awards subject to repurchase by us.</w:t>
      </w:r>
    </w:p>
    <w:p>
      <w:pPr>
        <w:spacing w:after="0" w:line="18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465361"/>
        </w:rPr>
        <w:t>After giving effect to the assumed sale by us of shares of our common stock in the aggregate amount of $50.0 million at an assumed public offering price of $8.63 per share (the last sale price of our common stock on May 6, 2022 as reported on The Nasdaq Global Market), less the estimated commissions and estimated offering expenses payable by us, our as adjusted net tangible book value at March 31, 2022 would have been approximately $237.5 million, or $5.11 per share. This represents an immediate increase in as adjusted net tangible book value of $0.46 per share to existing stockholders and an immediate dilution of $3.52 per share to investors in this offering. The following table illustrates this per share dilution.</w:t>
      </w:r>
    </w:p>
    <w:p>
      <w:pPr>
        <w:spacing w:after="0" w:line="203"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465361"/>
              </w:rPr>
              <w:t>Assumed public offering price per share</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465361"/>
              </w:rPr>
              <w:t>$8.63</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465361"/>
              </w:rPr>
              <w:t>Historical net tangible book value per share as of March 31, 2022</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465361"/>
                <w:w w:val="88"/>
              </w:rPr>
              <w:t>$4.65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Increase in net tangible book value per share attributable to this offering</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465361"/>
              </w:rPr>
              <w:t>0.46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465361"/>
              </w:rPr>
              <w:t>As adjusted net tangible book value per share after giving effect to this offering</w:t>
            </w: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465361"/>
                <w:w w:val="79"/>
              </w:rPr>
              <w:t>$ 5.11</w:t>
            </w:r>
          </w:p>
        </w:tc>
      </w:tr>
      <w:tr>
        <w:trPr>
          <w:trHeight w:val="27"/>
        </w:trPr>
        <w:tc>
          <w:tcPr>
            <w:tcW w:w="7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465361"/>
              </w:rPr>
              <w:t>Dilution per share to new investors purchasing shares in this offering</w:t>
            </w:r>
          </w:p>
        </w:tc>
        <w:tc>
          <w:tcPr>
            <w:tcW w:w="72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465361"/>
                <w:w w:val="88"/>
              </w:rPr>
              <w:t>$3.52</w:t>
            </w:r>
          </w:p>
        </w:tc>
      </w:tr>
      <w:tr>
        <w:trPr>
          <w:trHeight w:val="20"/>
        </w:trPr>
        <w:tc>
          <w:tcPr>
            <w:tcW w:w="7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465361"/>
        </w:rPr>
        <w:t>The as adjusted information is illustrative only and will adjust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$50.0 million is sold at the assumed offering price of $8.63 per share, the last reported sale price of our common stock on The Nasdaq Global Market on May 6, 2022. The shares sold in this offering, if any, will be sold from time to time at various prices.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The table above excludes:</w:t>
      </w:r>
    </w:p>
    <w:p>
      <w:pPr>
        <w:spacing w:after="0" w:line="252" w:lineRule="exact"/>
        <w:rPr>
          <w:sz w:val="20"/>
          <w:szCs w:val="20"/>
          <w:color w:val="auto"/>
        </w:rPr>
      </w:pPr>
    </w:p>
    <w:p>
      <w:pPr>
        <w:ind w:left="1420" w:right="260" w:hanging="427"/>
        <w:spacing w:after="0" w:line="277" w:lineRule="auto"/>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6,526,973 shares of common stock issuable upon exercise of stock options outstanding as of March 31, 2022 at a weighted average exercise price of $13.85 per share;</w:t>
      </w:r>
    </w:p>
    <w:p>
      <w:pPr>
        <w:spacing w:after="0" w:line="75"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44,427 shares of common stock issuable upon vesting of restricted stock units outstanding as of March 31, 2022; and</w:t>
      </w:r>
    </w:p>
    <w:p>
      <w:pPr>
        <w:spacing w:after="0" w:line="252" w:lineRule="exact"/>
        <w:rPr>
          <w:rFonts w:ascii="Arial" w:cs="Arial" w:eastAsia="Arial" w:hAnsi="Arial"/>
          <w:sz w:val="18"/>
          <w:szCs w:val="18"/>
          <w:color w:val="465361"/>
        </w:rPr>
      </w:pPr>
    </w:p>
    <w:p>
      <w:pPr>
        <w:ind w:left="1420" w:right="20" w:hanging="427"/>
        <w:spacing w:after="0" w:line="263" w:lineRule="auto"/>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953,886, 1,718,480, and 1,113,021 shares of our common stock available for future issuance as of March 31, 2022 under our 2019 Stock Incentive Plan, our 2022 Inducement Stock Incentive Plan and our 2019 Employee Stock Purchase Plan, respectively, as well as any automatic increases in the number of shares of common stock reserved under these plans.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PLAN OF DISTRIBUTION</w:t>
      </w:r>
    </w:p>
    <w:p>
      <w:pPr>
        <w:spacing w:after="0" w:line="22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465361"/>
        </w:rPr>
        <w:t>We have entered into the equity distribution agreement, dated May 9, 2022, with Piper Sandler, as our sales agent, pursuant to which we have agreed to issue and sell from time to time shares of our common stock having an aggregate offering price of $50,000,000 through Piper Sandler.</w:t>
      </w:r>
    </w:p>
    <w:p>
      <w:pPr>
        <w:spacing w:after="0" w:line="146"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465361"/>
        </w:rPr>
        <w:t>This prospectus supplement only relates to $50,000,000 of additional shares of our common stock that we may issue and sell from time to time under the equity distribution agreement. Unless otherwise indicated or the context otherwise requires, all references to the equity distribution agreement means the equity distribution agreement, dated May 9, 2022. We will be required to file another prospectus or prospectus supplement in the event we want to offer more than $50,000,000 in shares of our common stock in accordance with the terms of the equity distribution agreement.</w:t>
      </w:r>
    </w:p>
    <w:p>
      <w:pPr>
        <w:spacing w:after="0" w:line="15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465361"/>
        </w:rPr>
        <w:t>Piper Sandler will use commercially reasonable efforts to sell on our behalf all shares of our common stock requested to be sold by us, consistent with its normal trading and sales practices, under the terms and subject to the conditions set forth in the equity distribution agreement. We may instruct Piper Sandler not to sell our common stock if the sales cannot be effected at or above the price designated by us in any instruction. We or Piper Sandler may suspend the offering of our common stock upon proper notice and subject to other conditions, as further described in the equity distribution agreement.</w:t>
      </w:r>
    </w:p>
    <w:p>
      <w:pPr>
        <w:spacing w:after="0" w:line="15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465361"/>
        </w:rPr>
        <w:t>Upon delivery of a placement notice, and subject to our instructions in that notice and the terms and conditions of the equity distribution agreement generally, Piper Sandler may sell our common stock by any method permitted by law that is deemed to be an “at the market offering” as defined in Rule 415(a)(4) promulgated under the Securities Act, including (A) in privately negotiated transactions; (B) as block transactions; or (C) by any other method permitted by law that is deemed to be an “at the market offering,” including sales made directly on or through The Nasdaq Global Market or on any other existing trading market for our common stock, in each case subject to our prior written consent. Piper Sandler will provide written confirmation to us no later than the opening of trading on The Nasdaq Global Market on the day following each day in which our common stock is sold under the equity distribution agreement. Each such confirmation will include the number of shares of our common stock sold on such day, the volume-weighted average price of the shares sold, the net proceeds to us and the compensation payable by us to Piper Sandler in connection with such sales.</w:t>
      </w:r>
    </w:p>
    <w:p>
      <w:pPr>
        <w:spacing w:after="0" w:line="165"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465361"/>
        </w:rPr>
        <w:t>We will pay Piper Sandler commissions for its services in acting as sales agent in the sale of our common stock. Piper Sandler will be entitled to compensation in an amount equal to 3.0% of the gross sales price of all common stock sold through it as sales agent under the equity distribution agreement. We have also agreed to reimburse Piper Sandler for the out-of-pocket reasonable fees and disbursements of its legal counsel, in an amount not to exceed $50,000, and for FINRA-related expenses. We estimate that the total expenses for this offering, excluding compensation payable to Piper Sandler under the terms of the equity distribution agreement, will be approximately $200,000.</w:t>
      </w:r>
    </w:p>
    <w:p>
      <w:pPr>
        <w:spacing w:after="0" w:line="17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465361"/>
        </w:rPr>
        <w:t>Settlement for sales of our common stock will occur on the second business day following the date on which any such sales are made, or on some other date that is agreed upon by us and Piper Sandler in connection with a particular transaction,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465361"/>
        </w:rPr>
        <w:t>We will report at least quarterly the number of shares of our common stock sold through Piper Sandler, as sales agent, under the equity distribution agreement, and the net proceeds to us in connection with such sales.</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465361"/>
        </w:rPr>
        <w:t>Piper Sandler and its affiliates have from time to time provided, and may in the future provide, various investment banking, commercial banking, fiduciary and advisory services for us for which they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465361"/>
        </w:rPr>
        <w:t>received, and may in the future receive, customary fees and expenses. Piper Sandler and its affiliates may from time to time engage in other transactions with and perform services for us in the ordinary course of their business.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465361"/>
        </w:rPr>
        <w:t>In connection with the sale of our common stock on our behalf, Piper Sandler will be deemed to be an underwriter within the meaning of the Securities Act, and the compensation paid by us to Piper Sandler will be deemed to be underwriting commissions or discounts. We have agreed to indemnify Piper Sandler against specified liabilities, including liabilities under the Securities Act, or to contribute to payments that Piper Sandler may be required to make because of such liabilities.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465361"/>
        </w:rPr>
        <w:t>The offering of our common stock pursuant to the equity distribution agreement will terminate upon the earlier of (1) the sale of all common stock subject to equity distribution agreement or (2) termination of the equity distribution agreement. The equity distribution agreement may be terminated by Piper Sandler or us at any time upon specified prior written notice.</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465361"/>
        </w:rPr>
        <w:t>This summary of the material provisions of the equity distribution agreement does not purport to be a complete statement of its terms and conditions. A copy of the equity distribution agreement is filed as an exhibit to a current report on Form 8-K filed under the Exchange Act and incorporated by reference in this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65361"/>
        </w:rPr>
        <w:t>S-11</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LEGAL MATTERS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465361"/>
        </w:rPr>
        <w:t>The validity of the shares of common stock offered hereby will be passed upon for us by Goodwin Procter LLP. Certain legal matters will be passed upon for Piper Sandler &amp; Co. by Ropes &amp; Gray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EXPERTS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465361"/>
        </w:rPr>
        <w:t>The consolidated financial statements of Fulcrum Therapeutics, Inc. appearing in Fulcrum Therapeutics, Inc.’s Annual Report on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WHERE YOU CAN FIND MORE INFORMATION</w:t>
      </w:r>
    </w:p>
    <w:p>
      <w:pPr>
        <w:spacing w:after="0" w:line="22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465361"/>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supplement and information contained on, or that can be accessed through our website, is not incorporated by reference in this prospectus supplement and the accompanying base prospectus.</w:t>
      </w:r>
    </w:p>
    <w:p>
      <w:pPr>
        <w:spacing w:after="0" w:line="17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465361"/>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and the accompanying base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INCORPORATION OF CERTAIN DOCUMENTS BY REFERENCE</w:t>
      </w:r>
    </w:p>
    <w:p>
      <w:pPr>
        <w:spacing w:after="0" w:line="229"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465361"/>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and the accompanying base prospectus.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001-38978)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72" w:lineRule="exact"/>
        <w:rPr>
          <w:sz w:val="20"/>
          <w:szCs w:val="20"/>
          <w:color w:val="auto"/>
        </w:rPr>
      </w:pPr>
    </w:p>
    <w:p>
      <w:pPr>
        <w:ind w:left="5460" w:right="2580" w:hanging="4467"/>
        <w:spacing w:after="0" w:line="449" w:lineRule="auto"/>
        <w:tabs>
          <w:tab w:leader="none" w:pos="1431"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 xml:space="preserve">Annual Report on </w:t>
      </w:r>
      <w:hyperlink r:id="rId32">
        <w:r>
          <w:rPr>
            <w:rFonts w:ascii="Arial" w:cs="Arial" w:eastAsia="Arial" w:hAnsi="Arial"/>
            <w:sz w:val="18"/>
            <w:szCs w:val="18"/>
            <w:u w:val="single" w:color="auto"/>
            <w:color w:val="0000EE"/>
          </w:rPr>
          <w:t>Form 10-K</w:t>
        </w:r>
        <w:r>
          <w:rPr>
            <w:rFonts w:ascii="Arial" w:cs="Arial" w:eastAsia="Arial" w:hAnsi="Arial"/>
            <w:sz w:val="18"/>
            <w:szCs w:val="18"/>
            <w:u w:val="single" w:color="auto"/>
            <w:color w:val="465361"/>
          </w:rPr>
          <w:t xml:space="preserve"> </w:t>
        </w:r>
      </w:hyperlink>
      <w:r>
        <w:rPr>
          <w:rFonts w:ascii="Arial" w:cs="Arial" w:eastAsia="Arial" w:hAnsi="Arial"/>
          <w:sz w:val="18"/>
          <w:szCs w:val="18"/>
          <w:color w:val="465361"/>
        </w:rPr>
        <w:t>for the fiscal year ended December 31, 2021 filed on March 3, 2022. S-12</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427"/>
        <w:spacing w:after="0"/>
        <w:tabs>
          <w:tab w:leader="none" w:pos="142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 xml:space="preserve">Quarterly Report on Form 10-Q for the fiscal year ended March 31, 2022 filed on </w:t>
      </w:r>
      <w:hyperlink r:id="rId34">
        <w:r>
          <w:rPr>
            <w:rFonts w:ascii="Arial" w:cs="Arial" w:eastAsia="Arial" w:hAnsi="Arial"/>
            <w:sz w:val="18"/>
            <w:szCs w:val="18"/>
            <w:u w:val="single" w:color="auto"/>
            <w:color w:val="0000EE"/>
          </w:rPr>
          <w:t>May 9, 2022</w:t>
        </w:r>
      </w:hyperlink>
      <w:r>
        <w:rPr>
          <w:rFonts w:ascii="Arial" w:cs="Arial" w:eastAsia="Arial" w:hAnsi="Arial"/>
          <w:sz w:val="18"/>
          <w:szCs w:val="18"/>
          <w:color w:val="465361"/>
        </w:rPr>
        <w:t>.</w:t>
      </w:r>
    </w:p>
    <w:p>
      <w:pPr>
        <w:spacing w:after="0" w:line="130" w:lineRule="exact"/>
        <w:rPr>
          <w:rFonts w:ascii="Arial" w:cs="Arial" w:eastAsia="Arial" w:hAnsi="Arial"/>
          <w:sz w:val="18"/>
          <w:szCs w:val="18"/>
          <w:color w:val="465361"/>
        </w:rPr>
      </w:pPr>
    </w:p>
    <w:p>
      <w:pPr>
        <w:ind w:left="1420" w:right="140" w:hanging="427"/>
        <w:spacing w:after="0" w:line="342" w:lineRule="auto"/>
        <w:tabs>
          <w:tab w:leader="none" w:pos="1420" w:val="left"/>
        </w:tabs>
        <w:numPr>
          <w:ilvl w:val="0"/>
          <w:numId w:val="4"/>
        </w:numPr>
        <w:rPr>
          <w:rFonts w:ascii="Arial" w:cs="Arial" w:eastAsia="Arial" w:hAnsi="Arial"/>
          <w:sz w:val="16"/>
          <w:szCs w:val="16"/>
          <w:color w:val="465361"/>
        </w:rPr>
      </w:pPr>
      <w:r>
        <w:rPr>
          <w:rFonts w:ascii="Arial" w:cs="Arial" w:eastAsia="Arial" w:hAnsi="Arial"/>
          <w:sz w:val="16"/>
          <w:szCs w:val="16"/>
          <w:color w:val="465361"/>
        </w:rPr>
        <w:t xml:space="preserve">the information specifically incorporated by reference into our Annual Report on Form 10-K for the year ended December 31, 2021 from our definitive proxy statement on </w:t>
      </w:r>
      <w:hyperlink r:id="rId35">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465361"/>
          </w:rPr>
          <w:t xml:space="preserve"> </w:t>
        </w:r>
      </w:hyperlink>
      <w:r>
        <w:rPr>
          <w:rFonts w:ascii="Arial" w:cs="Arial" w:eastAsia="Arial" w:hAnsi="Arial"/>
          <w:sz w:val="16"/>
          <w:szCs w:val="16"/>
          <w:color w:val="465361"/>
        </w:rPr>
        <w:t>(other than information furnished rather than filed) filed on April 28, 2022.</w:t>
      </w:r>
    </w:p>
    <w:p>
      <w:pPr>
        <w:spacing w:after="0" w:line="29" w:lineRule="exact"/>
        <w:rPr>
          <w:rFonts w:ascii="Arial" w:cs="Arial" w:eastAsia="Arial" w:hAnsi="Arial"/>
          <w:sz w:val="16"/>
          <w:szCs w:val="16"/>
          <w:color w:val="465361"/>
        </w:rPr>
      </w:pPr>
    </w:p>
    <w:p>
      <w:pPr>
        <w:ind w:left="1420" w:hanging="427"/>
        <w:spacing w:after="0" w:line="277" w:lineRule="auto"/>
        <w:tabs>
          <w:tab w:leader="none" w:pos="142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 xml:space="preserve">Current Reports on Form 8-K filed on </w:t>
      </w:r>
      <w:hyperlink r:id="rId36">
        <w:r>
          <w:rPr>
            <w:rFonts w:ascii="Arial" w:cs="Arial" w:eastAsia="Arial" w:hAnsi="Arial"/>
            <w:sz w:val="18"/>
            <w:szCs w:val="18"/>
            <w:u w:val="single" w:color="auto"/>
            <w:color w:val="0000EE"/>
          </w:rPr>
          <w:t>January 4, 2022</w:t>
        </w:r>
        <w:r>
          <w:rPr>
            <w:rFonts w:ascii="Arial" w:cs="Arial" w:eastAsia="Arial" w:hAnsi="Arial"/>
            <w:sz w:val="18"/>
            <w:szCs w:val="18"/>
            <w:u w:val="single" w:color="auto"/>
            <w:color w:val="465361"/>
          </w:rPr>
          <w:t xml:space="preserve"> </w:t>
        </w:r>
      </w:hyperlink>
      <w:r>
        <w:rPr>
          <w:rFonts w:ascii="Arial" w:cs="Arial" w:eastAsia="Arial" w:hAnsi="Arial"/>
          <w:sz w:val="18"/>
          <w:szCs w:val="18"/>
          <w:color w:val="465361"/>
        </w:rPr>
        <w:t xml:space="preserve">(other than Item 2.02 and Item 9.01), </w:t>
      </w:r>
      <w:hyperlink r:id="rId37">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465361"/>
          </w:rPr>
          <w:t xml:space="preserve"> </w:t>
        </w:r>
      </w:hyperlink>
      <w:r>
        <w:rPr>
          <w:rFonts w:ascii="Arial" w:cs="Arial" w:eastAsia="Arial" w:hAnsi="Arial"/>
          <w:sz w:val="18"/>
          <w:szCs w:val="18"/>
          <w:color w:val="465361"/>
        </w:rPr>
        <w:t xml:space="preserve">(other than Item 2.02 and Item 9.01) and </w:t>
      </w:r>
      <w:hyperlink r:id="rId38">
        <w:r>
          <w:rPr>
            <w:rFonts w:ascii="Arial" w:cs="Arial" w:eastAsia="Arial" w:hAnsi="Arial"/>
            <w:sz w:val="18"/>
            <w:szCs w:val="18"/>
            <w:u w:val="single" w:color="auto"/>
            <w:color w:val="0000EE"/>
          </w:rPr>
          <w:t>March 10, 2022</w:t>
        </w:r>
      </w:hyperlink>
      <w:r>
        <w:rPr>
          <w:rFonts w:ascii="Arial" w:cs="Arial" w:eastAsia="Arial" w:hAnsi="Arial"/>
          <w:sz w:val="18"/>
          <w:szCs w:val="18"/>
          <w:color w:val="465361"/>
        </w:rPr>
        <w:t>.</w:t>
      </w:r>
    </w:p>
    <w:p>
      <w:pPr>
        <w:spacing w:after="0" w:line="75" w:lineRule="exact"/>
        <w:rPr>
          <w:rFonts w:ascii="Arial" w:cs="Arial" w:eastAsia="Arial" w:hAnsi="Arial"/>
          <w:sz w:val="18"/>
          <w:szCs w:val="18"/>
          <w:color w:val="465361"/>
        </w:rPr>
      </w:pPr>
    </w:p>
    <w:p>
      <w:pPr>
        <w:ind w:left="1420" w:right="560" w:hanging="427"/>
        <w:spacing w:after="0" w:line="263" w:lineRule="auto"/>
        <w:tabs>
          <w:tab w:leader="none" w:pos="142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 xml:space="preserve">The description of our common stock contained in </w:t>
      </w:r>
      <w:hyperlink r:id="rId39">
        <w:r>
          <w:rPr>
            <w:rFonts w:ascii="Arial" w:cs="Arial" w:eastAsia="Arial" w:hAnsi="Arial"/>
            <w:sz w:val="18"/>
            <w:szCs w:val="18"/>
            <w:u w:val="single" w:color="auto"/>
            <w:color w:val="0000EE"/>
          </w:rPr>
          <w:t>Exhibit 4.2</w:t>
        </w:r>
        <w:r>
          <w:rPr>
            <w:rFonts w:ascii="Arial" w:cs="Arial" w:eastAsia="Arial" w:hAnsi="Arial"/>
            <w:sz w:val="18"/>
            <w:szCs w:val="18"/>
            <w:u w:val="single" w:color="auto"/>
            <w:color w:val="465361"/>
          </w:rPr>
          <w:t xml:space="preserve"> </w:t>
        </w:r>
      </w:hyperlink>
      <w:r>
        <w:rPr>
          <w:rFonts w:ascii="Arial" w:cs="Arial" w:eastAsia="Arial" w:hAnsi="Arial"/>
          <w:sz w:val="18"/>
          <w:szCs w:val="18"/>
          <w:color w:val="465361"/>
        </w:rPr>
        <w:t xml:space="preserve">to our Annual Report on </w:t>
      </w:r>
      <w:hyperlink r:id="rId40">
        <w:r>
          <w:rPr>
            <w:rFonts w:ascii="Arial" w:cs="Arial" w:eastAsia="Arial" w:hAnsi="Arial"/>
            <w:sz w:val="18"/>
            <w:szCs w:val="18"/>
            <w:u w:val="single" w:color="auto"/>
            <w:color w:val="0000EE"/>
          </w:rPr>
          <w:t>Form 10-K</w:t>
        </w:r>
        <w:r>
          <w:rPr>
            <w:rFonts w:ascii="Arial" w:cs="Arial" w:eastAsia="Arial" w:hAnsi="Arial"/>
            <w:sz w:val="18"/>
            <w:szCs w:val="18"/>
            <w:u w:val="single" w:color="auto"/>
            <w:color w:val="465361"/>
          </w:rPr>
          <w:t xml:space="preserve"> </w:t>
        </w:r>
      </w:hyperlink>
      <w:r>
        <w:rPr>
          <w:rFonts w:ascii="Arial" w:cs="Arial" w:eastAsia="Arial" w:hAnsi="Arial"/>
          <w:sz w:val="18"/>
          <w:szCs w:val="18"/>
          <w:color w:val="465361"/>
        </w:rPr>
        <w:t>for the fiscal year ended December 31, 2020 filed on March 4, 2021, and including any amendments and reports filed for the purpose of updating such description.</w:t>
      </w:r>
    </w:p>
    <w:p>
      <w:pPr>
        <w:spacing w:after="0" w:line="184" w:lineRule="exact"/>
        <w:rPr>
          <w:rFonts w:ascii="Arial" w:cs="Arial" w:eastAsia="Arial" w:hAnsi="Arial"/>
          <w:sz w:val="18"/>
          <w:szCs w:val="18"/>
          <w:color w:val="465361"/>
        </w:rPr>
      </w:pPr>
    </w:p>
    <w:p>
      <w:pPr>
        <w:ind w:left="120"/>
        <w:spacing w:after="0"/>
        <w:rPr>
          <w:sz w:val="20"/>
          <w:szCs w:val="20"/>
          <w:color w:val="auto"/>
        </w:rPr>
      </w:pPr>
      <w:r>
        <w:rPr>
          <w:rFonts w:ascii="Arial" w:cs="Arial" w:eastAsia="Arial" w:hAnsi="Arial"/>
          <w:sz w:val="18"/>
          <w:szCs w:val="18"/>
          <w:color w:val="465361"/>
        </w:rPr>
        <w:t>You may request a copy of these filings, at no cost, by writing or calling us at the following address or telephone number:</w:t>
      </w:r>
    </w:p>
    <w:p>
      <w:pPr>
        <w:spacing w:after="0" w:line="225" w:lineRule="exact"/>
        <w:rPr>
          <w:rFonts w:ascii="Arial" w:cs="Arial" w:eastAsia="Arial" w:hAnsi="Arial"/>
          <w:sz w:val="18"/>
          <w:szCs w:val="18"/>
          <w:color w:val="465361"/>
        </w:rPr>
      </w:pPr>
    </w:p>
    <w:p>
      <w:pPr>
        <w:jc w:val="center"/>
        <w:ind w:right="-199"/>
        <w:spacing w:after="0"/>
        <w:rPr>
          <w:sz w:val="20"/>
          <w:szCs w:val="20"/>
          <w:color w:val="auto"/>
        </w:rPr>
      </w:pPr>
      <w:r>
        <w:rPr>
          <w:rFonts w:ascii="Arial" w:cs="Arial" w:eastAsia="Arial" w:hAnsi="Arial"/>
          <w:sz w:val="18"/>
          <w:szCs w:val="18"/>
          <w:color w:val="465361"/>
        </w:rPr>
        <w:t>Fulcrum Therapeutics, Inc.</w:t>
      </w:r>
    </w:p>
    <w:p>
      <w:pPr>
        <w:spacing w:after="0" w:line="23" w:lineRule="exact"/>
        <w:rPr>
          <w:rFonts w:ascii="Arial" w:cs="Arial" w:eastAsia="Arial" w:hAnsi="Arial"/>
          <w:sz w:val="18"/>
          <w:szCs w:val="18"/>
          <w:color w:val="465361"/>
        </w:rPr>
      </w:pPr>
    </w:p>
    <w:p>
      <w:pPr>
        <w:jc w:val="center"/>
        <w:ind w:right="-199"/>
        <w:spacing w:after="0"/>
        <w:rPr>
          <w:sz w:val="20"/>
          <w:szCs w:val="20"/>
          <w:color w:val="auto"/>
        </w:rPr>
      </w:pPr>
      <w:r>
        <w:rPr>
          <w:rFonts w:ascii="Arial" w:cs="Arial" w:eastAsia="Arial" w:hAnsi="Arial"/>
          <w:sz w:val="18"/>
          <w:szCs w:val="18"/>
          <w:color w:val="465361"/>
        </w:rPr>
        <w:t>26 Landsdowne Street</w:t>
      </w:r>
    </w:p>
    <w:p>
      <w:pPr>
        <w:spacing w:after="0" w:line="9" w:lineRule="exact"/>
        <w:rPr>
          <w:rFonts w:ascii="Arial" w:cs="Arial" w:eastAsia="Arial" w:hAnsi="Arial"/>
          <w:sz w:val="18"/>
          <w:szCs w:val="18"/>
          <w:color w:val="465361"/>
        </w:rPr>
      </w:pPr>
    </w:p>
    <w:p>
      <w:pPr>
        <w:jc w:val="center"/>
        <w:ind w:right="-199"/>
        <w:spacing w:after="0"/>
        <w:rPr>
          <w:sz w:val="20"/>
          <w:szCs w:val="20"/>
          <w:color w:val="auto"/>
        </w:rPr>
      </w:pPr>
      <w:r>
        <w:rPr>
          <w:rFonts w:ascii="Arial" w:cs="Arial" w:eastAsia="Arial" w:hAnsi="Arial"/>
          <w:sz w:val="18"/>
          <w:szCs w:val="18"/>
          <w:color w:val="465361"/>
        </w:rPr>
        <w:t>Cambridge, Massachusetts 02139</w:t>
      </w:r>
    </w:p>
    <w:p>
      <w:pPr>
        <w:spacing w:after="0" w:line="9" w:lineRule="exact"/>
        <w:rPr>
          <w:rFonts w:ascii="Arial" w:cs="Arial" w:eastAsia="Arial" w:hAnsi="Arial"/>
          <w:sz w:val="18"/>
          <w:szCs w:val="18"/>
          <w:color w:val="465361"/>
        </w:rPr>
      </w:pPr>
    </w:p>
    <w:p>
      <w:pPr>
        <w:jc w:val="center"/>
        <w:ind w:right="-199"/>
        <w:spacing w:after="0"/>
        <w:rPr>
          <w:sz w:val="20"/>
          <w:szCs w:val="20"/>
          <w:color w:val="auto"/>
        </w:rPr>
      </w:pPr>
      <w:r>
        <w:rPr>
          <w:rFonts w:ascii="Arial" w:cs="Arial" w:eastAsia="Arial" w:hAnsi="Arial"/>
          <w:sz w:val="18"/>
          <w:szCs w:val="18"/>
          <w:color w:val="465361"/>
        </w:rPr>
        <w:t>Attn: Investor Relations</w:t>
      </w:r>
    </w:p>
    <w:p>
      <w:pPr>
        <w:spacing w:after="0" w:line="9" w:lineRule="exact"/>
        <w:rPr>
          <w:rFonts w:ascii="Arial" w:cs="Arial" w:eastAsia="Arial" w:hAnsi="Arial"/>
          <w:sz w:val="18"/>
          <w:szCs w:val="18"/>
          <w:color w:val="465361"/>
        </w:rPr>
      </w:pPr>
    </w:p>
    <w:p>
      <w:pPr>
        <w:ind w:left="5500" w:hanging="438"/>
        <w:spacing w:after="0"/>
        <w:tabs>
          <w:tab w:leader="none" w:pos="55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651-8851</w:t>
      </w:r>
    </w:p>
    <w:p>
      <w:pPr>
        <w:spacing w:after="0" w:line="200" w:lineRule="exact"/>
        <w:rPr>
          <w:rFonts w:ascii="Arial" w:cs="Arial" w:eastAsia="Arial" w:hAnsi="Arial"/>
          <w:sz w:val="18"/>
          <w:szCs w:val="18"/>
          <w:color w:val="465361"/>
        </w:rPr>
      </w:pPr>
    </w:p>
    <w:p>
      <w:pPr>
        <w:spacing w:after="0" w:line="200" w:lineRule="exact"/>
        <w:rPr>
          <w:rFonts w:ascii="Arial" w:cs="Arial" w:eastAsia="Arial" w:hAnsi="Arial"/>
          <w:sz w:val="18"/>
          <w:szCs w:val="18"/>
          <w:color w:val="465361"/>
        </w:rPr>
      </w:pPr>
    </w:p>
    <w:p>
      <w:pPr>
        <w:spacing w:after="0" w:line="202" w:lineRule="exact"/>
        <w:rPr>
          <w:rFonts w:ascii="Arial" w:cs="Arial" w:eastAsia="Arial" w:hAnsi="Arial"/>
          <w:sz w:val="18"/>
          <w:szCs w:val="18"/>
          <w:color w:val="465361"/>
        </w:rPr>
      </w:pPr>
    </w:p>
    <w:p>
      <w:pPr>
        <w:ind w:left="5460"/>
        <w:spacing w:after="0"/>
        <w:rPr>
          <w:rFonts w:ascii="Arial" w:cs="Arial" w:eastAsia="Arial" w:hAnsi="Arial"/>
          <w:sz w:val="18"/>
          <w:szCs w:val="18"/>
          <w:color w:val="465361"/>
        </w:rPr>
      </w:pPr>
      <w:r>
        <w:rPr>
          <w:rFonts w:ascii="Arial" w:cs="Arial" w:eastAsia="Arial" w:hAnsi="Arial"/>
          <w:sz w:val="18"/>
          <w:szCs w:val="18"/>
          <w:color w:val="465361"/>
        </w:rPr>
        <w:t>S-13</w:t>
      </w:r>
    </w:p>
    <w:p>
      <w:pPr>
        <w:sectPr>
          <w:pgSz w:w="11900" w:h="16838" w:orient="portrait"/>
          <w:cols w:equalWidth="0" w:num="1">
            <w:col w:w="11040"/>
          </w:cols>
          <w:pgMar w:left="32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171450</wp:posOffset>
            </wp:positionV>
            <wp:extent cx="2897505" cy="720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$250,000,000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up to an aggregate value of $250,000,000.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8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these securities involves significant risks. See “</w:t>
      </w:r>
      <w:hyperlink w:anchor="page1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69"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April 28, 2022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3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0"/>
        </w:trPr>
        <w:tc>
          <w:tcPr>
            <w:tcW w:w="7660" w:type="dxa"/>
            <w:vAlign w:val="bottom"/>
            <w:gridSpan w:val="16"/>
          </w:tcPr>
          <w:p>
            <w:pPr>
              <w:spacing w:after="0" w:line="190" w:lineRule="exact"/>
              <w:rPr>
                <w:rFonts w:ascii="Arial" w:cs="Arial" w:eastAsia="Arial" w:hAnsi="Arial"/>
                <w:sz w:val="18"/>
                <w:szCs w:val="18"/>
                <w:color w:val="0000EE"/>
              </w:rPr>
            </w:pPr>
            <w:hyperlink w:anchor="page18">
              <w:r>
                <w:rPr>
                  <w:rFonts w:ascii="Arial" w:cs="Arial" w:eastAsia="Arial" w:hAnsi="Arial"/>
                  <w:sz w:val="18"/>
                  <w:szCs w:val="18"/>
                  <w:color w:val="0000EE"/>
                </w:rPr>
                <w:t>ABOUT THIS PROSPECTUS</w:t>
              </w:r>
            </w:hyperlink>
          </w:p>
        </w:tc>
        <w:tc>
          <w:tcPr>
            <w:tcW w:w="3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220" w:type="dxa"/>
            <w:vAlign w:val="bottom"/>
            <w:tcBorders>
              <w:top w:val="single" w:sz="8" w:color="0000EE"/>
            </w:tcBorders>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440" w:type="dxa"/>
            <w:vAlign w:val="bottom"/>
            <w:gridSpan w:val="8"/>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line="20" w:lineRule="exact"/>
              <w:rPr>
                <w:sz w:val="1"/>
                <w:szCs w:val="1"/>
                <w:color w:val="auto"/>
              </w:rPr>
            </w:pPr>
          </w:p>
        </w:tc>
      </w:tr>
      <w:tr>
        <w:trPr>
          <w:trHeight w:val="210"/>
        </w:trPr>
        <w:tc>
          <w:tcPr>
            <w:tcW w:w="506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INCORPORATION OF CERTAIN DOCUMENTS BY REFERENCE</w:t>
              </w:r>
            </w:hyperlink>
          </w:p>
        </w:tc>
        <w:tc>
          <w:tcPr>
            <w:tcW w:w="26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CAUTIONARY NOTE REGARDING FORWARD-LOOKING STATEMENTS AND INDUSTRY DATA</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ABOUT FULCRUM THERAPEUTICS, INC.</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9"/>
        </w:trPr>
        <w:tc>
          <w:tcPr>
            <w:tcW w:w="1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USE OF PROCEEDS</w:t>
              </w:r>
            </w:hyperlink>
          </w:p>
        </w:tc>
        <w:tc>
          <w:tcPr>
            <w:tcW w:w="1760" w:type="dxa"/>
            <w:vAlign w:val="bottom"/>
            <w:tcBorders>
              <w:top w:val="single" w:sz="8" w:color="0000EE"/>
            </w:tcBorders>
            <w:gridSpan w:val="9"/>
          </w:tcPr>
          <w:p>
            <w:pPr>
              <w:spacing w:after="0"/>
              <w:rPr>
                <w:sz w:val="18"/>
                <w:szCs w:val="18"/>
                <w:color w:val="auto"/>
              </w:rPr>
            </w:pPr>
          </w:p>
        </w:tc>
        <w:tc>
          <w:tcPr>
            <w:tcW w:w="4320" w:type="dxa"/>
            <w:vAlign w:val="bottom"/>
            <w:gridSpan w:val="3"/>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DESCRIPTION OF DEBT SECURITIES</w:t>
              </w:r>
            </w:hyperlink>
          </w:p>
        </w:tc>
        <w:tc>
          <w:tcPr>
            <w:tcW w:w="4640" w:type="dxa"/>
            <w:vAlign w:val="bottom"/>
            <w:gridSpan w:val="5"/>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CAPITAL STOCK</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DESCRIPTION OF DEPOSITARY SHARES</w:t>
              </w:r>
            </w:hyperlink>
          </w:p>
        </w:tc>
        <w:tc>
          <w:tcPr>
            <w:tcW w:w="4340" w:type="dxa"/>
            <w:vAlign w:val="bottom"/>
            <w:gridSpan w:val="4"/>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DESCRIPTION OF UNITS</w:t>
              </w:r>
            </w:hyperlink>
          </w:p>
        </w:tc>
        <w:tc>
          <w:tcPr>
            <w:tcW w:w="5640" w:type="dxa"/>
            <w:vAlign w:val="bottom"/>
            <w:gridSpan w:val="10"/>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DESCRIPTION OF WARRANTS</w:t>
              </w:r>
            </w:hyperlink>
          </w:p>
        </w:tc>
        <w:tc>
          <w:tcPr>
            <w:tcW w:w="5180" w:type="dxa"/>
            <w:vAlign w:val="bottom"/>
            <w:gridSpan w:val="7"/>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FORMS OF SECURITIES</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210"/>
        </w:trPr>
        <w:tc>
          <w:tcPr>
            <w:tcW w:w="7660" w:type="dxa"/>
            <w:vAlign w:val="bottom"/>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8"/>
                <w:szCs w:val="18"/>
                <w:color w:val="auto"/>
              </w:rPr>
            </w:pPr>
          </w:p>
        </w:tc>
        <w:tc>
          <w:tcPr>
            <w:tcW w:w="5620" w:type="dxa"/>
            <w:vAlign w:val="bottom"/>
            <w:gridSpan w:val="9"/>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$250,000,000.</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and uncertainties described under “Risk Factors” in our most recent Annual Report on Form 10-K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8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on March 3,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50">
        <w:r>
          <w:rPr>
            <w:rFonts w:ascii="Arial" w:cs="Arial" w:eastAsia="Arial" w:hAnsi="Arial"/>
            <w:sz w:val="18"/>
            <w:szCs w:val="18"/>
            <w:u w:val="single" w:color="auto"/>
            <w:color w:val="0000EE"/>
          </w:rPr>
          <w:t>January 4,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1">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Item 2.02); and</w:t>
      </w:r>
    </w:p>
    <w:p>
      <w:pPr>
        <w:spacing w:after="0" w:line="130"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stock contained in our registration statement on </w:t>
      </w:r>
      <w:hyperlink r:id="rId5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the description </w:t>
      </w:r>
      <w:hyperlink r:id="rId53">
        <w:r>
          <w:rPr>
            <w:rFonts w:ascii="Arial" w:cs="Arial" w:eastAsia="Arial" w:hAnsi="Arial"/>
            <w:sz w:val="18"/>
            <w:szCs w:val="18"/>
            <w:color w:val="auto"/>
          </w:rPr>
          <w:t xml:space="preserve">therein has been updated and superseded by the description of our capital stock contained in </w:t>
        </w:r>
        <w:r>
          <w:rPr>
            <w:rFonts w:ascii="Arial" w:cs="Arial" w:eastAsia="Arial" w:hAnsi="Arial"/>
            <w:sz w:val="18"/>
            <w:szCs w:val="18"/>
            <w:u w:val="single" w:color="auto"/>
            <w:color w:val="0000EE"/>
          </w:rPr>
          <w:t>Exhibit 4.2</w:t>
        </w:r>
        <w:r>
          <w:rPr>
            <w:rFonts w:ascii="Arial" w:cs="Arial" w:eastAsia="Arial" w:hAnsi="Arial"/>
            <w:sz w:val="18"/>
            <w:szCs w:val="18"/>
            <w:color w:val="auto"/>
          </w:rPr>
          <w:t xml:space="preserve"> to our Annual Report on </w:t>
        </w:r>
        <w:r>
          <w:rPr>
            <w:rFonts w:ascii="Arial" w:cs="Arial" w:eastAsia="Arial" w:hAnsi="Arial"/>
            <w:sz w:val="18"/>
            <w:szCs w:val="18"/>
            <w:u w:val="single" w:color="auto"/>
            <w:color w:val="0000EE"/>
          </w:rPr>
          <w:t>Form</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10-K</w:t>
        </w:r>
        <w:r>
          <w:rPr>
            <w:rFonts w:ascii="Arial" w:cs="Arial" w:eastAsia="Arial" w:hAnsi="Arial"/>
            <w:sz w:val="18"/>
            <w:szCs w:val="18"/>
            <w:color w:val="0000EE"/>
          </w:rPr>
          <w:t xml:space="preserve"> </w:t>
        </w:r>
        <w:r>
          <w:rPr>
            <w:rFonts w:ascii="Arial" w:cs="Arial" w:eastAsia="Arial" w:hAnsi="Arial"/>
            <w:sz w:val="18"/>
            <w:szCs w:val="18"/>
            <w:color w:val="000000"/>
          </w:rPr>
          <w:t>for the fiscal year ended December 31, 2020, and including any amendments and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87"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651-8851</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FSHD: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we will assert, to the fullest extent under applicable law, our rights to our trademarks, service marks and trade names.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9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6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events of defaults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 following are</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of default under the senior indenture with respect to senior debt securities of each series:</w:t>
      </w:r>
    </w:p>
    <w:p>
      <w:pPr>
        <w:spacing w:after="0" w:line="76" w:lineRule="exact"/>
        <w:rPr>
          <w:sz w:val="20"/>
          <w:szCs w:val="20"/>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6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0"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 defeasance will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any series of debt securities issued under the indentures.</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right="2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right="2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92"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540" w:right="2640" w:hanging="4884"/>
        <w:spacing w:after="0" w:line="449" w:lineRule="auto"/>
        <w:tabs>
          <w:tab w:leader="none" w:pos="10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other securities or property in accordance with the terms of the senior debt securities;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Notice of Redemption. </w:t>
      </w:r>
      <w:r>
        <w:rPr>
          <w:rFonts w:ascii="Arial" w:cs="Arial" w:eastAsia="Arial" w:hAnsi="Arial"/>
          <w:sz w:val="18"/>
          <w:szCs w:val="18"/>
          <w:color w:val="auto"/>
        </w:rPr>
        <w:t>Notice of any redemption of senior debt securities will be mailed at least 10 days but not more than 60 days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9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We will describe the terms upon which senior debt securities may be convertible into our common stock or other securities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6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i w:val="1"/>
          <w:iCs w:val="1"/>
          <w:color w:val="auto"/>
        </w:rPr>
        <w:t xml:space="preserve">No Personal Liability of Incorporators, Stockholders, Officers or Directors. </w:t>
      </w:r>
      <w:r>
        <w:rPr>
          <w:rFonts w:ascii="Arial" w:cs="Arial" w:eastAsia="Arial" w:hAnsi="Arial"/>
          <w:sz w:val="18"/>
          <w:szCs w:val="18"/>
          <w:color w:val="auto"/>
        </w:rPr>
        <w:t>The senior indenture provides that no recourse shall be had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covenant or agreement of ours in the senior indenture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Concerning the Trustee. </w:t>
      </w:r>
      <w:r>
        <w:rPr>
          <w:rFonts w:ascii="Arial" w:cs="Arial" w:eastAsia="Arial" w:hAnsi="Arial"/>
          <w:sz w:val="18"/>
          <w:szCs w:val="18"/>
          <w:color w:val="auto"/>
        </w:rPr>
        <w:t>The senior indenture provides that, except during the continuance of an event of default, the trustee will not be liable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2021, we had issued and outstanding 40,636,398 shares of our common stock held by 33 stockholders of record (not including beneficial owners whose shares are held in “nominee” or “street” name), including 10,174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or winding up of our affairs, rank:</w:t>
      </w:r>
    </w:p>
    <w:p>
      <w:pPr>
        <w:spacing w:after="0" w:line="76" w:lineRule="exact"/>
        <w:rPr>
          <w:sz w:val="20"/>
          <w:szCs w:val="20"/>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 declared by our board of directors, cash dividends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rates and on such dates described in the prospectus supplement.</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Different series of preferred stock may be entitled to dividends at different rates or based on different methods of calculation. The dividend rate may be fixed or variable or both. Dividends will be payable to the holders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record as they appear on our stock books on record dates fixed by our board of directors, as specified in the applicable prospectus supplement.</w:t>
      </w:r>
    </w:p>
    <w:p>
      <w:pPr>
        <w:spacing w:after="0" w:line="23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jc w:val="both"/>
        <w:ind w:left="120" w:right="120"/>
        <w:spacing w:after="0" w:line="34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2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8" w:lineRule="exact"/>
        <w:rPr>
          <w:sz w:val="20"/>
          <w:szCs w:val="20"/>
          <w:color w:val="auto"/>
        </w:rPr>
      </w:pPr>
    </w:p>
    <w:p>
      <w:pPr>
        <w:ind w:left="1080" w:right="14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20</w:t>
      </w:r>
    </w:p>
    <w:p>
      <w:pPr>
        <w:sectPr>
          <w:pgSz w:w="11900" w:h="16838" w:orient="portrait"/>
          <w:cols w:equalWidth="0" w:num="1">
            <w:col w:w="11040"/>
          </w:cols>
          <w:pgMar w:left="320" w:top="459"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shares of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preferred stock will be set forth in the applicable prospectus supplement.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of incorporation contains the choice of forum provision described above, it is possible that a court could rule that such a provision is inapplicable for a particular claim or action or that such provision is unenforceable.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comprising the units may be traded separately;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identity of any unit agent for the units, if applicable,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additional provisions for the issuance, payment, settlement, transfer or exchange of the units or of the securities comprising the units;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7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0"/>
          </w:cols>
          <w:pgMar w:left="320" w:top="459" w:right="6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205740</wp:posOffset>
            </wp:positionV>
            <wp:extent cx="2897505" cy="720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00"/>
        <w:spacing w:after="0"/>
        <w:rPr>
          <w:sz w:val="20"/>
          <w:szCs w:val="20"/>
          <w:color w:val="auto"/>
        </w:rPr>
      </w:pPr>
      <w:r>
        <w:rPr>
          <w:rFonts w:ascii="Arial" w:cs="Arial" w:eastAsia="Arial" w:hAnsi="Arial"/>
          <w:sz w:val="25"/>
          <w:szCs w:val="25"/>
          <w:b w:val="1"/>
          <w:bCs w:val="1"/>
          <w:color w:val="465361"/>
        </w:rPr>
        <w:t>$50,000,000</w:t>
      </w:r>
    </w:p>
    <w:p>
      <w:pPr>
        <w:spacing w:after="0" w:line="200" w:lineRule="exact"/>
        <w:rPr>
          <w:sz w:val="20"/>
          <w:szCs w:val="20"/>
          <w:color w:val="auto"/>
        </w:rPr>
      </w:pPr>
    </w:p>
    <w:p>
      <w:pPr>
        <w:spacing w:after="0" w:line="232"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46536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2131695</wp:posOffset>
            </wp:positionV>
            <wp:extent cx="21602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3259"/>
        <w:spacing w:after="0"/>
        <w:rPr>
          <w:sz w:val="20"/>
          <w:szCs w:val="20"/>
          <w:color w:val="auto"/>
        </w:rPr>
      </w:pPr>
      <w:r>
        <w:rPr>
          <w:rFonts w:ascii="Arial" w:cs="Arial" w:eastAsia="Arial" w:hAnsi="Arial"/>
          <w:sz w:val="25"/>
          <w:szCs w:val="25"/>
          <w:b w:val="1"/>
          <w:bCs w:val="1"/>
          <w:color w:val="465361"/>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97790</wp:posOffset>
            </wp:positionV>
            <wp:extent cx="21602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465361"/>
        </w:rPr>
        <w:t>Piper Sandler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465361"/>
        </w:rPr>
        <w:t>May 9, 2022</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617"/>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617"/>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jpe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jpeg"/><Relationship Id="rId88" Type="http://schemas.openxmlformats.org/officeDocument/2006/relationships/image" Target="media/image69.png"/><Relationship Id="rId89" Type="http://schemas.openxmlformats.org/officeDocument/2006/relationships/image" Target="media/image70.png"/><Relationship Id="rId32" Type="http://schemas.openxmlformats.org/officeDocument/2006/relationships/hyperlink" Target="http://www.sec.gov/ix?doc=/Archives/edgar/data/1680581/000095017022002727/fulc-20211231.htm" TargetMode="External"/><Relationship Id="rId34" Type="http://schemas.openxmlformats.org/officeDocument/2006/relationships/hyperlink" Target="http://www.sec.gov/ix?doc=/Archives/edgar/data/1680581/000095017022008235/fulc-20220331.htm" TargetMode="External"/><Relationship Id="rId35" Type="http://schemas.openxmlformats.org/officeDocument/2006/relationships/hyperlink" Target="http://www.sec.gov/Archives/edgar/data/1680581/000119312522127507/d53754ddef14a.htm" TargetMode="External"/><Relationship Id="rId36" Type="http://schemas.openxmlformats.org/officeDocument/2006/relationships/hyperlink" Target="http://www.sec.gov/ix?doc=/Archives/edgar/data/1680581/000119312522001760/d237013d8k.htm" TargetMode="External"/><Relationship Id="rId37" Type="http://schemas.openxmlformats.org/officeDocument/2006/relationships/hyperlink" Target="http://www.sec.gov/ix?doc=/Archives/edgar/data/1680581/000119312522005038/d157429d8k.htm" TargetMode="External"/><Relationship Id="rId38" Type="http://schemas.openxmlformats.org/officeDocument/2006/relationships/hyperlink" Target="http://www.sec.gov/ix?doc=/Archives/edgar/data/1680581/000119312522072011/d306646d8k.htm" TargetMode="External"/><Relationship Id="rId39" Type="http://schemas.openxmlformats.org/officeDocument/2006/relationships/hyperlink" Target="http://www.sec.gov/Archives/edgar/data/1680581/000156459020008951/fulc-ex42_198.htm" TargetMode="External"/><Relationship Id="rId40" Type="http://schemas.openxmlformats.org/officeDocument/2006/relationships/hyperlink" Target="http://www.sec.gov/Archives/edgar/data/1680581/000156459021010715/fulc-10k_20201231.htm" TargetMode="External"/><Relationship Id="rId50" Type="http://schemas.openxmlformats.org/officeDocument/2006/relationships/hyperlink" Target="http://www.sec.gov/ix?doc=/Archives/edgar/data/0001680581/000119312522001760/d237013d8k.htm" TargetMode="External"/><Relationship Id="rId51" Type="http://schemas.openxmlformats.org/officeDocument/2006/relationships/hyperlink" Target="http://www.sec.gov/ix?doc=/Archives/edgar/data/0001680581/000119312522005038/d157429d8k.htm" TargetMode="External"/><Relationship Id="rId52" Type="http://schemas.openxmlformats.org/officeDocument/2006/relationships/hyperlink" Target="http://www.sec.gov/Archives/edgar/data/1680581/000110465919040208/a19-3408_78a12b.htm" TargetMode="External"/><Relationship Id="rId53" Type="http://schemas.openxmlformats.org/officeDocument/2006/relationships/hyperlink" Target="http://www.sec.gov/Archives/edgar/data/0001680581/000156459021010715/fulc-10k_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2022-05-10T05:22:15Z</dcterms:created>
  <dcterms:modified xsi:type="dcterms:W3CDTF">2022-05-10T05:22:15Z</dcterms:modified>
</cp:coreProperties>
</file>