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5.56 %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 Lansdowne Street Cambridge, MA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Times New Roman" w:cs="Times New Roman" w:eastAsia="Times New Roman" w:hAnsi="Times New Roman"/>
          <w:sz w:val="22"/>
          <w:szCs w:val="22"/>
          <w:color w:val="auto"/>
        </w:rPr>
        <w:t>This statement is filed by: (i) Adage Capital Management, L.P., a Delaware limited partnership ("ACM"), as the investment manager of Adage Capital Partners, L.P., a Delaware limited partnership ("ACP"), with respect to the shares of common stock, par value $0.001 per share ("Common Stock") of Fulcrum Therapeutics, Inc., a Delaware corporation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shares of Common Stock directly held by ACP; and (iii) Phillip Gross ("Mr. Gross"), as (1) managing member of ACA, managing member of ACPGP and (2) managing member of ACPLLC, general partner of ACM, with respect to the shares of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ACM is a limited partnership organized under the laws of the State of Delaware. Messrs. Gross and Atchinson are citizens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359616109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355" w:right="41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53,938,661 shares of Common Stock outstanding as of November 6, 2024 , as reported in the Company's Quarterly Report on Form 10-Q for the quarterly period ended September 30, 2024, filed with the Securities and Exchange Commission on November 13, 2024.</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ectPr>
          <w:pgSz w:w="11900" w:h="16838" w:orient="portrait"/>
          <w:cols w:equalWidth="0" w:num="1">
            <w:col w:w="11120"/>
          </w:cols>
          <w:pgMar w:left="360" w:top="355" w:right="41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40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Phillip Gross</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Phillip Gross, individually</w:t>
      </w:r>
    </w:p>
    <w:p>
      <w:pPr>
        <w:sectPr>
          <w:pgSz w:w="11900" w:h="16838" w:orient="portrait"/>
          <w:cols w:equalWidth="0" w:num="1">
            <w:col w:w="11140"/>
          </w:cols>
          <w:pgMar w:left="360" w:top="409" w:right="399" w:bottom="0" w:gutter="0" w:footer="0" w:header="0"/>
          <w:type w:val="continuous"/>
        </w:sectPr>
      </w:pPr>
    </w:p>
    <w:bookmarkStart w:id="5" w:name="page6"/>
    <w:bookmarkEnd w:id="5"/>
    <w:p>
      <w:pPr>
        <w:jc w:val="both"/>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2/12/2025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MANAGEMENT,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2025-02-12T08:37:50Z</dcterms:created>
  <dcterms:modified xsi:type="dcterms:W3CDTF">2025-02-12T08:37:50Z</dcterms:modified>
</cp:coreProperties>
</file>