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333-260754</w:t>
      </w:r>
    </w:p>
    <w:p>
      <w:pPr>
        <w:spacing w:after="0" w:line="31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14"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April 28, 2022)</w:t>
      </w:r>
    </w:p>
    <w:p>
      <w:pPr>
        <w:spacing w:after="0" w:line="149"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9,590,792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157480</wp:posOffset>
            </wp:positionV>
            <wp:extent cx="2905760"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0576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226060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We are offering 9,590,792 shares of our common stock.</w:t>
      </w:r>
    </w:p>
    <w:p>
      <w:pPr>
        <w:spacing w:after="0" w:line="171" w:lineRule="exact"/>
        <w:rPr>
          <w:sz w:val="24"/>
          <w:szCs w:val="24"/>
          <w:color w:val="auto"/>
        </w:rPr>
      </w:pPr>
    </w:p>
    <w:p>
      <w:pPr>
        <w:ind w:left="120" w:right="260" w:firstLine="551"/>
        <w:spacing w:after="0" w:line="271" w:lineRule="auto"/>
        <w:rPr>
          <w:sz w:val="20"/>
          <w:szCs w:val="20"/>
          <w:color w:val="auto"/>
        </w:rPr>
      </w:pPr>
      <w:r>
        <w:rPr>
          <w:rFonts w:ascii="Arial" w:cs="Arial" w:eastAsia="Arial" w:hAnsi="Arial"/>
          <w:sz w:val="18"/>
          <w:szCs w:val="18"/>
          <w:color w:val="auto"/>
        </w:rPr>
        <w:t>Our common stock is listed on The Nasdaq Global Market under the symbol “FULC”. The last reported sale price of our common stock on The Nasdaq Global Market on August 15, 2022 was $7.82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177800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120" w:right="140" w:firstLine="551"/>
        <w:spacing w:after="0" w:line="252" w:lineRule="auto"/>
        <w:rPr>
          <w:sz w:val="20"/>
          <w:szCs w:val="20"/>
          <w:color w:val="auto"/>
        </w:rPr>
      </w:pPr>
      <w:r>
        <w:rPr>
          <w:rFonts w:ascii="Arial" w:cs="Arial" w:eastAsia="Arial" w:hAnsi="Arial"/>
          <w:sz w:val="18"/>
          <w:szCs w:val="18"/>
          <w:i w:val="1"/>
          <w:iCs w:val="1"/>
          <w:color w:val="auto"/>
        </w:rPr>
        <w:t>Investing in our common stock involves significant risks. See “</w:t>
      </w:r>
      <w:r>
        <w:rPr>
          <w:rFonts w:ascii="Arial" w:cs="Arial" w:eastAsia="Arial" w:hAnsi="Arial"/>
          <w:sz w:val="18"/>
          <w:szCs w:val="18"/>
          <w:i w:val="1"/>
          <w:iCs w:val="1"/>
          <w:u w:val="single" w:color="auto"/>
          <w:color w:val="0000EE"/>
        </w:rPr>
        <w:t>Risk Factors</w:t>
      </w:r>
      <w:r>
        <w:rPr>
          <w:rFonts w:ascii="Arial" w:cs="Arial" w:eastAsia="Arial" w:hAnsi="Arial"/>
          <w:sz w:val="18"/>
          <w:szCs w:val="18"/>
          <w:i w:val="1"/>
          <w:iCs w:val="1"/>
          <w:color w:val="auto"/>
        </w:rPr>
        <w:t>” beginning on page S-9 of this prospectus supplement, page 2 of the accompanying base prospectus and in the documents incorporated by reference in this prospectus supplement for a discussion of the factors you should carefully consider before deciding to purchase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187960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120" w:right="280" w:firstLine="551"/>
        <w:spacing w:after="0" w:line="25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189865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tbl>
      <w:tblPr>
        <w:tblLayout w:type="fixed"/>
        <w:tblInd w:w="120" w:type="dxa"/>
        <w:tblCellMar>
          <w:top w:w="0" w:type="dxa"/>
          <w:left w:w="0" w:type="dxa"/>
          <w:bottom w:w="0" w:type="dxa"/>
          <w:right w:w="0" w:type="dxa"/>
        </w:tblCellMar>
      </w:tblPr>
      <w:tr>
        <w:trPr>
          <w:trHeight w:val="221"/>
        </w:trPr>
        <w:tc>
          <w:tcPr>
            <w:tcW w:w="8740" w:type="dxa"/>
            <w:vAlign w:val="bottom"/>
          </w:tcPr>
          <w:p>
            <w:pPr>
              <w:spacing w:after="0"/>
              <w:rPr>
                <w:sz w:val="19"/>
                <w:szCs w:val="19"/>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Per Share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6"/>
        </w:trPr>
        <w:tc>
          <w:tcPr>
            <w:tcW w:w="8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w w:val="94"/>
              </w:rPr>
              <w:t>7.8200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74,999,993</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874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 (1)</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0.4692</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4,500,000</w:t>
            </w:r>
          </w:p>
        </w:tc>
      </w:tr>
      <w:tr>
        <w:trPr>
          <w:trHeight w:val="203"/>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Fulcrum, before expenses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7.3508</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70,499,993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4"/>
          <w:szCs w:val="24"/>
          <w:color w:val="auto"/>
        </w:rPr>
      </w:pPr>
    </w:p>
    <w:p>
      <w:pPr>
        <w:ind w:left="660" w:right="280" w:hanging="544"/>
        <w:spacing w:after="0" w:line="27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FINRA-related expenses. See “Underwriting” for additional information regarding the compensation payable to the underwriters.</w:t>
      </w:r>
    </w:p>
    <w:p>
      <w:pPr>
        <w:spacing w:after="0" w:line="113" w:lineRule="exact"/>
        <w:rPr>
          <w:sz w:val="24"/>
          <w:szCs w:val="24"/>
          <w:color w:val="auto"/>
        </w:rPr>
      </w:pPr>
    </w:p>
    <w:p>
      <w:pPr>
        <w:ind w:left="120" w:right="680" w:firstLine="551"/>
        <w:spacing w:after="0" w:line="271" w:lineRule="auto"/>
        <w:rPr>
          <w:sz w:val="20"/>
          <w:szCs w:val="20"/>
          <w:color w:val="auto"/>
        </w:rPr>
      </w:pPr>
      <w:r>
        <w:rPr>
          <w:rFonts w:ascii="Arial" w:cs="Arial" w:eastAsia="Arial" w:hAnsi="Arial"/>
          <w:sz w:val="18"/>
          <w:szCs w:val="18"/>
          <w:color w:val="auto"/>
        </w:rPr>
        <w:t>We have granted the underwriters an option for a period of 30 days to purchase up to an additional 1,438,618 shares of our common stock at the public offering price less the underwriting discount.</w:t>
      </w:r>
    </w:p>
    <w:p>
      <w:pPr>
        <w:spacing w:after="0" w:line="11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underwriters expect to deliver the shares of common stock on or about August 18, 2022.</w:t>
      </w:r>
    </w:p>
    <w:p>
      <w:pPr>
        <w:spacing w:after="0" w:line="187" w:lineRule="exact"/>
        <w:rPr>
          <w:sz w:val="24"/>
          <w:szCs w:val="24"/>
          <w:color w:val="auto"/>
        </w:rPr>
      </w:pPr>
    </w:p>
    <w:p>
      <w:pPr>
        <w:ind w:left="4420"/>
        <w:spacing w:after="0"/>
        <w:rPr>
          <w:sz w:val="20"/>
          <w:szCs w:val="20"/>
          <w:color w:val="auto"/>
        </w:rPr>
      </w:pPr>
      <w:r>
        <w:rPr>
          <w:rFonts w:ascii="Arial" w:cs="Arial" w:eastAsia="Arial" w:hAnsi="Arial"/>
          <w:sz w:val="18"/>
          <w:szCs w:val="18"/>
          <w:i w:val="1"/>
          <w:iCs w:val="1"/>
          <w:color w:val="auto"/>
        </w:rPr>
        <w:t>Joint Book-Running Managers</w:t>
      </w:r>
    </w:p>
    <w:p>
      <w:pPr>
        <w:spacing w:after="0" w:line="200" w:lineRule="exact"/>
        <w:rPr>
          <w:sz w:val="24"/>
          <w:szCs w:val="24"/>
          <w:color w:val="auto"/>
        </w:rPr>
      </w:pPr>
    </w:p>
    <w:p>
      <w:pPr>
        <w:ind w:left="120"/>
        <w:spacing w:after="0"/>
        <w:tabs>
          <w:tab w:leader="none" w:pos="9580" w:val="left"/>
        </w:tabs>
        <w:rPr>
          <w:sz w:val="20"/>
          <w:szCs w:val="20"/>
          <w:color w:val="auto"/>
        </w:rPr>
      </w:pP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21"/>
          <w:szCs w:val="21"/>
          <w:b w:val="1"/>
          <w:bCs w:val="1"/>
          <w:color w:val="auto"/>
        </w:rPr>
        <w:t>SVB Securities</w:t>
      </w:r>
    </w:p>
    <w:p>
      <w:pPr>
        <w:spacing w:after="0" w:line="121"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Stifel</w:t>
      </w:r>
    </w:p>
    <w:p>
      <w:pPr>
        <w:spacing w:after="0" w:line="178" w:lineRule="exact"/>
        <w:rPr>
          <w:sz w:val="24"/>
          <w:szCs w:val="24"/>
          <w:color w:val="auto"/>
        </w:rPr>
      </w:pPr>
    </w:p>
    <w:p>
      <w:pPr>
        <w:jc w:val="center"/>
        <w:ind w:right="-99"/>
        <w:spacing w:after="0"/>
        <w:rPr>
          <w:sz w:val="20"/>
          <w:szCs w:val="20"/>
          <w:color w:val="auto"/>
        </w:rPr>
      </w:pPr>
      <w:r>
        <w:rPr>
          <w:rFonts w:ascii="Arial" w:cs="Arial" w:eastAsia="Arial" w:hAnsi="Arial"/>
          <w:sz w:val="16"/>
          <w:szCs w:val="16"/>
          <w:i w:val="1"/>
          <w:iCs w:val="1"/>
          <w:color w:val="auto"/>
        </w:rPr>
        <w:t>Lead Manager</w:t>
      </w:r>
    </w:p>
    <w:p>
      <w:pPr>
        <w:spacing w:after="0" w:line="17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Oppenheimer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223520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Prospectus supplement dated August 15, 2022</w:t>
      </w:r>
    </w:p>
    <w:p>
      <w:pPr>
        <w:sectPr>
          <w:pgSz w:w="11900" w:h="16838" w:orient="portrait"/>
          <w:cols w:equalWidth="0" w:num="1">
            <w:col w:w="11140"/>
          </w:cols>
          <w:pgMar w:left="320" w:top="226"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0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5"/>
        </w:trPr>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gridSpan w:val="5"/>
          </w:tcPr>
          <w:p>
            <w:pPr>
              <w:jc w:val="center"/>
              <w:ind w:right="284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gridSpan w:val="5"/>
          </w:tcPr>
          <w:p>
            <w:pPr>
              <w:jc w:val="center"/>
              <w:ind w:right="2820"/>
              <w:spacing w:after="0"/>
              <w:rPr>
                <w:sz w:val="20"/>
                <w:szCs w:val="20"/>
                <w:color w:val="auto"/>
              </w:rPr>
            </w:pPr>
            <w:r>
              <w:rPr>
                <w:rFonts w:ascii="Arial" w:cs="Arial" w:eastAsia="Arial" w:hAnsi="Arial"/>
                <w:sz w:val="18"/>
                <w:szCs w:val="18"/>
                <w:b w:val="1"/>
                <w:bCs w:val="1"/>
                <w:color w:val="auto"/>
                <w:w w:val="99"/>
              </w:rPr>
              <w:t>Prospectus Supplement</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20" w:type="dxa"/>
            <w:vAlign w:val="bottom"/>
          </w:tcPr>
          <w:p>
            <w:pPr>
              <w:spacing w:after="0"/>
              <w:rPr>
                <w:sz w:val="24"/>
                <w:szCs w:val="24"/>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0000EE"/>
              </w:rPr>
              <w:t>ABOUT THIS PROSPECTUS SUPPLEMENT</w:t>
            </w:r>
          </w:p>
        </w:tc>
        <w:tc>
          <w:tcPr>
            <w:tcW w:w="66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64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PROSPECTUS SUPPLEMENT SUMMARY</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48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THE OFFERING</w:t>
            </w:r>
          </w:p>
        </w:tc>
        <w:tc>
          <w:tcPr>
            <w:tcW w:w="2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34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RISK FACTORS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32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CAUTIONARY</w:t>
            </w:r>
          </w:p>
        </w:tc>
        <w:tc>
          <w:tcPr>
            <w:tcW w:w="8620" w:type="dxa"/>
            <w:vAlign w:val="bottom"/>
            <w:gridSpan w:val="21"/>
          </w:tcPr>
          <w:p>
            <w:pPr>
              <w:jc w:val="center"/>
              <w:ind w:right="2100"/>
              <w:spacing w:after="0" w:line="182" w:lineRule="exact"/>
              <w:rPr>
                <w:sz w:val="20"/>
                <w:szCs w:val="20"/>
                <w:color w:val="auto"/>
              </w:rPr>
            </w:pPr>
            <w:r>
              <w:rPr>
                <w:rFonts w:ascii="Arial" w:cs="Arial" w:eastAsia="Arial" w:hAnsi="Arial"/>
                <w:sz w:val="18"/>
                <w:szCs w:val="18"/>
                <w:color w:val="0000EE"/>
                <w:w w:val="97"/>
              </w:rPr>
              <w:t>NOTE REGARDING FORWARD-LOOKING STATEMENTS AND INDUSTRY DATA</w:t>
            </w: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84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USE OF PROCEEDS</w:t>
            </w:r>
          </w:p>
        </w:tc>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7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DILUTION</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2580" w:type="dxa"/>
            <w:vAlign w:val="bottom"/>
            <w:gridSpan w:val="2"/>
          </w:tcPr>
          <w:p>
            <w:pPr>
              <w:spacing w:after="0"/>
              <w:rPr>
                <w:sz w:val="15"/>
                <w:szCs w:val="15"/>
                <w:color w:val="auto"/>
              </w:rPr>
            </w:pPr>
          </w:p>
        </w:tc>
        <w:tc>
          <w:tcPr>
            <w:tcW w:w="1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6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3"/>
              </w:rPr>
              <w:t>MATERIAL</w:t>
            </w:r>
          </w:p>
        </w:tc>
        <w:tc>
          <w:tcPr>
            <w:tcW w:w="9080" w:type="dxa"/>
            <w:vAlign w:val="bottom"/>
            <w:gridSpan w:val="23"/>
          </w:tcPr>
          <w:p>
            <w:pPr>
              <w:ind w:left="80"/>
              <w:spacing w:after="0" w:line="182" w:lineRule="exact"/>
              <w:rPr>
                <w:sz w:val="20"/>
                <w:szCs w:val="20"/>
                <w:color w:val="auto"/>
              </w:rPr>
            </w:pPr>
            <w:r>
              <w:rPr>
                <w:rFonts w:ascii="Arial" w:cs="Arial" w:eastAsia="Arial" w:hAnsi="Arial"/>
                <w:sz w:val="18"/>
                <w:szCs w:val="18"/>
                <w:color w:val="0000EE"/>
              </w:rPr>
              <w:t>U.S. INCOME AND ESTATE TAX CONSIDERATIONS FOR NON-U.S. HOLDERS OF COMMON STOCK</w:t>
            </w: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9320" w:type="dxa"/>
            <w:vAlign w:val="bottom"/>
            <w:tcBorders>
              <w:top w:val="single" w:sz="8" w:color="0000EE"/>
            </w:tcBorders>
            <w:gridSpan w:val="24"/>
          </w:tcPr>
          <w:p>
            <w:pPr>
              <w:spacing w:after="0" w:line="182" w:lineRule="exact"/>
              <w:rPr>
                <w:sz w:val="20"/>
                <w:szCs w:val="20"/>
                <w:color w:val="auto"/>
              </w:rPr>
            </w:pPr>
            <w:r>
              <w:rPr>
                <w:rFonts w:ascii="Arial" w:cs="Arial" w:eastAsia="Arial" w:hAnsi="Arial"/>
                <w:sz w:val="18"/>
                <w:szCs w:val="18"/>
                <w:color w:val="0000EE"/>
              </w:rPr>
              <w:t>UNDERWRITING</w:t>
            </w:r>
          </w:p>
        </w:tc>
        <w:tc>
          <w:tcPr>
            <w:tcW w:w="620" w:type="dxa"/>
            <w:vAlign w:val="bottom"/>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S-20</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42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3"/>
              </w:rPr>
              <w:t>LEGAL MATTERS</w:t>
            </w:r>
          </w:p>
        </w:tc>
        <w:tc>
          <w:tcPr>
            <w:tcW w:w="60" w:type="dxa"/>
            <w:vAlign w:val="bottom"/>
            <w:tcBorders>
              <w:bottom w:val="single" w:sz="8" w:color="0000EE"/>
            </w:tcBorders>
          </w:tcPr>
          <w:p>
            <w:pPr>
              <w:spacing w:after="0"/>
              <w:rPr>
                <w:sz w:val="15"/>
                <w:szCs w:val="15"/>
                <w:color w:val="auto"/>
              </w:rPr>
            </w:pPr>
          </w:p>
        </w:tc>
        <w:tc>
          <w:tcPr>
            <w:tcW w:w="26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2580" w:type="dxa"/>
            <w:vAlign w:val="bottom"/>
            <w:gridSpan w:val="2"/>
          </w:tcPr>
          <w:p>
            <w:pPr>
              <w:spacing w:after="0"/>
              <w:rPr>
                <w:sz w:val="15"/>
                <w:szCs w:val="15"/>
                <w:color w:val="auto"/>
              </w:rPr>
            </w:pPr>
          </w:p>
        </w:tc>
        <w:tc>
          <w:tcPr>
            <w:tcW w:w="2080" w:type="dxa"/>
            <w:vAlign w:val="bottom"/>
            <w:gridSpan w:val="2"/>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4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EXPERTS</w:t>
            </w:r>
          </w:p>
        </w:tc>
        <w:tc>
          <w:tcPr>
            <w:tcW w:w="640" w:type="dxa"/>
            <w:vAlign w:val="bottom"/>
            <w:gridSpan w:val="6"/>
          </w:tcPr>
          <w:p>
            <w:pPr>
              <w:spacing w:after="0"/>
              <w:rPr>
                <w:sz w:val="15"/>
                <w:szCs w:val="15"/>
                <w:color w:val="auto"/>
              </w:rPr>
            </w:pPr>
          </w:p>
        </w:tc>
        <w:tc>
          <w:tcPr>
            <w:tcW w:w="26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2580" w:type="dxa"/>
            <w:vAlign w:val="bottom"/>
            <w:gridSpan w:val="2"/>
          </w:tcPr>
          <w:p>
            <w:pPr>
              <w:spacing w:after="0"/>
              <w:rPr>
                <w:sz w:val="15"/>
                <w:szCs w:val="15"/>
                <w:color w:val="auto"/>
              </w:rPr>
            </w:pPr>
          </w:p>
        </w:tc>
        <w:tc>
          <w:tcPr>
            <w:tcW w:w="2080" w:type="dxa"/>
            <w:vAlign w:val="bottom"/>
            <w:gridSpan w:val="2"/>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9940" w:type="dxa"/>
            <w:vAlign w:val="bottom"/>
            <w:gridSpan w:val="25"/>
          </w:tcPr>
          <w:p>
            <w:pPr>
              <w:spacing w:after="0" w:line="182" w:lineRule="exact"/>
              <w:rPr>
                <w:sz w:val="20"/>
                <w:szCs w:val="20"/>
                <w:color w:val="auto"/>
              </w:rPr>
            </w:pPr>
            <w:r>
              <w:rPr>
                <w:rFonts w:ascii="Arial" w:cs="Arial" w:eastAsia="Arial" w:hAnsi="Arial"/>
                <w:sz w:val="18"/>
                <w:szCs w:val="18"/>
                <w:color w:val="0000EE"/>
              </w:rPr>
              <w:t>WHERE YOU CAN FIND MORE INFORMATION</w:t>
            </w: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90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INCORPORATION OF CERTAIN DOCUMENTS</w:t>
            </w:r>
          </w:p>
        </w:tc>
        <w:tc>
          <w:tcPr>
            <w:tcW w:w="6040" w:type="dxa"/>
            <w:vAlign w:val="bottom"/>
            <w:gridSpan w:val="5"/>
          </w:tcPr>
          <w:p>
            <w:pPr>
              <w:jc w:val="center"/>
              <w:ind w:right="4660"/>
              <w:spacing w:after="0" w:line="182" w:lineRule="exact"/>
              <w:rPr>
                <w:sz w:val="20"/>
                <w:szCs w:val="20"/>
                <w:color w:val="auto"/>
              </w:rPr>
            </w:pPr>
            <w:r>
              <w:rPr>
                <w:rFonts w:ascii="Arial" w:cs="Arial" w:eastAsia="Arial" w:hAnsi="Arial"/>
                <w:sz w:val="18"/>
                <w:szCs w:val="18"/>
                <w:color w:val="0000EE"/>
                <w:w w:val="98"/>
              </w:rPr>
              <w:t>BY REFERENCE</w:t>
            </w: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S-28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gridSpan w:val="5"/>
          </w:tcPr>
          <w:p>
            <w:pPr>
              <w:jc w:val="center"/>
              <w:ind w:right="2820"/>
              <w:spacing w:after="0"/>
              <w:rPr>
                <w:sz w:val="20"/>
                <w:szCs w:val="20"/>
                <w:color w:val="auto"/>
              </w:rPr>
            </w:pPr>
            <w:r>
              <w:rPr>
                <w:rFonts w:ascii="Arial" w:cs="Arial" w:eastAsia="Arial" w:hAnsi="Arial"/>
                <w:sz w:val="18"/>
                <w:szCs w:val="18"/>
                <w:b w:val="1"/>
                <w:bCs w:val="1"/>
                <w:color w:val="auto"/>
                <w:w w:val="99"/>
              </w:rPr>
              <w:t>Prospectus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20" w:type="dxa"/>
            <w:vAlign w:val="bottom"/>
          </w:tcPr>
          <w:p>
            <w:pPr>
              <w:spacing w:after="0"/>
              <w:rPr>
                <w:sz w:val="24"/>
                <w:szCs w:val="24"/>
                <w:color w:val="auto"/>
              </w:rPr>
            </w:pPr>
          </w:p>
        </w:tc>
        <w:tc>
          <w:tcPr>
            <w:tcW w:w="9940" w:type="dxa"/>
            <w:vAlign w:val="bottom"/>
            <w:gridSpan w:val="25"/>
            <w:vMerge w:val="restart"/>
          </w:tcPr>
          <w:p>
            <w:pPr>
              <w:spacing w:after="0"/>
              <w:rPr>
                <w:sz w:val="20"/>
                <w:szCs w:val="20"/>
                <w:color w:val="auto"/>
              </w:rPr>
            </w:pPr>
            <w:r>
              <w:rPr>
                <w:rFonts w:ascii="Arial" w:cs="Arial" w:eastAsia="Arial" w:hAnsi="Arial"/>
                <w:sz w:val="18"/>
                <w:szCs w:val="18"/>
                <w:color w:val="0000EE"/>
              </w:rPr>
              <w:t>ABOUT THIS PROSPECTUS</w:t>
            </w:r>
          </w:p>
        </w:tc>
        <w:tc>
          <w:tcPr>
            <w:tcW w:w="66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9940" w:type="dxa"/>
            <w:vAlign w:val="bottom"/>
            <w:gridSpan w:val="25"/>
            <w:vMerge w:val="continue"/>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7"/>
              </w:rPr>
              <w:t>RISK FACTORS</w:t>
            </w:r>
          </w:p>
        </w:tc>
        <w:tc>
          <w:tcPr>
            <w:tcW w:w="1040" w:type="dxa"/>
            <w:vAlign w:val="bottom"/>
            <w:tcBorders>
              <w:top w:val="single" w:sz="8" w:color="0000EE"/>
            </w:tcBorders>
            <w:gridSpan w:val="8"/>
          </w:tcPr>
          <w:p>
            <w:pPr>
              <w:spacing w:after="0"/>
              <w:rPr>
                <w:sz w:val="17"/>
                <w:szCs w:val="17"/>
                <w:color w:val="auto"/>
              </w:rPr>
            </w:pPr>
          </w:p>
        </w:tc>
        <w:tc>
          <w:tcPr>
            <w:tcW w:w="7580" w:type="dxa"/>
            <w:vAlign w:val="bottom"/>
            <w:gridSpan w:val="13"/>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90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9"/>
              </w:rPr>
              <w:t>WHERE YOU CAN FIND MORE INFORMATION</w:t>
            </w:r>
          </w:p>
        </w:tc>
        <w:tc>
          <w:tcPr>
            <w:tcW w:w="6040" w:type="dxa"/>
            <w:vAlign w:val="bottom"/>
            <w:gridSpan w:val="5"/>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5"/>
          </w:tcPr>
          <w:p>
            <w:pPr>
              <w:spacing w:after="0" w:line="196" w:lineRule="exact"/>
              <w:rPr>
                <w:sz w:val="20"/>
                <w:szCs w:val="20"/>
                <w:color w:val="auto"/>
              </w:rPr>
            </w:pPr>
            <w:r>
              <w:rPr>
                <w:rFonts w:ascii="Arial" w:cs="Arial" w:eastAsia="Arial" w:hAnsi="Arial"/>
                <w:sz w:val="18"/>
                <w:szCs w:val="18"/>
                <w:color w:val="0000EE"/>
              </w:rPr>
              <w:t>INCORPORATION OF CERTAIN DOCUMENTS BY REFERENCE</w:t>
            </w: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740" w:type="dxa"/>
            <w:vAlign w:val="bottom"/>
            <w:gridSpan w:val="9"/>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20" w:type="dxa"/>
            <w:vAlign w:val="bottom"/>
            <w:gridSpan w:val="3"/>
            <w:vMerge w:val="restart"/>
          </w:tcPr>
          <w:p>
            <w:pPr>
              <w:jc w:val="right"/>
              <w:ind w:right="20"/>
              <w:spacing w:after="0" w:line="216" w:lineRule="exact"/>
              <w:rPr>
                <w:sz w:val="20"/>
                <w:szCs w:val="20"/>
                <w:color w:val="auto"/>
              </w:rPr>
            </w:pPr>
            <w:r>
              <w:rPr>
                <w:rFonts w:ascii="Arial" w:cs="Arial" w:eastAsia="Arial" w:hAnsi="Arial"/>
                <w:sz w:val="20"/>
                <w:szCs w:val="20"/>
                <w:color w:val="auto"/>
              </w:rPr>
              <w:t>4</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86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8"/>
              </w:rPr>
              <w:t>CAUTIONARY NOTE REGARDING FORWARD-LOOKING STATEMENTS AND INDUSTRY DATA</w:t>
            </w:r>
          </w:p>
        </w:tc>
        <w:tc>
          <w:tcPr>
            <w:tcW w:w="2080" w:type="dxa"/>
            <w:vAlign w:val="bottom"/>
            <w:gridSpan w:val="2"/>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5"/>
          </w:tcPr>
          <w:p>
            <w:pPr>
              <w:spacing w:after="0" w:line="196" w:lineRule="exact"/>
              <w:rPr>
                <w:sz w:val="20"/>
                <w:szCs w:val="20"/>
                <w:color w:val="auto"/>
              </w:rPr>
            </w:pPr>
            <w:r>
              <w:rPr>
                <w:rFonts w:ascii="Arial" w:cs="Arial" w:eastAsia="Arial" w:hAnsi="Arial"/>
                <w:sz w:val="18"/>
                <w:szCs w:val="18"/>
                <w:color w:val="0000EE"/>
              </w:rPr>
              <w:t>ABOUT FULCRUM THERAPEUTICS, INC.</w:t>
            </w: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9"/>
              </w:rPr>
              <w:t>USE OF PROCEEDS</w:t>
            </w:r>
          </w:p>
        </w:tc>
        <w:tc>
          <w:tcPr>
            <w:tcW w:w="1700" w:type="dxa"/>
            <w:vAlign w:val="bottom"/>
            <w:tcBorders>
              <w:top w:val="single" w:sz="8" w:color="0000EE"/>
            </w:tcBorders>
            <w:gridSpan w:val="7"/>
          </w:tcPr>
          <w:p>
            <w:pPr>
              <w:spacing w:after="0"/>
              <w:rPr>
                <w:sz w:val="17"/>
                <w:szCs w:val="17"/>
                <w:color w:val="auto"/>
              </w:rPr>
            </w:pPr>
          </w:p>
        </w:tc>
        <w:tc>
          <w:tcPr>
            <w:tcW w:w="6500" w:type="dxa"/>
            <w:vAlign w:val="bottom"/>
            <w:gridSpan w:val="9"/>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5"/>
          </w:tcPr>
          <w:p>
            <w:pPr>
              <w:spacing w:after="0" w:line="196" w:lineRule="exact"/>
              <w:rPr>
                <w:sz w:val="20"/>
                <w:szCs w:val="20"/>
                <w:color w:val="auto"/>
              </w:rPr>
            </w:pPr>
            <w:r>
              <w:rPr>
                <w:rFonts w:ascii="Arial" w:cs="Arial" w:eastAsia="Arial" w:hAnsi="Arial"/>
                <w:sz w:val="18"/>
                <w:szCs w:val="18"/>
                <w:color w:val="0000EE"/>
              </w:rPr>
              <w:t>DESCRIPTION OF DEBT SECURITIES</w:t>
            </w: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8"/>
              </w:rPr>
              <w:t>DESCRIPTION OF CAPITAL STOCK</w:t>
            </w:r>
          </w:p>
        </w:tc>
        <w:tc>
          <w:tcPr>
            <w:tcW w:w="200" w:type="dxa"/>
            <w:vAlign w:val="bottom"/>
            <w:tcBorders>
              <w:top w:val="single" w:sz="8" w:color="0000EE"/>
            </w:tcBorders>
          </w:tcPr>
          <w:p>
            <w:pPr>
              <w:spacing w:after="0"/>
              <w:rPr>
                <w:sz w:val="17"/>
                <w:szCs w:val="17"/>
                <w:color w:val="auto"/>
              </w:rPr>
            </w:pPr>
          </w:p>
        </w:tc>
        <w:tc>
          <w:tcPr>
            <w:tcW w:w="6760" w:type="dxa"/>
            <w:vAlign w:val="bottom"/>
            <w:gridSpan w:val="10"/>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5"/>
          </w:tcPr>
          <w:p>
            <w:pPr>
              <w:spacing w:after="0" w:line="196" w:lineRule="exact"/>
              <w:rPr>
                <w:sz w:val="20"/>
                <w:szCs w:val="20"/>
                <w:color w:val="auto"/>
              </w:rPr>
            </w:pPr>
            <w:r>
              <w:rPr>
                <w:rFonts w:ascii="Arial" w:cs="Arial" w:eastAsia="Arial" w:hAnsi="Arial"/>
                <w:sz w:val="18"/>
                <w:szCs w:val="18"/>
                <w:color w:val="0000EE"/>
              </w:rPr>
              <w:t>DESCRIPTION OF DEPOSITARY SHARES</w:t>
            </w: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9"/>
              </w:rPr>
              <w:t>DESCRIPTION OF UNITS</w:t>
            </w:r>
          </w:p>
        </w:tc>
        <w:tc>
          <w:tcPr>
            <w:tcW w:w="1380" w:type="dxa"/>
            <w:vAlign w:val="bottom"/>
            <w:tcBorders>
              <w:top w:val="single" w:sz="8" w:color="0000EE"/>
            </w:tcBorders>
            <w:gridSpan w:val="7"/>
          </w:tcPr>
          <w:p>
            <w:pPr>
              <w:spacing w:after="0"/>
              <w:rPr>
                <w:sz w:val="17"/>
                <w:szCs w:val="17"/>
                <w:color w:val="auto"/>
              </w:rPr>
            </w:pPr>
          </w:p>
        </w:tc>
        <w:tc>
          <w:tcPr>
            <w:tcW w:w="6440" w:type="dxa"/>
            <w:vAlign w:val="bottom"/>
            <w:gridSpan w:val="7"/>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6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8"/>
              </w:rPr>
              <w:t>DESCRIPTION OF WARRANTS</w:t>
            </w:r>
          </w:p>
        </w:tc>
        <w:tc>
          <w:tcPr>
            <w:tcW w:w="7340" w:type="dxa"/>
            <w:vAlign w:val="bottom"/>
            <w:gridSpan w:val="12"/>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9"/>
              </w:rPr>
              <w:t>FORMS OF SECURITIES</w:t>
            </w:r>
          </w:p>
        </w:tc>
        <w:tc>
          <w:tcPr>
            <w:tcW w:w="7860" w:type="dxa"/>
            <w:vAlign w:val="bottom"/>
            <w:gridSpan w:val="15"/>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5"/>
          </w:tcPr>
          <w:p>
            <w:pPr>
              <w:spacing w:after="0" w:line="196" w:lineRule="exact"/>
              <w:rPr>
                <w:sz w:val="20"/>
                <w:szCs w:val="20"/>
                <w:color w:val="auto"/>
              </w:rPr>
            </w:pPr>
            <w:r>
              <w:rPr>
                <w:rFonts w:ascii="Arial" w:cs="Arial" w:eastAsia="Arial" w:hAnsi="Arial"/>
                <w:sz w:val="18"/>
                <w:szCs w:val="18"/>
                <w:color w:val="0000EE"/>
              </w:rPr>
              <w:t>PLAN OF DISTRIBUTION</w:t>
            </w: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7"/>
              </w:rPr>
              <w:t>LEGAL MATTERS</w:t>
            </w:r>
          </w:p>
        </w:tc>
        <w:tc>
          <w:tcPr>
            <w:tcW w:w="600" w:type="dxa"/>
            <w:vAlign w:val="bottom"/>
            <w:tcBorders>
              <w:top w:val="single" w:sz="8" w:color="0000EE"/>
            </w:tcBorders>
            <w:gridSpan w:val="3"/>
          </w:tcPr>
          <w:p>
            <w:pPr>
              <w:spacing w:after="0"/>
              <w:rPr>
                <w:sz w:val="17"/>
                <w:szCs w:val="17"/>
                <w:color w:val="auto"/>
              </w:rPr>
            </w:pPr>
          </w:p>
        </w:tc>
        <w:tc>
          <w:tcPr>
            <w:tcW w:w="7860" w:type="dxa"/>
            <w:vAlign w:val="bottom"/>
            <w:gridSpan w:val="15"/>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7"/>
              </w:rPr>
              <w:t>EXPERTS</w:t>
            </w:r>
          </w:p>
        </w:tc>
        <w:tc>
          <w:tcPr>
            <w:tcW w:w="9100" w:type="dxa"/>
            <w:vAlign w:val="bottom"/>
            <w:gridSpan w:val="24"/>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60"/>
          </w:cols>
          <w:pgMar w:left="320" w:top="446"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This document is part of a registration statement that we filed with the Securities and Exchange Commission, or the SEC, utilizing a “shelf” registration process and consists of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80" w:lineRule="exact"/>
        <w:rPr>
          <w:sz w:val="20"/>
          <w:szCs w:val="20"/>
          <w:color w:val="auto"/>
        </w:rPr>
      </w:pPr>
    </w:p>
    <w:p>
      <w:pPr>
        <w:ind w:left="120" w:right="180" w:firstLine="551"/>
        <w:spacing w:after="0" w:line="242"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9"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Neither we nor the underwriters have authorized anyone to provide any information other than that contained or incorporated by reference into this prospectus supplement, the accompanying prospectus or in any free writing prospectus prepared by or on behalf of us or to which we have referred you. We and the underwriters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w:t>
      </w:r>
    </w:p>
    <w:p>
      <w:pPr>
        <w:spacing w:after="0" w:line="180"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0"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Unless the context otherwise indicates, references in this prospectus supplement to “Fulcrum” “we,” “our,” “us” and “the Company” refer, collectively, to Fulcrum Therapeutics, Inc., a Delaware corporation and its consolidated subsidiary.</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56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214" w:lineRule="exact"/>
        <w:rPr>
          <w:sz w:val="20"/>
          <w:szCs w:val="20"/>
          <w:color w:val="auto"/>
        </w:rPr>
      </w:pPr>
    </w:p>
    <w:p>
      <w:pPr>
        <w:ind w:left="300" w:right="40" w:firstLine="532"/>
        <w:spacing w:after="0"/>
        <w:rPr>
          <w:sz w:val="20"/>
          <w:szCs w:val="20"/>
          <w:color w:val="auto"/>
        </w:rPr>
      </w:pPr>
      <w:r>
        <w:rPr>
          <w:rFonts w:ascii="Arial" w:cs="Arial" w:eastAsia="Arial" w:hAnsi="Arial"/>
          <w:sz w:val="18"/>
          <w:szCs w:val="18"/>
          <w:i w:val="1"/>
          <w:iCs w:val="1"/>
          <w:color w:val="auto"/>
        </w:rPr>
        <w:t>This summary highlights certain information about us, this offering and selected information contained elsewhere in this prospectus supplement, the accompanying base prospectus and in the documents we incorporate by reference. This summary is not complete and does not contain all of the information that you should consider before making an investment decision. You should read this entire prospectus carefully, especially the risks of investing in our common stock discussed under “Risk Factors” beginning on page S-9 of this prospectus supplement and page 2 of the accompanying base prospectus, along with our consolidated financial statements and notes to those consolidated financial statements and the other documents incorporated by reference in this prospectus supplement, along with any free writing prospectus that we have authorized for use in connection with this offering.</w:t>
      </w:r>
    </w:p>
    <w:p>
      <w:pPr>
        <w:spacing w:after="0" w:line="29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Company Overview</w:t>
      </w:r>
    </w:p>
    <w:p>
      <w:pPr>
        <w:spacing w:after="0" w:line="212"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We are a clinical-stage biopharmaceutical company focused on improving the lives of patients with genetically defined rare diseases in areas of high unmet medical need. Our most advanced product candidate, losmapimod, is in development to treat the root cause of facioscapulohumeral muscular dystrophy, or FSHD. We initiated REACH, a randomized, double-blind, placebo-controlled, multi-national Phase 3 clinical trial of losmapimod, our product candidate for FSHD, in the second quarter of 2022 and in July 2022 announced enrollment of the first patient in REACH. Our other clinical product candidate is FTX-6058, which is being developed for the treatment of certain hemoglobinopathies, including sickle cell disease, or SCD. In June 2022, we announced clinical proof-of-concept data from the ongoing Phase 1b trial of FTX-6058 for the treatment of SCD.</w:t>
      </w:r>
    </w:p>
    <w:p>
      <w:pPr>
        <w:spacing w:after="0" w:line="185" w:lineRule="exact"/>
        <w:rPr>
          <w:sz w:val="20"/>
          <w:szCs w:val="20"/>
          <w:color w:val="auto"/>
        </w:rPr>
      </w:pPr>
    </w:p>
    <w:p>
      <w:pPr>
        <w:ind w:left="300" w:right="100" w:firstLine="532"/>
        <w:spacing w:after="0" w:line="239" w:lineRule="auto"/>
        <w:rPr>
          <w:sz w:val="20"/>
          <w:szCs w:val="20"/>
          <w:color w:val="auto"/>
        </w:rPr>
      </w:pPr>
      <w:r>
        <w:rPr>
          <w:rFonts w:ascii="Arial" w:cs="Arial" w:eastAsia="Arial" w:hAnsi="Arial"/>
          <w:sz w:val="18"/>
          <w:szCs w:val="18"/>
          <w:color w:val="auto"/>
        </w:rPr>
        <w:t>We have developed a proprietary product engine, FulcrumSeek, that we employ to systematically identify and validate cellular drug targets that can potentially modulate gene expression to treat known root causes of genetically defined diseases. Our product engine integrates patient-derived tissue and disease-relevant cell models that we interrogate with our pharmacologically diverse and highly annotated small-molecule compound library as well as with our customized CRISPR and RNAi libraries. These screens generate tens of millions of data points and high-content imaging which we then apply computational biology and analytics to identify targets with specificity and selectivity accompanied by a comprehensive data set that significantly accelerates development. This approach led to the identification of both losmapimod for FSHD and FTX-6058 for hemoglobinopathies, as well as a robust discovery pipeline. We expect to nominate our next development candidate this year to support our fourth investigational new drug application by the end of the first quarter of 2023.</w:t>
      </w:r>
    </w:p>
    <w:p>
      <w:pPr>
        <w:spacing w:after="0" w:line="183" w:lineRule="exact"/>
        <w:rPr>
          <w:sz w:val="20"/>
          <w:szCs w:val="20"/>
          <w:color w:val="auto"/>
        </w:rPr>
      </w:pPr>
    </w:p>
    <w:p>
      <w:pPr>
        <w:ind w:left="300" w:right="200" w:firstLine="532"/>
        <w:spacing w:after="0" w:line="247" w:lineRule="auto"/>
        <w:rPr>
          <w:sz w:val="20"/>
          <w:szCs w:val="20"/>
          <w:color w:val="auto"/>
        </w:rPr>
      </w:pPr>
      <w:r>
        <w:rPr>
          <w:rFonts w:ascii="Arial" w:cs="Arial" w:eastAsia="Arial" w:hAnsi="Arial"/>
          <w:sz w:val="18"/>
          <w:szCs w:val="18"/>
          <w:color w:val="auto"/>
        </w:rPr>
        <w:t>In August 2022, we announced a strategic plan to realign internal investments and operations to prioritize our two clinical programs, which we believe will extend our cash runway into mid-2024. In connection with this decision, we announced a workforce reduction of 25% of our planned headcount that we expect to complete in August 2022. This restructuring will result in cumulative savings of approximately $40 million to $50 million into mid-2024.</w:t>
      </w:r>
    </w:p>
    <w:p>
      <w:pPr>
        <w:spacing w:after="0" w:line="17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have incurred significant operating losses since our inception and we expect to continue to incur significant operating</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losses for the foreseeable future. Our ability to generate product revenue sufficient to achieve profitability, if ever, will depend heavily</w:t>
      </w:r>
    </w:p>
    <w:p>
      <w:pPr>
        <w:ind w:left="300"/>
        <w:spacing w:after="0" w:line="234" w:lineRule="auto"/>
        <w:rPr>
          <w:sz w:val="20"/>
          <w:szCs w:val="20"/>
          <w:color w:val="auto"/>
        </w:rPr>
      </w:pPr>
      <w:r>
        <w:rPr>
          <w:rFonts w:ascii="Arial" w:cs="Arial" w:eastAsia="Arial" w:hAnsi="Arial"/>
          <w:sz w:val="18"/>
          <w:szCs w:val="18"/>
          <w:color w:val="auto"/>
        </w:rPr>
        <w:t>on the successful development and eventual commercialization of one or more of our product candidates. Our net losses were</w:t>
      </w:r>
    </w:p>
    <w:p>
      <w:pPr>
        <w:ind w:left="300"/>
        <w:spacing w:after="0" w:line="235" w:lineRule="auto"/>
        <w:rPr>
          <w:sz w:val="20"/>
          <w:szCs w:val="20"/>
          <w:color w:val="auto"/>
        </w:rPr>
      </w:pPr>
      <w:r>
        <w:rPr>
          <w:rFonts w:ascii="Arial" w:cs="Arial" w:eastAsia="Arial" w:hAnsi="Arial"/>
          <w:sz w:val="18"/>
          <w:szCs w:val="18"/>
          <w:color w:val="auto"/>
        </w:rPr>
        <w:t>$34.1 million and $60.0 million for the three and six months ended June 30, 2022, respectively, and $19.6 million and $36.6 million for</w:t>
      </w:r>
    </w:p>
    <w:p>
      <w:pPr>
        <w:ind w:left="300"/>
        <w:spacing w:after="0" w:line="235" w:lineRule="auto"/>
        <w:rPr>
          <w:sz w:val="20"/>
          <w:szCs w:val="20"/>
          <w:color w:val="auto"/>
        </w:rPr>
      </w:pPr>
      <w:r>
        <w:rPr>
          <w:rFonts w:ascii="Arial" w:cs="Arial" w:eastAsia="Arial" w:hAnsi="Arial"/>
          <w:sz w:val="18"/>
          <w:szCs w:val="18"/>
          <w:color w:val="auto"/>
        </w:rPr>
        <w:t>the three and six months ended June 30, 2021, respectively. As of June 30, 2022, we had an accumulated deficit of $362.5 million.</w:t>
      </w:r>
    </w:p>
    <w:p>
      <w:pPr>
        <w:ind w:left="300"/>
        <w:spacing w:after="0" w:line="235" w:lineRule="auto"/>
        <w:rPr>
          <w:sz w:val="20"/>
          <w:szCs w:val="20"/>
          <w:color w:val="auto"/>
        </w:rPr>
      </w:pPr>
      <w:r>
        <w:rPr>
          <w:rFonts w:ascii="Arial" w:cs="Arial" w:eastAsia="Arial" w:hAnsi="Arial"/>
          <w:sz w:val="18"/>
          <w:szCs w:val="18"/>
          <w:color w:val="auto"/>
        </w:rPr>
        <w:t>We expect our expenses and operating losses will increase substantially over the next several years in connection with our ongoing</w:t>
      </w:r>
    </w:p>
    <w:p>
      <w:pPr>
        <w:ind w:left="300"/>
        <w:spacing w:after="0"/>
        <w:rPr>
          <w:sz w:val="20"/>
          <w:szCs w:val="20"/>
          <w:color w:val="auto"/>
        </w:rPr>
      </w:pPr>
      <w:r>
        <w:rPr>
          <w:rFonts w:ascii="Arial" w:cs="Arial" w:eastAsia="Arial" w:hAnsi="Arial"/>
          <w:sz w:val="18"/>
          <w:szCs w:val="18"/>
          <w:color w:val="auto"/>
        </w:rPr>
        <w:t>activities.</w:t>
      </w:r>
    </w:p>
    <w:p>
      <w:pPr>
        <w:spacing w:after="0" w:line="3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36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Product Candidates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Losmapimod</w:t>
      </w:r>
    </w:p>
    <w:p>
      <w:pPr>
        <w:spacing w:after="0" w:line="102" w:lineRule="exact"/>
        <w:rPr>
          <w:sz w:val="20"/>
          <w:szCs w:val="20"/>
          <w:color w:val="auto"/>
        </w:rPr>
      </w:pPr>
    </w:p>
    <w:p>
      <w:pPr>
        <w:ind w:left="300" w:right="100" w:firstLine="532"/>
        <w:spacing w:after="0" w:line="242" w:lineRule="auto"/>
        <w:rPr>
          <w:sz w:val="20"/>
          <w:szCs w:val="20"/>
          <w:color w:val="auto"/>
        </w:rPr>
      </w:pPr>
      <w:r>
        <w:rPr>
          <w:rFonts w:ascii="Arial" w:cs="Arial" w:eastAsia="Arial" w:hAnsi="Arial"/>
          <w:sz w:val="18"/>
          <w:szCs w:val="18"/>
          <w:color w:val="auto"/>
        </w:rPr>
        <w:t>Our most advanced product candidate, losmapimod, is a small molecule that we are developing for the treatment of FSHD, a rare, progressive and disabling disorder characterized by muscle degeneration and fat infiltration. Disease progression results in the accumulation of disability with many patients ultimately becoming dependent on wheelchairs and losing independence as their ability to perform activities of daily living decreases. The aberrant expression of the DUX4 gene is the known root cause of FSHD. We utilized our product engine to discover that inhibition of p38</w:t>
      </w:r>
      <w:r>
        <w:rPr>
          <w:rFonts w:ascii="Times New Roman" w:cs="Times New Roman" w:eastAsia="Times New Roman" w:hAnsi="Times New Roman"/>
          <w:sz w:val="18"/>
          <w:szCs w:val="18"/>
          <w:color w:val="auto"/>
        </w:rPr>
        <w:t>a</w:t>
      </w:r>
      <w:r>
        <w:rPr>
          <w:rFonts w:ascii="Arial" w:cs="Arial" w:eastAsia="Arial" w:hAnsi="Arial"/>
          <w:sz w:val="18"/>
          <w:szCs w:val="18"/>
          <w:color w:val="auto"/>
        </w:rPr>
        <w:t>/ß reduced expression of the DUX4 gene in muscle cells derived from patients with FSHD. Our losmapimod selectively targets and inhibits activity of p38</w:t>
      </w:r>
      <w:r>
        <w:rPr>
          <w:rFonts w:ascii="Times New Roman" w:cs="Times New Roman" w:eastAsia="Times New Roman" w:hAnsi="Times New Roman"/>
          <w:sz w:val="18"/>
          <w:szCs w:val="18"/>
          <w:color w:val="auto"/>
        </w:rPr>
        <w:t>a</w:t>
      </w:r>
      <w:r>
        <w:rPr>
          <w:rFonts w:ascii="Arial" w:cs="Arial" w:eastAsia="Arial" w:hAnsi="Arial"/>
          <w:sz w:val="18"/>
          <w:szCs w:val="18"/>
          <w:color w:val="auto"/>
        </w:rPr>
        <w:t>/ß mitogen activated protein kinase, or p38</w:t>
      </w:r>
      <w:r>
        <w:rPr>
          <w:rFonts w:ascii="Times New Roman" w:cs="Times New Roman" w:eastAsia="Times New Roman" w:hAnsi="Times New Roman"/>
          <w:sz w:val="18"/>
          <w:szCs w:val="18"/>
          <w:color w:val="auto"/>
        </w:rPr>
        <w:t>a</w:t>
      </w:r>
      <w:r>
        <w:rPr>
          <w:rFonts w:ascii="Arial" w:cs="Arial" w:eastAsia="Arial" w:hAnsi="Arial"/>
          <w:sz w:val="18"/>
          <w:szCs w:val="18"/>
          <w:color w:val="auto"/>
        </w:rPr>
        <w:t>/ß. There are no approved therapies for FSHD, one of the most common forms of muscular dystrophy, with an estimated patient population of 16,000 to 38,000 in the United States and 300,000 to 780,000 globally. Losmapimod has received orphan drug designation from both the U.S. Food and Drug Administration, or FDA, and the European Medicines Agency, or EMA, for the treatment of FSHD, and in April 2021, received fast track designation from the FDA.</w:t>
      </w:r>
    </w:p>
    <w:p>
      <w:pPr>
        <w:spacing w:after="0" w:line="179" w:lineRule="exact"/>
        <w:rPr>
          <w:sz w:val="20"/>
          <w:szCs w:val="20"/>
          <w:color w:val="auto"/>
        </w:rPr>
      </w:pPr>
    </w:p>
    <w:p>
      <w:pPr>
        <w:ind w:left="300" w:right="100" w:firstLine="532"/>
        <w:spacing w:after="0" w:line="241" w:lineRule="auto"/>
        <w:rPr>
          <w:sz w:val="20"/>
          <w:szCs w:val="20"/>
          <w:color w:val="auto"/>
        </w:rPr>
      </w:pPr>
      <w:r>
        <w:rPr>
          <w:rFonts w:ascii="Arial" w:cs="Arial" w:eastAsia="Arial" w:hAnsi="Arial"/>
          <w:sz w:val="18"/>
          <w:szCs w:val="18"/>
          <w:color w:val="auto"/>
        </w:rPr>
        <w:t>Following our discovery of the role of p38</w:t>
      </w:r>
      <w:r>
        <w:rPr>
          <w:rFonts w:ascii="Times New Roman" w:cs="Times New Roman" w:eastAsia="Times New Roman" w:hAnsi="Times New Roman"/>
          <w:sz w:val="18"/>
          <w:szCs w:val="18"/>
          <w:color w:val="auto"/>
        </w:rPr>
        <w:t>a</w:t>
      </w:r>
      <w:r>
        <w:rPr>
          <w:rFonts w:ascii="Arial" w:cs="Arial" w:eastAsia="Arial" w:hAnsi="Arial"/>
          <w:sz w:val="18"/>
          <w:szCs w:val="18"/>
          <w:color w:val="auto"/>
        </w:rPr>
        <w:t>/ß inhibitors in the reduction of DUX4 expression in preclinical models of FSHD, we performed an extensive review of known compounds. As a result of our evaluation, we identified losmapimod as the preferred developmental candidate based on the substantial and attractive preclinical and clinical data. We in-licensed losmapimod from affiliates of GlaxoSmithKline plc, or GSK, in February 2019. GSK had previously administered losmapimod to nearly 3,500 subjects across multiple clinical trials, including one Phase 3 clinical trial, and losmapimod was generally well-tolerated across these studies. GSK did not conduct a clinical trial of losmapimod in patients with FSHD or any other muscle disorder. We conducted extensive preclinical testing of losmapimod in patient-derived, tissue-relevant cell models and observed that losmapimod selectively reduced DUX4-driven gene expression and restored a healthy gene expression signature with minimal impact on healthy human muscle cells or other cell types.</w:t>
      </w:r>
    </w:p>
    <w:p>
      <w:pPr>
        <w:spacing w:after="0" w:line="181" w:lineRule="exact"/>
        <w:rPr>
          <w:sz w:val="20"/>
          <w:szCs w:val="20"/>
          <w:color w:val="auto"/>
        </w:rPr>
      </w:pPr>
    </w:p>
    <w:p>
      <w:pPr>
        <w:ind w:left="300" w:right="60" w:firstLine="532"/>
        <w:spacing w:after="0" w:line="257" w:lineRule="auto"/>
        <w:rPr>
          <w:sz w:val="20"/>
          <w:szCs w:val="20"/>
          <w:color w:val="auto"/>
        </w:rPr>
      </w:pPr>
      <w:r>
        <w:rPr>
          <w:rFonts w:ascii="Arial" w:cs="Arial" w:eastAsia="Arial" w:hAnsi="Arial"/>
          <w:sz w:val="17"/>
          <w:szCs w:val="17"/>
          <w:color w:val="auto"/>
        </w:rPr>
        <w:t>We conducted a randomized, double-blind, placebo-controlled, multicenter, international Phase 2b clinical trial, referred to as ReDUX4, to evaluate losmapimod in 80 patients with FSHD. In this Phase 2b clinical trial, the primary endpoint was change in DUX4-driven gene expression, an experimental molecular biomarker. Secondary endpoints included evaluation of safety and tolerability, pharmacokinetics in blood, as well as measures of muscle health, structure and function, including muscle fat infiltration, or MFI, reachable workspace, or RWS, and patient-reported outcomes. Concurrently, we initiated a single-center open label Phase 2 clinical trial to investigate the safety and tolerability of chronic treatment with losmapimod in patients with FSHD. In the ongoing extension of the open label trial, we are also evaluating measures of muscle function, muscle strength, and patient reported quality of life.</w:t>
      </w:r>
    </w:p>
    <w:p>
      <w:pPr>
        <w:spacing w:after="0" w:line="168" w:lineRule="exact"/>
        <w:rPr>
          <w:sz w:val="20"/>
          <w:szCs w:val="20"/>
          <w:color w:val="auto"/>
        </w:rPr>
      </w:pPr>
    </w:p>
    <w:p>
      <w:pPr>
        <w:ind w:left="300" w:firstLine="532"/>
        <w:spacing w:after="0" w:line="255" w:lineRule="auto"/>
        <w:rPr>
          <w:sz w:val="20"/>
          <w:szCs w:val="20"/>
          <w:color w:val="auto"/>
        </w:rPr>
      </w:pPr>
      <w:r>
        <w:rPr>
          <w:rFonts w:ascii="Arial" w:cs="Arial" w:eastAsia="Arial" w:hAnsi="Arial"/>
          <w:sz w:val="17"/>
          <w:szCs w:val="17"/>
          <w:color w:val="auto"/>
        </w:rPr>
        <w:t>We presented the full data from the ReDUX4 trial in June 2021. While the primary endpoint was not met, results demonstrated clinically relevant benefits versus placebo on multiple measures of muscle health and function as well as patient reported outcomes at 48 weeks. Losmapimod-treated participants showed decreased progression of MFI as measured in intermediate muscles, which are muscles already affected by disease and most likely to show signs of disease progression. Normal appearing muscles appeared to be preserved in the losmapimod group versus placebo. Treatment with losmapimod was shown to slow the rate of decline and improve accessible surface area in RWS, which is a measure of function that assesses upper extremity range of motion and has been shown to be an important measure of independence. Additionally, patients reported feeling better when treated with losmapimod compared to placebo through the Patient Global Impression of Change, or PGIC, assessment. PGIC is a measure of self-reported change in how a patient feels and functions. Losmapimod was generally well-tolerated, with no drug-related serious adverse events reported.</w:t>
      </w: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38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4387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Based on the ReDUX4 data, we engaged with external experts, U.S. and EU regulatory agencies, including FDA, to address key aspects of the design of a Phase 3 trial. We initiated our Phase 3 trial, REACH, in the second quarter of 2022. REACH is a randomized, double-blind, placebo-controlled, multi-national trial to evaluate the efficacy and safety of losmapimod for the treatment of FSHD. The trial is expected to enroll approximately 230 adults with FSHD and enrolled its first patient in June 2022. Patients will be randomized 1:1 to receive either losmapimod, administered orally as a 15 mg tablet twice a day, or placebo, and evaluated over a</w:t>
      </w:r>
    </w:p>
    <w:p>
      <w:pPr>
        <w:spacing w:after="0" w:line="4" w:lineRule="exact"/>
        <w:rPr>
          <w:sz w:val="20"/>
          <w:szCs w:val="20"/>
          <w:color w:val="auto"/>
        </w:rPr>
      </w:pPr>
    </w:p>
    <w:p>
      <w:pPr>
        <w:ind w:left="300" w:right="20"/>
        <w:spacing w:after="0" w:line="239" w:lineRule="auto"/>
        <w:rPr>
          <w:sz w:val="20"/>
          <w:szCs w:val="20"/>
          <w:color w:val="auto"/>
        </w:rPr>
      </w:pPr>
      <w:r>
        <w:rPr>
          <w:rFonts w:ascii="Arial" w:cs="Arial" w:eastAsia="Arial" w:hAnsi="Arial"/>
          <w:sz w:val="18"/>
          <w:szCs w:val="18"/>
          <w:color w:val="auto"/>
        </w:rPr>
        <w:t>48-week treatment period. The primary endpoint is RWS, which is the absolute change from baseline in total RSA Q1-Q5 with 500 g wrist weight in the dominant arm at Week 48. Secondary endpoints include MFI, PGIC, Quality of Life in Neurological Disorders of the upper extremity, or Neuro QoL UE and safety and tolerability, based on assessment of adverse events, serious adverse events, clinically significant laboratory test abnormalities, electrocardiograms and vital signs. The trial will also include patient-reported assessments of healthcare utilization.</w:t>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FTX-6058</w:t>
      </w:r>
    </w:p>
    <w:p>
      <w:pPr>
        <w:spacing w:after="0" w:line="102" w:lineRule="exact"/>
        <w:rPr>
          <w:sz w:val="20"/>
          <w:szCs w:val="20"/>
          <w:color w:val="auto"/>
        </w:rPr>
      </w:pPr>
    </w:p>
    <w:p>
      <w:pPr>
        <w:ind w:left="300" w:right="20" w:firstLine="532"/>
        <w:spacing w:after="0" w:line="247" w:lineRule="auto"/>
        <w:rPr>
          <w:sz w:val="20"/>
          <w:szCs w:val="20"/>
          <w:color w:val="auto"/>
        </w:rPr>
      </w:pPr>
      <w:r>
        <w:rPr>
          <w:rFonts w:ascii="Arial" w:cs="Arial" w:eastAsia="Arial" w:hAnsi="Arial"/>
          <w:sz w:val="18"/>
          <w:szCs w:val="18"/>
          <w:color w:val="auto"/>
        </w:rPr>
        <w:t>Our product candidate, FTX-6058, is an investigational oral fetal hemoglobin, or HbF, inducer that is in development for SCD and select other hemoglobinopathies, including ß-thalassemia. FTX-6058 is designed to bind to embryonic ectoderm development, or EED, and inhibit the transcriptional silencing activity of the polycomb repressive complex 2, or PRC2. By doing so, preclinical studies have shown that FTX-6058 downregulates key HbF repressors, including BCL11A and MYB, and upregulates HbF.</w:t>
      </w:r>
    </w:p>
    <w:p>
      <w:pPr>
        <w:spacing w:after="0" w:line="174"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 xml:space="preserve">SCD is a genetic blood disorder caused by a mutation in the ß-subunit gene, or HBB gene. This mutation results in the formation of abnormal hemoglobin, or HbS, which causes red blood cells, or RBCs, to change from a round shape into a sickle shape that significantly impairs their function. ß-thalassemia is a rare blood disorder caused by various genetic mutations in the HBB gene that can significantly impair the production of hemoglobin and RBCs. We designed FTX-6058 to compensate for the root cause of these hemoglobinopathies by inducing the expression of the two </w:t>
      </w:r>
      <w:r>
        <w:rPr>
          <w:rFonts w:ascii="Times New Roman" w:cs="Times New Roman" w:eastAsia="Times New Roman" w:hAnsi="Times New Roman"/>
          <w:sz w:val="18"/>
          <w:szCs w:val="18"/>
          <w:color w:val="auto"/>
        </w:rPr>
        <w:t>g</w:t>
      </w:r>
      <w:r>
        <w:rPr>
          <w:rFonts w:ascii="Arial" w:cs="Arial" w:eastAsia="Arial" w:hAnsi="Arial"/>
          <w:sz w:val="18"/>
          <w:szCs w:val="18"/>
          <w:color w:val="auto"/>
        </w:rPr>
        <w:t xml:space="preserve">-globin genes, HBG1/2, whose expression is normally silenced shortly after birth. The HBG1/2 genes encode for </w:t>
      </w:r>
      <w:r>
        <w:rPr>
          <w:rFonts w:ascii="Times New Roman" w:cs="Times New Roman" w:eastAsia="Times New Roman" w:hAnsi="Times New Roman"/>
          <w:sz w:val="18"/>
          <w:szCs w:val="18"/>
          <w:color w:val="auto"/>
        </w:rPr>
        <w:t>g</w:t>
      </w:r>
      <w:r>
        <w:rPr>
          <w:rFonts w:ascii="Arial" w:cs="Arial" w:eastAsia="Arial" w:hAnsi="Arial"/>
          <w:sz w:val="18"/>
          <w:szCs w:val="18"/>
          <w:color w:val="auto"/>
        </w:rPr>
        <w:t xml:space="preserve">-globin, a component of HbF, which is known to repair the abnormal RBC shape in SCD and to compensate for the presence of HbS in SCD and ß-thalassemia. We have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activation of the HBG1/2 genes in preclinical studies with FTX-6058. We have also observed that FTX-6058 demonstrated robust levels of HbF elevation with no adverse effects on important cellular health markers. We conducted additional pre-clinical profiling in CD34+ derived cells and observed that treatment with FTX-6058 increased HbF levels to approximately 30% of total hemoglobin, as measured by mass spectrometry, high performance liquid chromatography, and fast protein liquid chromatography techniques. The elevation of HbF was significantly greater than we observed with hydroxyurea in the cell models.</w:t>
      </w:r>
    </w:p>
    <w:p>
      <w:pPr>
        <w:spacing w:after="0" w:line="188" w:lineRule="exact"/>
        <w:rPr>
          <w:sz w:val="20"/>
          <w:szCs w:val="20"/>
          <w:color w:val="auto"/>
        </w:rPr>
      </w:pPr>
    </w:p>
    <w:p>
      <w:pPr>
        <w:ind w:left="300" w:right="100" w:firstLine="532"/>
        <w:spacing w:after="0" w:line="247" w:lineRule="auto"/>
        <w:rPr>
          <w:sz w:val="20"/>
          <w:szCs w:val="20"/>
          <w:color w:val="auto"/>
        </w:rPr>
      </w:pPr>
      <w:r>
        <w:rPr>
          <w:rFonts w:ascii="Arial" w:cs="Arial" w:eastAsia="Arial" w:hAnsi="Arial"/>
          <w:sz w:val="18"/>
          <w:szCs w:val="18"/>
          <w:color w:val="auto"/>
        </w:rPr>
        <w:t>We initiated a Phase 1b clinical trial of FTX-6058 in people with SCD in the fourth quarter of 2021, with the aim of establishing early proof of concept in SCD. The open label trial is designed to assess safety, tolerability and pharmacokinetics and pharmacodynamic effects, including HbF protein induction of up to three doses, starting with 6 mg once daily dose, to inform dose selection for future development. Each dose cohort will have up to 10 patients who will be treated for up to three months.</w:t>
      </w:r>
    </w:p>
    <w:p>
      <w:pPr>
        <w:spacing w:after="0" w:line="174" w:lineRule="exact"/>
        <w:rPr>
          <w:sz w:val="20"/>
          <w:szCs w:val="20"/>
          <w:color w:val="auto"/>
        </w:rPr>
      </w:pPr>
    </w:p>
    <w:p>
      <w:pPr>
        <w:ind w:left="300" w:right="100" w:firstLine="532"/>
        <w:spacing w:after="0" w:line="247" w:lineRule="auto"/>
        <w:rPr>
          <w:sz w:val="20"/>
          <w:szCs w:val="20"/>
          <w:color w:val="auto"/>
        </w:rPr>
      </w:pPr>
      <w:r>
        <w:rPr>
          <w:rFonts w:ascii="Arial" w:cs="Arial" w:eastAsia="Arial" w:hAnsi="Arial"/>
          <w:sz w:val="18"/>
          <w:szCs w:val="18"/>
          <w:color w:val="auto"/>
        </w:rPr>
        <w:t>In June 2022, we announced clinical proof-of-concept data from the ongoing Phase 1b trial of FTX-6058 for the treatment of SCD. The first cohort of the Phase 1b study enrolled six of up to ten subjects. These six subjects (none on background hydroxyurea) received at least one 6 mg dose of FTX-6058 and all were included in the safety analyses. As of the data cut-off on May 25, 2022, three</w:t>
      </w:r>
    </w:p>
    <w:p>
      <w:pPr>
        <w:spacing w:after="0" w:line="28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93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20"/>
        <w:spacing w:after="0" w:line="271" w:lineRule="auto"/>
        <w:rPr>
          <w:sz w:val="20"/>
          <w:szCs w:val="20"/>
          <w:color w:val="auto"/>
        </w:rPr>
      </w:pPr>
      <w:r>
        <w:rPr>
          <w:rFonts w:ascii="Arial" w:cs="Arial" w:eastAsia="Arial" w:hAnsi="Arial"/>
          <w:sz w:val="18"/>
          <w:szCs w:val="18"/>
          <w:color w:val="auto"/>
        </w:rPr>
        <w:t>subjects were evaluable at day 28 and beyond for increases in HbF. Three subjects were not evaluated due to non-adherence or protocol deviation, as specified in the statistical analysis plan.</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Absolute HbF (%)</w:t>
            </w: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Increase from</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rPr>
              <w:t>Baseline</w:t>
            </w:r>
          </w:p>
        </w:tc>
        <w:tc>
          <w:tcPr>
            <w:tcW w:w="3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Day 14</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Day 28</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Day 42</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Day 56</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Day 70</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Day 84 (EOS)</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Post Tx + 7D</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baseline</w:t>
            </w:r>
          </w:p>
        </w:tc>
        <w:tc>
          <w:tcPr>
            <w:tcW w:w="0" w:type="dxa"/>
            <w:vAlign w:val="bottom"/>
          </w:tcPr>
          <w:p>
            <w:pPr>
              <w:spacing w:after="0"/>
              <w:rPr>
                <w:sz w:val="1"/>
                <w:szCs w:val="1"/>
                <w:color w:val="auto"/>
              </w:rPr>
            </w:pPr>
          </w:p>
        </w:tc>
      </w:tr>
      <w:tr>
        <w:trPr>
          <w:trHeight w:val="20"/>
        </w:trPr>
        <w:tc>
          <w:tcPr>
            <w:tcW w:w="1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Subject 1</w:t>
            </w: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6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9.2%</w:t>
            </w:r>
          </w:p>
        </w:tc>
        <w:tc>
          <w:tcPr>
            <w:tcW w:w="8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9.8%</w:t>
            </w:r>
          </w:p>
        </w:tc>
        <w:tc>
          <w:tcPr>
            <w:tcW w:w="8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10.9%</w:t>
            </w:r>
          </w:p>
        </w:tc>
        <w:tc>
          <w:tcPr>
            <w:tcW w:w="8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13.5%</w:t>
            </w:r>
          </w:p>
        </w:tc>
        <w:tc>
          <w:tcPr>
            <w:tcW w:w="8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14.0%</w:t>
            </w:r>
          </w:p>
        </w:tc>
        <w:tc>
          <w:tcPr>
            <w:tcW w:w="86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13.7%</w:t>
            </w:r>
          </w:p>
        </w:tc>
        <w:tc>
          <w:tcPr>
            <w:tcW w:w="13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13.7%</w:t>
            </w:r>
          </w:p>
        </w:tc>
        <w:tc>
          <w:tcPr>
            <w:tcW w:w="12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14.4%</w:t>
            </w:r>
          </w:p>
        </w:tc>
        <w:tc>
          <w:tcPr>
            <w:tcW w:w="11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3"/>
        </w:trPr>
        <w:tc>
          <w:tcPr>
            <w:tcW w:w="1660" w:type="dxa"/>
            <w:vAlign w:val="bottom"/>
          </w:tcPr>
          <w:p>
            <w:pPr>
              <w:spacing w:after="0" w:line="202" w:lineRule="exact"/>
              <w:rPr>
                <w:sz w:val="20"/>
                <w:szCs w:val="20"/>
                <w:color w:val="auto"/>
              </w:rPr>
            </w:pPr>
            <w:r>
              <w:rPr>
                <w:rFonts w:ascii="Arial" w:cs="Arial" w:eastAsia="Arial" w:hAnsi="Arial"/>
                <w:sz w:val="18"/>
                <w:szCs w:val="18"/>
                <w:color w:val="auto"/>
              </w:rPr>
              <w:t>Subject 2</w:t>
            </w: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w:t>
            </w: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w:t>
            </w:r>
          </w:p>
        </w:tc>
        <w:tc>
          <w:tcPr>
            <w:tcW w:w="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7.8%</w:t>
            </w: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9.6%</w:t>
            </w: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10.0%</w:t>
            </w: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Subject 3</w:t>
            </w:r>
          </w:p>
        </w:tc>
        <w:tc>
          <w:tcPr>
            <w:tcW w:w="9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6.2%</w:t>
            </w: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6.5%</w:t>
            </w:r>
          </w:p>
        </w:tc>
        <w:tc>
          <w:tcPr>
            <w:tcW w:w="8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7.3%</w:t>
            </w: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8.3%</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00" w:right="300" w:firstLine="532"/>
        <w:spacing w:after="0" w:line="261" w:lineRule="auto"/>
        <w:rPr>
          <w:sz w:val="20"/>
          <w:szCs w:val="20"/>
          <w:color w:val="auto"/>
        </w:rPr>
      </w:pPr>
      <w:r>
        <w:rPr>
          <w:rFonts w:ascii="Arial" w:cs="Arial" w:eastAsia="Arial" w:hAnsi="Arial"/>
          <w:sz w:val="17"/>
          <w:szCs w:val="17"/>
          <w:color w:val="auto"/>
        </w:rPr>
        <w:t>Increases in HbF have been shown to reduce the frequency or severity of a broad range of SCD symptoms, including vaso-occlusive crises, or VOC, anemia, pain, infection, stroke and others. Based on a large body of genetic, clinical, and observational evidence showing the effects of higher levels of HbF in people with SCD, the induction of HbF by 5-10% over baseline could be associated with reduced disease burden and improved clinical outcomes. We believe these initial data showing that FTX-6058 increases HbF levels by up to 6.3% support its potential to become a transformative therapy for people living with SCD.</w:t>
      </w:r>
    </w:p>
    <w:p>
      <w:pPr>
        <w:spacing w:after="0" w:line="166" w:lineRule="exact"/>
        <w:rPr>
          <w:sz w:val="20"/>
          <w:szCs w:val="20"/>
          <w:color w:val="auto"/>
        </w:rPr>
      </w:pPr>
    </w:p>
    <w:p>
      <w:pPr>
        <w:jc w:val="both"/>
        <w:ind w:left="300" w:right="300" w:firstLine="532"/>
        <w:spacing w:after="0" w:line="253" w:lineRule="auto"/>
        <w:rPr>
          <w:sz w:val="20"/>
          <w:szCs w:val="20"/>
          <w:color w:val="auto"/>
        </w:rPr>
      </w:pPr>
      <w:r>
        <w:rPr>
          <w:rFonts w:ascii="Arial" w:cs="Arial" w:eastAsia="Arial" w:hAnsi="Arial"/>
          <w:sz w:val="18"/>
          <w:szCs w:val="18"/>
          <w:color w:val="auto"/>
        </w:rPr>
        <w:t>FTX-6058 was generally well-tolerated in the initial cohort. No serious treatment emergent adverse effects, or TEAEs, were reported, and there were no discontinuations due to TEAEs. All non-serious TEAEs were transient and deemed unrelated to study drug.</w:t>
      </w:r>
    </w:p>
    <w:p>
      <w:pPr>
        <w:spacing w:after="0" w:line="169" w:lineRule="exact"/>
        <w:rPr>
          <w:sz w:val="20"/>
          <w:szCs w:val="20"/>
          <w:color w:val="auto"/>
        </w:rPr>
      </w:pPr>
    </w:p>
    <w:p>
      <w:pPr>
        <w:ind w:left="300" w:right="120" w:firstLine="532"/>
        <w:spacing w:after="0" w:line="253" w:lineRule="auto"/>
        <w:rPr>
          <w:sz w:val="20"/>
          <w:szCs w:val="20"/>
          <w:color w:val="auto"/>
        </w:rPr>
      </w:pPr>
      <w:r>
        <w:rPr>
          <w:rFonts w:ascii="Arial" w:cs="Arial" w:eastAsia="Arial" w:hAnsi="Arial"/>
          <w:sz w:val="18"/>
          <w:szCs w:val="18"/>
          <w:color w:val="auto"/>
        </w:rPr>
        <w:t>We are currently enrolling additional patients at the 6 mg and 2 mg dose cohorts, including patients both on and off hydroxyurea, and plan to initiate an additional cohort at a higher dose. We expect to complete enrollment of three cohorts by the end of 2022 and currently plan to initiate a registrational trial in 2023.</w:t>
      </w:r>
    </w:p>
    <w:p>
      <w:pPr>
        <w:spacing w:after="0" w:line="27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Discovery and Collaborations</w:t>
      </w:r>
    </w:p>
    <w:p>
      <w:pPr>
        <w:spacing w:after="0" w:line="212" w:lineRule="exact"/>
        <w:rPr>
          <w:sz w:val="20"/>
          <w:szCs w:val="20"/>
          <w:color w:val="auto"/>
        </w:rPr>
      </w:pPr>
    </w:p>
    <w:p>
      <w:pPr>
        <w:ind w:left="300" w:firstLine="532"/>
        <w:spacing w:after="0" w:line="256" w:lineRule="auto"/>
        <w:rPr>
          <w:sz w:val="20"/>
          <w:szCs w:val="20"/>
          <w:color w:val="auto"/>
        </w:rPr>
      </w:pPr>
      <w:r>
        <w:rPr>
          <w:rFonts w:ascii="Arial" w:cs="Arial" w:eastAsia="Arial" w:hAnsi="Arial"/>
          <w:sz w:val="17"/>
          <w:szCs w:val="17"/>
          <w:color w:val="auto"/>
        </w:rPr>
        <w:t>According to the National Institutes of Health, or NIH, there are approximately 7,000 rare, genetically defined human diseases, many of which have inadequate or no approved treatments. Our current drug target identification and development efforts are focused on rare muscular, hematologic and neurologic, disorders. We also anticipate utilizing FulcrumSeek to discover drug targets for genetically defined diseases in other therapeutic areas and for other disorders. In addition to drug targets that we prioritize for internal development, we may identify other drug targets that we would consider for development through partnerships. For example, we are currently utilizing FulcrumSeek to discover drug targets for the potential treatment of certain genetically defined cardiomyopathies under our collaboration and license agreement with MyoKardia, Inc., or MyoKardia, a wholly-owned subsidiary of Bristol-Myers Squibb Company, and have entered into other collaboration and license agreements in the past and may do so in the future.</w:t>
      </w:r>
    </w:p>
    <w:p>
      <w:pPr>
        <w:spacing w:after="0" w:line="27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Corporate Information</w:t>
      </w:r>
    </w:p>
    <w:p>
      <w:pPr>
        <w:spacing w:after="0" w:line="212" w:lineRule="exact"/>
        <w:rPr>
          <w:sz w:val="20"/>
          <w:szCs w:val="20"/>
          <w:color w:val="auto"/>
        </w:rPr>
      </w:pPr>
    </w:p>
    <w:p>
      <w:pPr>
        <w:ind w:left="300" w:right="60" w:firstLine="532"/>
        <w:spacing w:after="0" w:line="244" w:lineRule="auto"/>
        <w:rPr>
          <w:sz w:val="20"/>
          <w:szCs w:val="20"/>
          <w:color w:val="auto"/>
        </w:rPr>
      </w:pPr>
      <w:r>
        <w:rPr>
          <w:rFonts w:ascii="Arial" w:cs="Arial" w:eastAsia="Arial" w:hAnsi="Arial"/>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supplement. We have included our website address in this prospectus supplement solely as an inactive textual reference.</w:t>
      </w:r>
    </w:p>
    <w:p>
      <w:pPr>
        <w:spacing w:after="0" w:line="176" w:lineRule="exact"/>
        <w:rPr>
          <w:sz w:val="20"/>
          <w:szCs w:val="20"/>
          <w:color w:val="auto"/>
        </w:rPr>
      </w:pPr>
    </w:p>
    <w:p>
      <w:pPr>
        <w:ind w:left="300" w:right="180" w:firstLine="532"/>
        <w:spacing w:after="0" w:line="271" w:lineRule="auto"/>
        <w:rPr>
          <w:sz w:val="20"/>
          <w:szCs w:val="20"/>
          <w:color w:val="auto"/>
        </w:rPr>
      </w:pPr>
      <w:r>
        <w:rPr>
          <w:rFonts w:ascii="Arial" w:cs="Arial" w:eastAsia="Arial" w:hAnsi="Arial"/>
          <w:sz w:val="18"/>
          <w:szCs w:val="18"/>
          <w:color w:val="auto"/>
        </w:rPr>
        <w:t>We own or have rights to, or have applied for, trademarks, service marks and trade names that we use in connection with the operation of our business, including our corporate name, logos and</w:t>
      </w:r>
    </w:p>
    <w:p>
      <w:pPr>
        <w:spacing w:after="0" w:line="2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67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spacing w:after="0" w:line="232" w:lineRule="auto"/>
        <w:rPr>
          <w:sz w:val="20"/>
          <w:szCs w:val="20"/>
          <w:color w:val="auto"/>
        </w:rPr>
      </w:pPr>
      <w:r>
        <w:rPr>
          <w:rFonts w:ascii="Arial" w:cs="Arial" w:eastAsia="Arial" w:hAnsi="Arial"/>
          <w:sz w:val="17"/>
          <w:szCs w:val="17"/>
          <w:color w:val="auto"/>
        </w:rPr>
        <w:t xml:space="preserve">website names. Other trademarks, service marks and trade names appearing in this prospectus supplement and the accompanying base prospectus are the property of their respective owners. Solely for convenience, some of the trademarks, service marks and trade names referred to in this prospectus supplement and the accompanying base prospectus are listed without the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symbols, but we will assert, to the fullest extent under applicable law, our rights to our trademarks, service marks and trade names.</w:t>
      </w: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Risks Associated with Our Business</w:t>
      </w:r>
    </w:p>
    <w:p>
      <w:pPr>
        <w:spacing w:after="0" w:line="212" w:lineRule="exact"/>
        <w:rPr>
          <w:sz w:val="20"/>
          <w:szCs w:val="20"/>
          <w:color w:val="auto"/>
        </w:rPr>
      </w:pPr>
    </w:p>
    <w:p>
      <w:pPr>
        <w:ind w:left="300" w:right="140" w:firstLine="532"/>
        <w:spacing w:after="0" w:line="253"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 These risks are more fully described in the section titled “Risk Factors” immediately following this prospectus supplement summary. These risks include, among others, the following:</w:t>
      </w:r>
    </w:p>
    <w:p>
      <w:pPr>
        <w:spacing w:after="0" w:line="74" w:lineRule="exact"/>
        <w:rPr>
          <w:sz w:val="20"/>
          <w:szCs w:val="20"/>
          <w:color w:val="auto"/>
        </w:rPr>
      </w:pPr>
    </w:p>
    <w:p>
      <w:pPr>
        <w:ind w:left="1020" w:right="160" w:hanging="195"/>
        <w:spacing w:after="0" w:line="253"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Our net loss was $80.8 million for the year ended December 31, 2021 and $60.0 million for the six months ended June 30, 2022. We expect to incur losses over the next several years and may never achieve or maintain profitability. As of June 30, 2022, we had an accumulated deficit of $362.5 million.</w:t>
      </w:r>
    </w:p>
    <w:p>
      <w:pPr>
        <w:spacing w:after="0" w:line="74" w:lineRule="exact"/>
        <w:rPr>
          <w:rFonts w:ascii="Arial" w:cs="Arial" w:eastAsia="Arial" w:hAnsi="Arial"/>
          <w:sz w:val="18"/>
          <w:szCs w:val="18"/>
          <w:color w:val="auto"/>
        </w:rPr>
      </w:pPr>
    </w:p>
    <w:p>
      <w:pPr>
        <w:ind w:left="1020" w:right="140" w:hanging="195"/>
        <w:spacing w:after="0" w:line="244"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and FTX-6058 and continue research and development and initiate additional clinical trials of, and seek regulatory approval for, these and other product candidates.</w:t>
      </w:r>
    </w:p>
    <w:p>
      <w:pPr>
        <w:spacing w:after="0" w:line="81" w:lineRule="exact"/>
        <w:rPr>
          <w:rFonts w:ascii="Arial" w:cs="Arial" w:eastAsia="Arial" w:hAnsi="Arial"/>
          <w:sz w:val="18"/>
          <w:szCs w:val="18"/>
          <w:color w:val="auto"/>
        </w:rPr>
      </w:pPr>
    </w:p>
    <w:p>
      <w:pPr>
        <w:ind w:left="1020" w:right="180" w:hanging="195"/>
        <w:spacing w:after="0" w:line="301"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36" w:lineRule="exact"/>
        <w:rPr>
          <w:rFonts w:ascii="Arial" w:cs="Arial" w:eastAsia="Arial" w:hAnsi="Arial"/>
          <w:sz w:val="17"/>
          <w:szCs w:val="17"/>
          <w:color w:val="auto"/>
        </w:rPr>
      </w:pPr>
    </w:p>
    <w:p>
      <w:pPr>
        <w:ind w:left="1020" w:right="100" w:hanging="195"/>
        <w:spacing w:after="0" w:line="24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be successful in our efforts to use FulcrumSeek, our proprietary product engine to build a pipeline of product candidates. A key element of our strategy is to use FulcrumSeek to identify and validate cellular drug targets that can potentially modulate gene expression to address the root cause of genetically-defined rare diseases, with an initial focus on identifying small molecules specific to the identified cellular target.</w:t>
      </w:r>
    </w:p>
    <w:p>
      <w:pPr>
        <w:spacing w:after="0" w:line="79" w:lineRule="exact"/>
        <w:rPr>
          <w:rFonts w:ascii="Arial" w:cs="Arial" w:eastAsia="Arial" w:hAnsi="Arial"/>
          <w:sz w:val="18"/>
          <w:szCs w:val="18"/>
          <w:color w:val="auto"/>
        </w:rPr>
      </w:pPr>
    </w:p>
    <w:p>
      <w:pPr>
        <w:ind w:left="1020" w:right="60" w:hanging="195"/>
        <w:spacing w:after="0" w:line="253"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4" w:lineRule="exact"/>
        <w:rPr>
          <w:rFonts w:ascii="Arial" w:cs="Arial" w:eastAsia="Arial" w:hAnsi="Arial"/>
          <w:sz w:val="18"/>
          <w:szCs w:val="18"/>
          <w:color w:val="auto"/>
        </w:rPr>
      </w:pPr>
    </w:p>
    <w:p>
      <w:pPr>
        <w:jc w:val="both"/>
        <w:ind w:left="1020" w:right="280" w:hanging="195"/>
        <w:spacing w:after="0" w:line="253"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 provide clinically meaningful results.</w:t>
      </w:r>
    </w:p>
    <w:p>
      <w:pPr>
        <w:spacing w:after="0" w:line="74" w:lineRule="exact"/>
        <w:rPr>
          <w:rFonts w:ascii="Arial" w:cs="Arial" w:eastAsia="Arial" w:hAnsi="Arial"/>
          <w:sz w:val="18"/>
          <w:szCs w:val="18"/>
          <w:color w:val="auto"/>
        </w:rPr>
      </w:pPr>
    </w:p>
    <w:p>
      <w:pPr>
        <w:ind w:left="1020" w:hanging="195"/>
        <w:spacing w:after="0" w:line="24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ongoing COVID-19 pandemic has affected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79" w:lineRule="exact"/>
        <w:rPr>
          <w:rFonts w:ascii="Arial" w:cs="Arial" w:eastAsia="Arial" w:hAnsi="Arial"/>
          <w:sz w:val="18"/>
          <w:szCs w:val="18"/>
          <w:color w:val="auto"/>
        </w:rPr>
      </w:pPr>
    </w:p>
    <w:p>
      <w:pPr>
        <w:ind w:left="1020" w:right="180" w:hanging="195"/>
        <w:spacing w:after="0" w:line="271"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2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00"/>
          </w:cols>
          <w:pgMar w:left="320" w:top="455"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447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3447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20" w:right="220" w:hanging="195"/>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59" w:lineRule="exact"/>
        <w:rPr>
          <w:rFonts w:ascii="Arial" w:cs="Arial" w:eastAsia="Arial" w:hAnsi="Arial"/>
          <w:sz w:val="18"/>
          <w:szCs w:val="18"/>
          <w:color w:val="auto"/>
        </w:rPr>
      </w:pPr>
    </w:p>
    <w:p>
      <w:pPr>
        <w:jc w:val="both"/>
        <w:ind w:left="1020" w:right="260" w:hanging="195"/>
        <w:spacing w:after="0" w:line="25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and expect to continue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74" w:lineRule="exact"/>
        <w:rPr>
          <w:rFonts w:ascii="Arial" w:cs="Arial" w:eastAsia="Arial" w:hAnsi="Arial"/>
          <w:sz w:val="18"/>
          <w:szCs w:val="18"/>
          <w:color w:val="auto"/>
        </w:rPr>
      </w:pPr>
    </w:p>
    <w:p>
      <w:pPr>
        <w:ind w:left="1020" w:right="160" w:hanging="195"/>
        <w:spacing w:after="0" w:line="27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9" w:lineRule="exact"/>
        <w:rPr>
          <w:rFonts w:ascii="Arial" w:cs="Arial" w:eastAsia="Arial" w:hAnsi="Arial"/>
          <w:sz w:val="18"/>
          <w:szCs w:val="18"/>
          <w:color w:val="auto"/>
        </w:rPr>
      </w:pPr>
    </w:p>
    <w:p>
      <w:pPr>
        <w:ind w:left="1020" w:right="20" w:hanging="195"/>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entered into, and may in the future enter into, collaborations with third parties for the discovery, development or commercialization of product candidates, including our collaboration with MyoKardia. If our collaborations are not successful, we may not be able to capitalize on the market potential of these product candidates and our business could be adversely affected.</w:t>
      </w:r>
    </w:p>
    <w:p>
      <w:pPr>
        <w:spacing w:after="0" w:line="79" w:lineRule="exact"/>
        <w:rPr>
          <w:rFonts w:ascii="Arial" w:cs="Arial" w:eastAsia="Arial" w:hAnsi="Arial"/>
          <w:sz w:val="18"/>
          <w:szCs w:val="18"/>
          <w:color w:val="auto"/>
        </w:rPr>
      </w:pPr>
    </w:p>
    <w:p>
      <w:pPr>
        <w:ind w:left="1020" w:right="20" w:hanging="195"/>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79" w:lineRule="exact"/>
        <w:rPr>
          <w:rFonts w:ascii="Arial" w:cs="Arial" w:eastAsia="Arial" w:hAnsi="Arial"/>
          <w:sz w:val="18"/>
          <w:szCs w:val="18"/>
          <w:color w:val="auto"/>
        </w:rPr>
      </w:pPr>
    </w:p>
    <w:p>
      <w:pPr>
        <w:jc w:val="both"/>
        <w:ind w:left="1020" w:right="240" w:hanging="195"/>
        <w:spacing w:after="0" w:line="25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27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212" w:lineRule="exact"/>
        <w:rPr>
          <w:sz w:val="20"/>
          <w:szCs w:val="20"/>
          <w:color w:val="auto"/>
        </w:rPr>
      </w:pPr>
    </w:p>
    <w:p>
      <w:pPr>
        <w:ind w:left="300" w:firstLine="532"/>
        <w:spacing w:after="0" w:line="242"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or the JOBS Act, and we may remain an emerging growth company until December 31, 2024 or until such earlier time as we have more than $1.07 billion in annual revenue, the market value of our stock held by non-affiliates is more than $700 million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$700 million as of our most recently completed second fiscal quarter and our annual revenue was less than $100 million during our</w:t>
      </w:r>
    </w:p>
    <w:p>
      <w:pPr>
        <w:ind w:left="300"/>
        <w:spacing w:after="0" w:line="234" w:lineRule="auto"/>
        <w:rPr>
          <w:sz w:val="20"/>
          <w:szCs w:val="20"/>
          <w:color w:val="auto"/>
        </w:rPr>
      </w:pPr>
      <w:r>
        <w:rPr>
          <w:rFonts w:ascii="Arial" w:cs="Arial" w:eastAsia="Arial" w:hAnsi="Arial"/>
          <w:sz w:val="18"/>
          <w:szCs w:val="18"/>
          <w:color w:val="auto"/>
        </w:rPr>
        <w:t>most recently completed fiscal year. We may continue to be a smaller reporting company if either (i) the market value of our stock</w:t>
      </w:r>
    </w:p>
    <w:p>
      <w:pPr>
        <w:ind w:left="300"/>
        <w:spacing w:after="0" w:line="235" w:lineRule="auto"/>
        <w:rPr>
          <w:sz w:val="20"/>
          <w:szCs w:val="20"/>
          <w:color w:val="auto"/>
        </w:rPr>
      </w:pPr>
      <w:r>
        <w:rPr>
          <w:rFonts w:ascii="Arial" w:cs="Arial" w:eastAsia="Arial" w:hAnsi="Arial"/>
          <w:sz w:val="18"/>
          <w:szCs w:val="18"/>
          <w:color w:val="auto"/>
        </w:rPr>
        <w:t>held by non-affiliates is less than $250 million as of our most recently completed second fiscal quarter or (ii) our annual revenue was</w:t>
      </w:r>
    </w:p>
    <w:p>
      <w:pPr>
        <w:ind w:left="300"/>
        <w:spacing w:after="0" w:line="235" w:lineRule="auto"/>
        <w:rPr>
          <w:sz w:val="20"/>
          <w:szCs w:val="20"/>
          <w:color w:val="auto"/>
        </w:rPr>
      </w:pPr>
      <w:r>
        <w:rPr>
          <w:rFonts w:ascii="Arial" w:cs="Arial" w:eastAsia="Arial" w:hAnsi="Arial"/>
          <w:sz w:val="18"/>
          <w:szCs w:val="18"/>
          <w:color w:val="auto"/>
        </w:rPr>
        <w:t>less than $100 million during the most recently completed fiscal year and the market value of our stock held by non-affiliates is less</w:t>
      </w:r>
    </w:p>
    <w:p>
      <w:pPr>
        <w:ind w:left="300"/>
        <w:spacing w:after="0" w:line="235" w:lineRule="auto"/>
        <w:rPr>
          <w:sz w:val="20"/>
          <w:szCs w:val="20"/>
          <w:color w:val="auto"/>
        </w:rPr>
      </w:pPr>
      <w:r>
        <w:rPr>
          <w:rFonts w:ascii="Arial" w:cs="Arial" w:eastAsia="Arial" w:hAnsi="Arial"/>
          <w:sz w:val="18"/>
          <w:szCs w:val="18"/>
          <w:color w:val="auto"/>
        </w:rPr>
        <w:t>than $700 million as of our most recently completed second fiscal quarter. If we are a smaller reporting company at the time we cease</w:t>
      </w:r>
    </w:p>
    <w:p>
      <w:pPr>
        <w:ind w:left="300"/>
        <w:spacing w:after="0" w:line="235" w:lineRule="auto"/>
        <w:rPr>
          <w:sz w:val="20"/>
          <w:szCs w:val="20"/>
          <w:color w:val="auto"/>
        </w:rPr>
      </w:pPr>
      <w:r>
        <w:rPr>
          <w:rFonts w:ascii="Arial" w:cs="Arial" w:eastAsia="Arial" w:hAnsi="Arial"/>
          <w:sz w:val="18"/>
          <w:szCs w:val="18"/>
          <w:color w:val="auto"/>
        </w:rPr>
        <w:t>to be an emerging growth company, we may continue to rely on exemptions from certain disclosure requirements that are available to</w:t>
      </w:r>
    </w:p>
    <w:p>
      <w:pPr>
        <w:ind w:left="300"/>
        <w:spacing w:after="0"/>
        <w:rPr>
          <w:sz w:val="20"/>
          <w:szCs w:val="20"/>
          <w:color w:val="auto"/>
        </w:rPr>
      </w:pPr>
      <w:r>
        <w:rPr>
          <w:rFonts w:ascii="Arial" w:cs="Arial" w:eastAsia="Arial" w:hAnsi="Arial"/>
          <w:sz w:val="18"/>
          <w:szCs w:val="18"/>
          <w:color w:val="auto"/>
        </w:rPr>
        <w:t>smaller reporting companies.</w:t>
      </w:r>
    </w:p>
    <w:p>
      <w:pPr>
        <w:spacing w:after="0" w:line="3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848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0940"/>
          </w:cols>
          <w:pgMar w:left="320" w:top="455" w:right="639" w:bottom="1440" w:gutter="0" w:footer="0" w:header="0"/>
        </w:sectPr>
      </w:pPr>
    </w:p>
    <w:p>
      <w:pPr>
        <w:spacing w:after="0" w:line="25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9,590,792 shares of our common stock.</w:t>
      </w:r>
    </w:p>
    <w:p>
      <w:pPr>
        <w:spacing w:after="0" w:line="142" w:lineRule="exact"/>
        <w:rPr>
          <w:sz w:val="20"/>
          <w:szCs w:val="20"/>
          <w:color w:val="auto"/>
        </w:rPr>
      </w:pPr>
    </w:p>
    <w:p>
      <w:pPr>
        <w:sectPr>
          <w:pgSz w:w="11900" w:h="16838" w:orient="portrait"/>
          <w:cols w:equalWidth="0" w:num="2">
            <w:col w:w="5100" w:space="720"/>
            <w:col w:w="5120"/>
          </w:cols>
          <w:pgMar w:left="320" w:top="455" w:right="63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Option to purchase additional shares</w:t>
      </w:r>
    </w:p>
    <w:p>
      <w:pPr>
        <w:spacing w:after="0" w:line="20" w:lineRule="exact"/>
        <w:rPr>
          <w:sz w:val="20"/>
          <w:szCs w:val="20"/>
          <w:color w:val="auto"/>
        </w:rPr>
      </w:pPr>
      <w:r>
        <w:rPr>
          <w:sz w:val="20"/>
          <w:szCs w:val="20"/>
          <w:color w:val="auto"/>
        </w:rPr>
        <w:br w:type="column"/>
      </w:r>
    </w:p>
    <w:p>
      <w:pPr>
        <w:ind w:right="340"/>
        <w:spacing w:after="0" w:line="271" w:lineRule="auto"/>
        <w:rPr>
          <w:sz w:val="20"/>
          <w:szCs w:val="20"/>
          <w:color w:val="auto"/>
        </w:rPr>
      </w:pPr>
      <w:r>
        <w:rPr>
          <w:rFonts w:ascii="Arial" w:cs="Arial" w:eastAsia="Arial" w:hAnsi="Arial"/>
          <w:sz w:val="18"/>
          <w:szCs w:val="18"/>
          <w:color w:val="auto"/>
        </w:rPr>
        <w:t>The underwriters have a 30-day option to purchase up to an additional 1,438,618 shares of common stock.</w:t>
      </w:r>
    </w:p>
    <w:p>
      <w:pPr>
        <w:spacing w:after="0" w:line="59" w:lineRule="exact"/>
        <w:rPr>
          <w:sz w:val="20"/>
          <w:szCs w:val="20"/>
          <w:color w:val="auto"/>
        </w:rPr>
      </w:pPr>
    </w:p>
    <w:p>
      <w:pPr>
        <w:sectPr>
          <w:pgSz w:w="11900" w:h="16838" w:orient="portrait"/>
          <w:cols w:equalWidth="0" w:num="2">
            <w:col w:w="5100" w:space="720"/>
            <w:col w:w="5120"/>
          </w:cols>
          <w:pgMar w:left="320" w:top="455" w:right="639" w:bottom="1440" w:gutter="0" w:footer="0" w:header="0"/>
          <w:type w:val="continuous"/>
        </w:sectPr>
      </w:pPr>
    </w:p>
    <w:p>
      <w:pPr>
        <w:jc w:val="right"/>
        <w:ind w:left="300" w:right="520"/>
        <w:spacing w:after="0" w:line="271" w:lineRule="auto"/>
        <w:rPr>
          <w:sz w:val="20"/>
          <w:szCs w:val="20"/>
          <w:color w:val="auto"/>
        </w:rPr>
      </w:pPr>
      <w:r>
        <w:rPr>
          <w:rFonts w:ascii="Arial" w:cs="Arial" w:eastAsia="Arial" w:hAnsi="Arial"/>
          <w:sz w:val="18"/>
          <w:szCs w:val="18"/>
          <w:b w:val="1"/>
          <w:bCs w:val="1"/>
          <w:color w:val="auto"/>
        </w:rPr>
        <w:t xml:space="preserve">Common stock to be outstanding immediately after this offering </w:t>
      </w:r>
      <w:r>
        <w:rPr>
          <w:rFonts w:ascii="Arial" w:cs="Arial" w:eastAsia="Arial" w:hAnsi="Arial"/>
          <w:sz w:val="18"/>
          <w:szCs w:val="18"/>
          <w:color w:val="auto"/>
        </w:rPr>
        <w:t>50,598,997 shares (52,037,615 shares if the underwriters</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their option to purchase additional shares in full).</w:t>
      </w:r>
    </w:p>
    <w:p>
      <w:pPr>
        <w:sectPr>
          <w:pgSz w:w="11900" w:h="16838" w:orient="portrait"/>
          <w:cols w:equalWidth="0" w:num="1">
            <w:col w:w="10940"/>
          </w:cols>
          <w:pgMar w:left="320" w:top="455" w:right="639" w:bottom="1440" w:gutter="0" w:footer="0" w:header="0"/>
          <w:type w:val="continuous"/>
        </w:sectPr>
      </w:pPr>
    </w:p>
    <w:p>
      <w:pPr>
        <w:spacing w:after="0" w:line="5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estimate that the net proceeds to us from this offering will be approximately $70.3 million, or approximately $80.9 million if the underwriters exercise their option to purchase additional shares in full.</w:t>
      </w:r>
    </w:p>
    <w:p>
      <w:pPr>
        <w:spacing w:after="0" w:line="79" w:lineRule="exact"/>
        <w:rPr>
          <w:sz w:val="20"/>
          <w:szCs w:val="20"/>
          <w:color w:val="auto"/>
        </w:rPr>
      </w:pPr>
    </w:p>
    <w:p>
      <w:pPr>
        <w:sectPr>
          <w:pgSz w:w="11900" w:h="16838" w:orient="portrait"/>
          <w:cols w:equalWidth="0" w:num="2">
            <w:col w:w="5100" w:space="720"/>
            <w:col w:w="5120"/>
          </w:cols>
          <w:pgMar w:left="320" w:top="455" w:right="639" w:bottom="1440" w:gutter="0" w:footer="0" w:header="0"/>
          <w:type w:val="continuous"/>
        </w:sectPr>
      </w:pPr>
    </w:p>
    <w:p>
      <w:pPr>
        <w:ind w:left="5820"/>
        <w:spacing w:after="0"/>
        <w:rPr>
          <w:sz w:val="20"/>
          <w:szCs w:val="20"/>
          <w:color w:val="auto"/>
        </w:rPr>
      </w:pPr>
      <w:r>
        <w:rPr>
          <w:rFonts w:ascii="Arial" w:cs="Arial" w:eastAsia="Arial" w:hAnsi="Arial"/>
          <w:sz w:val="18"/>
          <w:szCs w:val="18"/>
          <w:color w:val="auto"/>
        </w:rPr>
        <w:t>We currently intend to use the net proceeds from the sale of</w:t>
      </w:r>
    </w:p>
    <w:p>
      <w:pPr>
        <w:spacing w:after="0" w:line="14"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securities offered under this prospectus supplement primarily for</w:t>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general corporate purposes, which may include working capital</w:t>
      </w:r>
    </w:p>
    <w:p>
      <w:pPr>
        <w:ind w:left="5820"/>
        <w:spacing w:after="0" w:line="234" w:lineRule="auto"/>
        <w:rPr>
          <w:sz w:val="20"/>
          <w:szCs w:val="20"/>
          <w:color w:val="auto"/>
        </w:rPr>
      </w:pPr>
      <w:r>
        <w:rPr>
          <w:rFonts w:ascii="Arial" w:cs="Arial" w:eastAsia="Arial" w:hAnsi="Arial"/>
          <w:sz w:val="18"/>
          <w:szCs w:val="18"/>
          <w:color w:val="auto"/>
        </w:rPr>
        <w:t>and capital expenditures, research and development expenses,</w:t>
      </w:r>
    </w:p>
    <w:p>
      <w:pPr>
        <w:ind w:left="5820"/>
        <w:spacing w:after="0" w:line="235" w:lineRule="auto"/>
        <w:rPr>
          <w:sz w:val="20"/>
          <w:szCs w:val="20"/>
          <w:color w:val="auto"/>
        </w:rPr>
      </w:pPr>
      <w:r>
        <w:rPr>
          <w:rFonts w:ascii="Arial" w:cs="Arial" w:eastAsia="Arial" w:hAnsi="Arial"/>
          <w:sz w:val="18"/>
          <w:szCs w:val="18"/>
          <w:color w:val="auto"/>
        </w:rPr>
        <w:t>including to fund clinical trials, regulatory submissions,</w:t>
      </w:r>
    </w:p>
    <w:p>
      <w:pPr>
        <w:ind w:left="5820"/>
        <w:spacing w:after="0" w:line="235" w:lineRule="auto"/>
        <w:rPr>
          <w:sz w:val="20"/>
          <w:szCs w:val="20"/>
          <w:color w:val="auto"/>
        </w:rPr>
      </w:pPr>
      <w:r>
        <w:rPr>
          <w:rFonts w:ascii="Arial" w:cs="Arial" w:eastAsia="Arial" w:hAnsi="Arial"/>
          <w:sz w:val="18"/>
          <w:szCs w:val="18"/>
          <w:color w:val="auto"/>
        </w:rPr>
        <w:t>commercialization, discovery and additional preclinical research</w:t>
      </w:r>
    </w:p>
    <w:p>
      <w:pPr>
        <w:ind w:left="5820"/>
        <w:spacing w:after="0" w:line="235" w:lineRule="auto"/>
        <w:rPr>
          <w:sz w:val="20"/>
          <w:szCs w:val="20"/>
          <w:color w:val="auto"/>
        </w:rPr>
      </w:pPr>
      <w:r>
        <w:rPr>
          <w:rFonts w:ascii="Arial" w:cs="Arial" w:eastAsia="Arial" w:hAnsi="Arial"/>
          <w:sz w:val="18"/>
          <w:szCs w:val="18"/>
          <w:color w:val="auto"/>
        </w:rPr>
        <w:t>and development of additional product candidates and platform</w:t>
      </w:r>
    </w:p>
    <w:p>
      <w:pPr>
        <w:ind w:left="5820"/>
        <w:spacing w:after="0" w:line="235" w:lineRule="auto"/>
        <w:rPr>
          <w:sz w:val="20"/>
          <w:szCs w:val="20"/>
          <w:color w:val="auto"/>
        </w:rPr>
      </w:pPr>
      <w:r>
        <w:rPr>
          <w:rFonts w:ascii="Arial" w:cs="Arial" w:eastAsia="Arial" w:hAnsi="Arial"/>
          <w:sz w:val="18"/>
          <w:szCs w:val="18"/>
          <w:color w:val="auto"/>
        </w:rPr>
        <w:t>enhancement, general and administrative expenses, and</w:t>
      </w:r>
    </w:p>
    <w:p>
      <w:pPr>
        <w:ind w:left="5820"/>
        <w:spacing w:after="0" w:line="234" w:lineRule="auto"/>
        <w:rPr>
          <w:sz w:val="20"/>
          <w:szCs w:val="20"/>
          <w:color w:val="auto"/>
        </w:rPr>
      </w:pPr>
      <w:r>
        <w:rPr>
          <w:rFonts w:ascii="Arial" w:cs="Arial" w:eastAsia="Arial" w:hAnsi="Arial"/>
          <w:sz w:val="18"/>
          <w:szCs w:val="18"/>
          <w:color w:val="auto"/>
        </w:rPr>
        <w:t>potential acquisitions of, or investments in, companies,</w:t>
      </w:r>
    </w:p>
    <w:p>
      <w:pPr>
        <w:ind w:left="5820"/>
        <w:spacing w:after="0" w:line="235" w:lineRule="auto"/>
        <w:rPr>
          <w:sz w:val="20"/>
          <w:szCs w:val="20"/>
          <w:color w:val="auto"/>
        </w:rPr>
      </w:pPr>
      <w:r>
        <w:rPr>
          <w:rFonts w:ascii="Arial" w:cs="Arial" w:eastAsia="Arial" w:hAnsi="Arial"/>
          <w:sz w:val="18"/>
          <w:szCs w:val="18"/>
          <w:color w:val="auto"/>
        </w:rPr>
        <w:t>technologies, products or assets that complement our business.</w:t>
      </w:r>
    </w:p>
    <w:p>
      <w:pPr>
        <w:ind w:left="5820"/>
        <w:spacing w:after="0" w:line="235" w:lineRule="auto"/>
        <w:rPr>
          <w:sz w:val="20"/>
          <w:szCs w:val="20"/>
          <w:color w:val="auto"/>
        </w:rPr>
      </w:pPr>
      <w:r>
        <w:rPr>
          <w:rFonts w:ascii="Arial" w:cs="Arial" w:eastAsia="Arial" w:hAnsi="Arial"/>
          <w:sz w:val="18"/>
          <w:szCs w:val="18"/>
          <w:color w:val="auto"/>
        </w:rPr>
        <w:t>See “Use of Proceeds” in this prospectus supplement for more</w:t>
      </w:r>
    </w:p>
    <w:p>
      <w:pPr>
        <w:ind w:left="5820"/>
        <w:spacing w:after="0"/>
        <w:rPr>
          <w:sz w:val="20"/>
          <w:szCs w:val="20"/>
          <w:color w:val="auto"/>
        </w:rPr>
      </w:pPr>
      <w:r>
        <w:rPr>
          <w:rFonts w:ascii="Arial" w:cs="Arial" w:eastAsia="Arial" w:hAnsi="Arial"/>
          <w:sz w:val="18"/>
          <w:szCs w:val="18"/>
          <w:color w:val="auto"/>
        </w:rPr>
        <w:t>information.</w:t>
      </w:r>
    </w:p>
    <w:p>
      <w:pPr>
        <w:sectPr>
          <w:pgSz w:w="11900" w:h="16838" w:orient="portrait"/>
          <w:cols w:equalWidth="0" w:num="1">
            <w:col w:w="10940"/>
          </w:cols>
          <w:pgMar w:left="320" w:top="455" w:right="639" w:bottom="1440" w:gutter="0" w:footer="0" w:header="0"/>
          <w:type w:val="continuous"/>
        </w:sectPr>
      </w:pPr>
    </w:p>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You should read the “Risk Factors” in this prospectus supplement, the accompanying base prospectus, and the risks set forth under the caption “Item 1A. Risk Factors” included in our Annual Report on Form 10-K for the fiscal year ended December 31, 2021 and the other documents incorporated by reference into this prospectus supplement for a discussion of factors to consider carefully before deciding to purchase shares of our common stock.</w:t>
      </w:r>
    </w:p>
    <w:p>
      <w:pPr>
        <w:spacing w:after="0" w:line="86" w:lineRule="exact"/>
        <w:rPr>
          <w:sz w:val="20"/>
          <w:szCs w:val="20"/>
          <w:color w:val="auto"/>
        </w:rPr>
      </w:pPr>
    </w:p>
    <w:p>
      <w:pPr>
        <w:sectPr>
          <w:pgSz w:w="11900" w:h="16838" w:orient="portrait"/>
          <w:cols w:equalWidth="0" w:num="2">
            <w:col w:w="5100" w:space="720"/>
            <w:col w:w="5120"/>
          </w:cols>
          <w:pgMar w:left="320" w:top="455" w:right="639" w:bottom="1440" w:gutter="0" w:footer="0" w:header="0"/>
          <w:type w:val="continuous"/>
        </w:sectPr>
      </w:pPr>
    </w:p>
    <w:p>
      <w:pPr>
        <w:ind w:left="300"/>
        <w:spacing w:after="0"/>
        <w:rPr>
          <w:sz w:val="20"/>
          <w:szCs w:val="20"/>
          <w:color w:val="auto"/>
        </w:rPr>
      </w:pPr>
      <w:r>
        <w:rPr>
          <w:rFonts w:ascii="Arial" w:cs="Arial" w:eastAsia="Arial" w:hAnsi="Arial"/>
          <w:sz w:val="18"/>
          <w:szCs w:val="18"/>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“FULC”</w:t>
      </w:r>
    </w:p>
    <w:p>
      <w:pPr>
        <w:spacing w:after="0" w:line="211" w:lineRule="exact"/>
        <w:rPr>
          <w:sz w:val="20"/>
          <w:szCs w:val="20"/>
          <w:color w:val="auto"/>
        </w:rPr>
      </w:pPr>
    </w:p>
    <w:p>
      <w:pPr>
        <w:sectPr>
          <w:pgSz w:w="11900" w:h="16838" w:orient="portrait"/>
          <w:cols w:equalWidth="0" w:num="2">
            <w:col w:w="5100" w:space="720"/>
            <w:col w:w="5120"/>
          </w:cols>
          <w:pgMar w:left="320" w:top="455" w:right="639" w:bottom="1440" w:gutter="0" w:footer="0" w:header="0"/>
          <w:type w:val="continuous"/>
        </w:sectPr>
      </w:pPr>
    </w:p>
    <w:p>
      <w:pPr>
        <w:spacing w:after="0" w:line="25" w:lineRule="exact"/>
        <w:rPr>
          <w:sz w:val="20"/>
          <w:szCs w:val="20"/>
          <w:color w:val="auto"/>
        </w:rPr>
      </w:pPr>
    </w:p>
    <w:p>
      <w:pPr>
        <w:ind w:left="300" w:right="720" w:firstLine="532"/>
        <w:spacing w:after="0" w:line="271" w:lineRule="auto"/>
        <w:rPr>
          <w:sz w:val="20"/>
          <w:szCs w:val="20"/>
          <w:color w:val="auto"/>
        </w:rPr>
      </w:pPr>
      <w:r>
        <w:rPr>
          <w:rFonts w:ascii="Arial" w:cs="Arial" w:eastAsia="Arial" w:hAnsi="Arial"/>
          <w:sz w:val="18"/>
          <w:szCs w:val="18"/>
          <w:color w:val="auto"/>
        </w:rPr>
        <w:t>The number of shares of our common stock shown above to be outstanding immediately after this offering is based on 41,008,205 shares of common stock outstanding as of June 30, 2022 and excludes the following:</w:t>
      </w:r>
    </w:p>
    <w:p>
      <w:pPr>
        <w:spacing w:after="0" w:line="59" w:lineRule="exact"/>
        <w:rPr>
          <w:sz w:val="20"/>
          <w:szCs w:val="20"/>
          <w:color w:val="auto"/>
        </w:rPr>
      </w:pPr>
    </w:p>
    <w:p>
      <w:pPr>
        <w:ind w:left="1020" w:right="220" w:hanging="195"/>
        <w:spacing w:after="0" w:line="27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6,137,740 shares of common stock issuable upon exercise of stock options outstanding as of June 30, 2022 at a weighted average exercise price of $13.42 per share;</w:t>
      </w:r>
    </w:p>
    <w:p>
      <w:pPr>
        <w:spacing w:after="0" w:line="2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40"/>
          </w:cols>
          <w:pgMar w:left="320" w:top="455" w:right="6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3533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23533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20" w:right="80" w:hanging="195"/>
        <w:spacing w:after="0" w:line="27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115,189 shares of common stock issuable upon vesting of restricted stock units, or RSUs, outstanding as of June 30, 2022; and</w:t>
      </w:r>
    </w:p>
    <w:p>
      <w:pPr>
        <w:spacing w:after="0" w:line="59" w:lineRule="exact"/>
        <w:rPr>
          <w:rFonts w:ascii="Arial" w:cs="Arial" w:eastAsia="Arial" w:hAnsi="Arial"/>
          <w:sz w:val="18"/>
          <w:szCs w:val="18"/>
          <w:color w:val="auto"/>
        </w:rPr>
      </w:pPr>
    </w:p>
    <w:p>
      <w:pPr>
        <w:ind w:left="1020" w:right="200" w:hanging="195"/>
        <w:spacing w:after="0" w:line="275"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1,249,233, 1,381,360, and 1,091,085 shares of our common stock available for future issuance as of June 30, 2022 under our 2019 Stock Incentive Plan, our 2022 Inducement Stock Incentive Plan and our 2019 Employee Stock Purchase Plan, respectively, as well as any automatic increases in the number of shares of common stock reserved under these plans.</w:t>
      </w:r>
    </w:p>
    <w:p>
      <w:pPr>
        <w:spacing w:after="0" w:line="15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Unless otherwise indicated, all information in this prospectus supplement:</w:t>
      </w:r>
    </w:p>
    <w:p>
      <w:pPr>
        <w:spacing w:after="0" w:line="117" w:lineRule="exact"/>
        <w:rPr>
          <w:sz w:val="20"/>
          <w:szCs w:val="20"/>
          <w:color w:val="auto"/>
        </w:rPr>
      </w:pPr>
    </w:p>
    <w:p>
      <w:pPr>
        <w:ind w:left="1020" w:hanging="19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no exercise of the outstanding stock options or settlement of the RSUs described above;</w:t>
      </w:r>
    </w:p>
    <w:p>
      <w:pPr>
        <w:spacing w:after="0" w:line="117" w:lineRule="exact"/>
        <w:rPr>
          <w:rFonts w:ascii="Arial" w:cs="Arial" w:eastAsia="Arial" w:hAnsi="Arial"/>
          <w:sz w:val="18"/>
          <w:szCs w:val="18"/>
          <w:color w:val="auto"/>
        </w:rPr>
      </w:pPr>
    </w:p>
    <w:p>
      <w:pPr>
        <w:ind w:left="1020" w:right="140" w:hanging="195"/>
        <w:spacing w:after="0" w:line="27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additional shares of our common stock in this offering; and</w:t>
      </w:r>
    </w:p>
    <w:p>
      <w:pPr>
        <w:spacing w:after="0" w:line="59" w:lineRule="exact"/>
        <w:rPr>
          <w:rFonts w:ascii="Arial" w:cs="Arial" w:eastAsia="Arial" w:hAnsi="Arial"/>
          <w:sz w:val="18"/>
          <w:szCs w:val="18"/>
          <w:color w:val="auto"/>
        </w:rPr>
      </w:pPr>
    </w:p>
    <w:p>
      <w:pPr>
        <w:ind w:left="1020" w:hanging="195"/>
        <w:spacing w:after="0" w:line="24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does not reflect the potential issuance of shares of our common stock that remain available for sale as of the date of this prospectus supplement under our “at-the-market” offering program, pursuant to which we may sell common stock for remaining gross proceeds of up to $50 million from time to time under our equity distribution agreement with Piper Sandler &amp; Co.</w:t>
      </w:r>
    </w:p>
    <w:p>
      <w:pPr>
        <w:spacing w:after="0" w:line="28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00"/>
          </w:cols>
          <w:pgMar w:left="320" w:top="455" w:right="6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14" w:lineRule="exact"/>
        <w:rPr>
          <w:sz w:val="20"/>
          <w:szCs w:val="20"/>
          <w:color w:val="auto"/>
        </w:rPr>
      </w:pPr>
    </w:p>
    <w:p>
      <w:pPr>
        <w:ind w:left="120" w:right="160" w:firstLine="551"/>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contained in this prospectus supplement and the accompanying base prospectus and the risk factors in our most recent Annual Report on Form 10-K, our most recent Quarterly Report on Form 10-Q, together with other information in this prospectus supplement, the accompanying base prospectus and the information and documents incorporated by reference in this prospectus supplement and the accompanying base prospectus, and in any prospectus supplement or free writing prospectus that we authorize for use in connection with this offering. If any of the following risks actually occur, our business, prospects, operating results and financial condition could suffer materially. In such event, the trading price of our common stock could decline and you might lose all or part of your investment.</w:t>
      </w: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This Offering</w:t>
      </w:r>
    </w:p>
    <w:p>
      <w:pPr>
        <w:spacing w:after="0" w:line="214" w:lineRule="exact"/>
        <w:rPr>
          <w:sz w:val="20"/>
          <w:szCs w:val="20"/>
          <w:color w:val="auto"/>
        </w:rPr>
      </w:pPr>
    </w:p>
    <w:p>
      <w:pPr>
        <w:ind w:left="120" w:right="440"/>
        <w:spacing w:after="0" w:line="278" w:lineRule="auto"/>
        <w:rPr>
          <w:sz w:val="20"/>
          <w:szCs w:val="20"/>
          <w:color w:val="auto"/>
        </w:rPr>
      </w:pPr>
      <w:r>
        <w:rPr>
          <w:rFonts w:ascii="Arial" w:cs="Arial" w:eastAsia="Arial" w:hAnsi="Arial"/>
          <w:sz w:val="18"/>
          <w:szCs w:val="18"/>
          <w:b w:val="1"/>
          <w:bCs w:val="1"/>
          <w:i w:val="1"/>
          <w:iCs w:val="1"/>
          <w:color w:val="auto"/>
        </w:rPr>
        <w:t>Sale of a substantial number of shares of our common stock, including by us, could cause the market price of our common stock to drop significantly, even if our business is doing well.</w:t>
      </w:r>
    </w:p>
    <w:p>
      <w:pPr>
        <w:spacing w:after="0" w:line="31" w:lineRule="exact"/>
        <w:rPr>
          <w:sz w:val="20"/>
          <w:szCs w:val="20"/>
          <w:color w:val="auto"/>
        </w:rPr>
      </w:pPr>
    </w:p>
    <w:p>
      <w:pPr>
        <w:ind w:left="120" w:firstLine="551"/>
        <w:spacing w:after="0" w:line="266"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159"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Moreover, holders of a substantial number of shares of our common stock have rights, subject to specified conditions, to require us to file registration statements covering their shares or to include their shares in registration statements that we may file for ourselves or other stockholders.</w:t>
      </w:r>
    </w:p>
    <w:p>
      <w:pPr>
        <w:spacing w:after="0" w:line="169"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We have filed a registration statement covering the resale of 4,029,411 shares of our common stock that we sold to purchasers in a private placement and have agreed to keep such registration statement effective until the date the shares covered by the registration statement have been sold or can be resold without restriction under Rule 144 of the Securities Act.</w:t>
      </w:r>
    </w:p>
    <w:p>
      <w:pPr>
        <w:spacing w:after="0" w:line="169"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In addition, we have filed or intend to file registration statements registering all shares of common stock that we may issue under our equity compensation plans or pursuant to equity awards made to newly hired employees outside of equity compensation plans. These shares can be freely sold in the public market upon issuance, subject to volume limitations applicable to affiliates.</w:t>
      </w:r>
    </w:p>
    <w:p>
      <w:pPr>
        <w:spacing w:after="0" w:line="279" w:lineRule="exact"/>
        <w:rPr>
          <w:sz w:val="20"/>
          <w:szCs w:val="20"/>
          <w:color w:val="auto"/>
        </w:rPr>
      </w:pPr>
    </w:p>
    <w:p>
      <w:pPr>
        <w:ind w:left="120" w:right="200"/>
        <w:spacing w:after="0" w:line="278" w:lineRule="auto"/>
        <w:rPr>
          <w:sz w:val="20"/>
          <w:szCs w:val="20"/>
          <w:color w:val="auto"/>
        </w:rPr>
      </w:pPr>
      <w:r>
        <w:rPr>
          <w:rFonts w:ascii="Arial" w:cs="Arial" w:eastAsia="Arial" w:hAnsi="Arial"/>
          <w:sz w:val="18"/>
          <w:szCs w:val="18"/>
          <w:b w:val="1"/>
          <w:bCs w:val="1"/>
          <w:i w:val="1"/>
          <w:iCs w:val="1"/>
          <w:color w:val="auto"/>
        </w:rPr>
        <w:t>Our management may invest or spend the proceeds of this offering in ways with which you may not agree or in ways that may not yield a return.</w:t>
      </w:r>
    </w:p>
    <w:p>
      <w:pPr>
        <w:spacing w:after="0" w:line="31"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176" w:lineRule="exact"/>
        <w:rPr>
          <w:sz w:val="20"/>
          <w:szCs w:val="20"/>
          <w:color w:val="auto"/>
        </w:rPr>
      </w:pPr>
    </w:p>
    <w:p>
      <w:pPr>
        <w:jc w:val="both"/>
        <w:ind w:left="120" w:right="400" w:firstLine="551"/>
        <w:spacing w:after="0" w:line="253" w:lineRule="auto"/>
        <w:rPr>
          <w:sz w:val="20"/>
          <w:szCs w:val="20"/>
          <w:color w:val="auto"/>
        </w:rPr>
      </w:pPr>
      <w:r>
        <w:rPr>
          <w:rFonts w:ascii="Arial" w:cs="Arial" w:eastAsia="Arial" w:hAnsi="Arial"/>
          <w:sz w:val="18"/>
          <w:szCs w:val="18"/>
          <w:color w:val="auto"/>
        </w:rPr>
        <w:t>In addition, the issuance from time to time of shares of our common stock in this offering, or our ability to issue these shares of common stock in this offering, could result in resales of our common stock by our current stockholders concerned about the potential dilution of their holdings. In turn, these resales could have the effect of depressing the market price for our common stock.</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will experience immediate dilution in the book value per share of the common stock purchased in the offering.</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price of our common stock to be sold in this offering is substantially higher than the net tangible book value per share of our common stock. Therefore, if you purchase shares of our common stock in this offering, you will pay a price per share that substantially exceeds our net tangible book value per share after this offering. After giving effect to the sale of an aggregate of 9,590,792 shares of our common stock at the public offering price of $7.82 per share of common stock, and after deducting underwriting discounts and commissions and estimated offering expenses payable by us, our as adjusted net tangible book value as of June 30, 2022 would have been approximately $231.0 million, or approximately $4.57 per share. This represents an immediate increase in as adjusted net tangible book value of approximately $0.65 per share to our existing stockholders and an immediate dilution in as adjusted net tangible book value of approximately $3.25 per share to purchasers of our common stock in this offering. See “Dilution” in this prospectus supplement for more information.</w:t>
      </w:r>
    </w:p>
    <w:p>
      <w:pPr>
        <w:spacing w:after="0" w:line="293" w:lineRule="exact"/>
        <w:rPr>
          <w:sz w:val="20"/>
          <w:szCs w:val="20"/>
          <w:color w:val="auto"/>
        </w:rPr>
      </w:pPr>
    </w:p>
    <w:p>
      <w:pPr>
        <w:ind w:left="120" w:right="540"/>
        <w:spacing w:after="0" w:line="27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our stockholders.</w:t>
      </w:r>
    </w:p>
    <w:p>
      <w:pPr>
        <w:spacing w:after="0" w:line="31"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During the period from July 18, 2019 to August 15, 2022, the closing price of our common stock ranged from a high of $ 30.97 per share to a low of $ 4.20 per share. The stock market in general and the market for smaller biopharmaceutical companies in particular have experienced extreme volatility that has often been unrelated to the operating performance of particular companies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02"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any investors in this offering.</w:t>
      </w:r>
    </w:p>
    <w:p>
      <w:pPr>
        <w:spacing w:after="0" w:line="289"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Accordingly, stockholders must rely on capital appreciation, if any, for any return on their investment.</w:t>
      </w:r>
    </w:p>
    <w:p>
      <w:pPr>
        <w:spacing w:after="0" w:line="31"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This prospectus supplement, the accompanying base prospectus and the documents incorporated by reference in each of this prospectus supplement and the accompanying base prospectus include “forward-looking statements” within the meaning of Section 27A of the Securities Act of 1933, as amended, or the Securities Act, and Section 21E of the Securities Exchange Act of 1934, as amended, or the Exchange Act. All statements, other than statements of historical fact, contained or incorporated by reference in this prospectus supplement and the accompanying base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83"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color w:val="auto"/>
        </w:rPr>
        <w:t>The forward-looking statements in this prospectus supplement, the accompanying prospectus and the information incorporated by reference herein and therein include, among other things, statements about:</w:t>
      </w:r>
    </w:p>
    <w:p>
      <w:pPr>
        <w:spacing w:after="0" w:line="59" w:lineRule="exact"/>
        <w:rPr>
          <w:sz w:val="20"/>
          <w:szCs w:val="20"/>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ongoing clinical trials of losmapimod and FTX-6058;</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our organizational streamlining and realignment of resources, including our anticipated cash runway;</w:t>
      </w:r>
    </w:p>
    <w:p>
      <w:pPr>
        <w:spacing w:after="0" w:line="117" w:lineRule="exact"/>
        <w:rPr>
          <w:rFonts w:ascii="Arial" w:cs="Arial" w:eastAsia="Arial" w:hAnsi="Arial"/>
          <w:sz w:val="18"/>
          <w:szCs w:val="18"/>
          <w:color w:val="auto"/>
        </w:rPr>
      </w:pPr>
    </w:p>
    <w:p>
      <w:pPr>
        <w:ind w:left="880" w:right="380" w:hanging="224"/>
        <w:spacing w:after="0" w:line="271"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business and operations, including our clinical trials and development plans, as well as our future financial results;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17" w:lineRule="exact"/>
        <w:rPr>
          <w:rFonts w:ascii="Arial" w:cs="Arial" w:eastAsia="Arial" w:hAnsi="Arial"/>
          <w:sz w:val="18"/>
          <w:szCs w:val="18"/>
          <w:color w:val="auto"/>
        </w:rPr>
      </w:pPr>
    </w:p>
    <w:p>
      <w:pPr>
        <w:ind w:left="880" w:right="400" w:hanging="224"/>
        <w:spacing w:after="0" w:line="271"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59" w:lineRule="exact"/>
        <w:rPr>
          <w:rFonts w:ascii="Arial" w:cs="Arial" w:eastAsia="Arial" w:hAnsi="Arial"/>
          <w:sz w:val="18"/>
          <w:szCs w:val="18"/>
          <w:color w:val="auto"/>
        </w:rPr>
      </w:pPr>
    </w:p>
    <w:p>
      <w:pPr>
        <w:ind w:left="880" w:right="240" w:hanging="224"/>
        <w:spacing w:after="0" w:line="271"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FTX-6058 and any other product candidates, including in combination with other drugs and therapies;</w:t>
      </w:r>
    </w:p>
    <w:p>
      <w:pPr>
        <w:spacing w:after="0" w:line="59" w:lineRule="exact"/>
        <w:rPr>
          <w:rFonts w:ascii="Arial" w:cs="Arial" w:eastAsia="Arial" w:hAnsi="Arial"/>
          <w:sz w:val="18"/>
          <w:szCs w:val="18"/>
          <w:color w:val="auto"/>
        </w:rPr>
      </w:pPr>
    </w:p>
    <w:p>
      <w:pPr>
        <w:ind w:left="880" w:right="180" w:hanging="224"/>
        <w:spacing w:after="0" w:line="271"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obtain and maintain regulatory approvals for losmapimod, FTX-6058 and any other product candidates;</w:t>
      </w:r>
    </w:p>
    <w:p>
      <w:pPr>
        <w:spacing w:after="0" w:line="59" w:lineRule="exact"/>
        <w:rPr>
          <w:rFonts w:ascii="Arial" w:cs="Arial" w:eastAsia="Arial" w:hAnsi="Arial"/>
          <w:sz w:val="18"/>
          <w:szCs w:val="18"/>
          <w:color w:val="auto"/>
        </w:rPr>
      </w:pPr>
    </w:p>
    <w:p>
      <w:pPr>
        <w:ind w:left="880" w:right="160" w:hanging="224"/>
        <w:spacing w:after="0" w:line="271"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 if our product candidates are approved;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progress and results of our collaboration with MyoKardia;</w:t>
      </w:r>
    </w:p>
    <w:p>
      <w:pPr>
        <w:spacing w:after="0" w:line="117" w:lineRule="exact"/>
        <w:rPr>
          <w:rFonts w:ascii="Arial" w:cs="Arial" w:eastAsia="Arial" w:hAnsi="Arial"/>
          <w:sz w:val="18"/>
          <w:szCs w:val="18"/>
          <w:color w:val="auto"/>
        </w:rPr>
      </w:pPr>
    </w:p>
    <w:p>
      <w:pPr>
        <w:ind w:left="880" w:right="620" w:hanging="224"/>
        <w:spacing w:after="0" w:line="271"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59" w:lineRule="exact"/>
        <w:rPr>
          <w:rFonts w:ascii="Arial" w:cs="Arial" w:eastAsia="Arial" w:hAnsi="Arial"/>
          <w:sz w:val="18"/>
          <w:szCs w:val="18"/>
          <w:color w:val="auto"/>
        </w:rPr>
      </w:pPr>
    </w:p>
    <w:p>
      <w:pPr>
        <w:ind w:left="880" w:right="260" w:hanging="224"/>
        <w:spacing w:after="0" w:line="271"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regarding expenses, future revenue, timing of any future revenue, capital requirements and needs for additional financing;</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117" w:lineRule="exact"/>
        <w:rPr>
          <w:rFonts w:ascii="Arial" w:cs="Arial" w:eastAsia="Arial" w:hAnsi="Arial"/>
          <w:sz w:val="18"/>
          <w:szCs w:val="18"/>
          <w:color w:val="auto"/>
        </w:rPr>
      </w:pPr>
    </w:p>
    <w:p>
      <w:pPr>
        <w:ind w:left="880" w:right="340" w:hanging="224"/>
        <w:spacing w:after="0" w:line="27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or a smaller reporting company as defined under the federal securities laws.</w:t>
      </w:r>
    </w:p>
    <w:p>
      <w:pPr>
        <w:spacing w:after="0" w:line="154"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supplement,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83"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You should read this prospectus supplement, the accompanying base prospectus, the documents incorporated by reference in this prospectus supplement and the documents that we have filed as exhibits to the registration statement of which this prospectus supplement is a part completely and with the understanding that our actual future results may be materially different from what we expect. The forward-looking statements contained in this prospectus supplement and the accompanying base prospectus and incorporated by reference herein are made as of the date hereof, and we do not assume any obligation to update any forward-looking statements except as required by applicable law.</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This prospectus supplement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We estimate that the net proceeds to us from the issuance and sale of 9,590,792 shares of common stock in this offering will be approximately $ 70.3 million, or approximately $80.9 million if the underwriters exercise their option to purchase additional shares in full, in each case after deducting underwriting discounts and commissions and estimated offering expenses payable to us.</w:t>
      </w:r>
    </w:p>
    <w:p>
      <w:pPr>
        <w:spacing w:after="0" w:line="169"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We currently anticipate that we will use the net proceeds from this offering, together with our existing cash, cash equivalents and marketable securities, primarily for general corporate purposes, which may include working capital and capital expenditures, research and development expenses, including to fund clinical trials, regulatory submissions, commercialization, discovery and additional preclinical research and development of additional product candidates and platform enhancement, general and administrative expenses, and potential acquisitions of, or investments in, companies, technologies, products or assets that complement our business.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2022, we had cash, cash equivalents and marketable securities of $169.0 million.</w:t>
      </w:r>
    </w:p>
    <w:p>
      <w:pPr>
        <w:spacing w:after="0" w:line="212"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This expected use of net proceeds from this offering represents our intentions based upon our current plans and business conditions, which could change in the future as our plans and business conditions evolve. The amounts and timing of our actual use of the net proceeds may vary significantly depending on numerous factors, including the actual net proceeds from this offering, the progress of our development,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79"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Pending the use of proceeds described above, we intend to invest the net proceeds in a variety of capital preservation investments, including short-term, investment-grade, interest-bearing instruments and U.S. government securities.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12" w:lineRule="exact"/>
        <w:rPr>
          <w:sz w:val="20"/>
          <w:szCs w:val="20"/>
          <w:color w:val="auto"/>
        </w:rPr>
      </w:pPr>
    </w:p>
    <w:p>
      <w:pPr>
        <w:jc w:val="both"/>
        <w:ind w:left="120" w:right="160" w:firstLine="551"/>
        <w:spacing w:after="0" w:line="253"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public offering price per share of our common stock you will pay in this offering and the as adjusted net tangible book value per share of our common stock immediately after this offering.</w:t>
      </w:r>
    </w:p>
    <w:p>
      <w:pPr>
        <w:spacing w:after="0" w:line="169" w:lineRule="exact"/>
        <w:rPr>
          <w:sz w:val="20"/>
          <w:szCs w:val="20"/>
          <w:color w:val="auto"/>
        </w:rPr>
      </w:pPr>
    </w:p>
    <w:p>
      <w:pPr>
        <w:ind w:left="120" w:right="200" w:firstLine="551"/>
        <w:spacing w:after="0" w:line="247" w:lineRule="auto"/>
        <w:rPr>
          <w:sz w:val="20"/>
          <w:szCs w:val="20"/>
          <w:color w:val="auto"/>
        </w:rPr>
      </w:pPr>
      <w:r>
        <w:rPr>
          <w:rFonts w:ascii="Arial" w:cs="Arial" w:eastAsia="Arial" w:hAnsi="Arial"/>
          <w:sz w:val="18"/>
          <w:szCs w:val="18"/>
          <w:color w:val="auto"/>
        </w:rPr>
        <w:t>Our historical net tangible book value as of June 30, 2022 was approximately $160.8 million, or $3.92 per share of our common stock. Our historical net tangible book value is the amount of our total tangible assets less our total liabilities. Historical net tangible book value per share represents historical net tangible book value divided by the 41,008,205 shares of our common stock outstanding as of June 30, 2022.</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giving effect to the issuance and sale of 9,590,792 shares of our common stock that we are offering at the public offering price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$7.82 per share, and after deducting the underwriting discounts and commissions and estimated offering expenses payable by us, our</w:t>
      </w:r>
    </w:p>
    <w:p>
      <w:pPr>
        <w:ind w:left="120"/>
        <w:spacing w:after="0" w:line="234" w:lineRule="auto"/>
        <w:rPr>
          <w:sz w:val="20"/>
          <w:szCs w:val="20"/>
          <w:color w:val="auto"/>
        </w:rPr>
      </w:pPr>
      <w:r>
        <w:rPr>
          <w:rFonts w:ascii="Arial" w:cs="Arial" w:eastAsia="Arial" w:hAnsi="Arial"/>
          <w:sz w:val="18"/>
          <w:szCs w:val="18"/>
          <w:color w:val="auto"/>
        </w:rPr>
        <w:t>as adjusted net tangible book value at June 30, 2022 would have been approximately $231.0 million, or $4.57 per share. This represents</w:t>
      </w:r>
    </w:p>
    <w:p>
      <w:pPr>
        <w:ind w:left="120"/>
        <w:spacing w:after="0" w:line="235" w:lineRule="auto"/>
        <w:rPr>
          <w:sz w:val="20"/>
          <w:szCs w:val="20"/>
          <w:color w:val="auto"/>
        </w:rPr>
      </w:pPr>
      <w:r>
        <w:rPr>
          <w:rFonts w:ascii="Arial" w:cs="Arial" w:eastAsia="Arial" w:hAnsi="Arial"/>
          <w:sz w:val="18"/>
          <w:szCs w:val="18"/>
          <w:color w:val="auto"/>
        </w:rPr>
        <w:t>an immediate increase in as adjusted net tangible book value of $0.65 per share to existing stockholders and an immediate dilution of</w:t>
      </w:r>
    </w:p>
    <w:p>
      <w:pPr>
        <w:ind w:left="120"/>
        <w:spacing w:after="0" w:line="235" w:lineRule="auto"/>
        <w:rPr>
          <w:sz w:val="20"/>
          <w:szCs w:val="20"/>
          <w:color w:val="auto"/>
        </w:rPr>
      </w:pPr>
      <w:r>
        <w:rPr>
          <w:rFonts w:ascii="Arial" w:cs="Arial" w:eastAsia="Arial" w:hAnsi="Arial"/>
          <w:sz w:val="18"/>
          <w:szCs w:val="18"/>
          <w:color w:val="auto"/>
        </w:rPr>
        <w:t>$3.25 per share to investors in this offering. Dilution per share to new investors is determined by subtracting as adjusted net tangible book</w:t>
      </w:r>
    </w:p>
    <w:p>
      <w:pPr>
        <w:ind w:left="120"/>
        <w:spacing w:after="0" w:line="235" w:lineRule="auto"/>
        <w:rPr>
          <w:sz w:val="20"/>
          <w:szCs w:val="20"/>
          <w:color w:val="auto"/>
        </w:rPr>
      </w:pPr>
      <w:r>
        <w:rPr>
          <w:rFonts w:ascii="Arial" w:cs="Arial" w:eastAsia="Arial" w:hAnsi="Arial"/>
          <w:sz w:val="18"/>
          <w:szCs w:val="18"/>
          <w:color w:val="auto"/>
        </w:rPr>
        <w:t>value per share after this offering from the public offering price per share paid by new investors. The following table illustrates this per</w:t>
      </w:r>
    </w:p>
    <w:p>
      <w:pPr>
        <w:ind w:left="120"/>
        <w:spacing w:after="0"/>
        <w:rPr>
          <w:sz w:val="20"/>
          <w:szCs w:val="20"/>
          <w:color w:val="auto"/>
        </w:rPr>
      </w:pPr>
      <w:r>
        <w:rPr>
          <w:rFonts w:ascii="Arial" w:cs="Arial" w:eastAsia="Arial" w:hAnsi="Arial"/>
          <w:sz w:val="18"/>
          <w:szCs w:val="18"/>
          <w:color w:val="auto"/>
        </w:rPr>
        <w:t>share dilution.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$7.82</w:t>
            </w:r>
          </w:p>
        </w:tc>
      </w:tr>
      <w:tr>
        <w:trPr>
          <w:trHeight w:val="203"/>
        </w:trPr>
        <w:tc>
          <w:tcPr>
            <w:tcW w:w="976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value per share as of June 30, 2022</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97"/>
              </w:rPr>
              <w:t>$3.92</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7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in net tangible book value per share attributable to this offering</w:t>
            </w:r>
          </w:p>
        </w:tc>
        <w:tc>
          <w:tcPr>
            <w:tcW w:w="7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0.65</w:t>
            </w: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976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60" w:type="dxa"/>
            <w:vAlign w:val="bottom"/>
          </w:tcPr>
          <w:p>
            <w:pPr>
              <w:spacing w:after="0"/>
              <w:rPr>
                <w:sz w:val="18"/>
                <w:szCs w:val="18"/>
                <w:color w:val="auto"/>
              </w:rPr>
            </w:pPr>
          </w:p>
        </w:tc>
      </w:tr>
      <w:tr>
        <w:trPr>
          <w:trHeight w:val="203"/>
        </w:trPr>
        <w:tc>
          <w:tcPr>
            <w:tcW w:w="97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Dilution per share to new investors purchasing shares in this offering</w:t>
            </w:r>
          </w:p>
        </w:tc>
        <w:tc>
          <w:tcPr>
            <w:tcW w:w="12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3.25</w:t>
            </w:r>
          </w:p>
        </w:tc>
      </w:tr>
      <w:tr>
        <w:trPr>
          <w:trHeight w:val="20"/>
        </w:trPr>
        <w:tc>
          <w:tcPr>
            <w:tcW w:w="9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If the underwriters exercise their option to purchase additional shares in full the immediate dilution in as adjusted net tangible book value per share to investors in this offering would be $3.18 per share.</w:t>
      </w:r>
    </w:p>
    <w:p>
      <w:pPr>
        <w:spacing w:after="0" w:line="154" w:lineRule="exact"/>
        <w:rPr>
          <w:sz w:val="20"/>
          <w:szCs w:val="20"/>
          <w:color w:val="auto"/>
        </w:rPr>
      </w:pPr>
    </w:p>
    <w:p>
      <w:pPr>
        <w:ind w:left="120" w:right="580" w:firstLine="551"/>
        <w:spacing w:after="0" w:line="271" w:lineRule="auto"/>
        <w:rPr>
          <w:sz w:val="20"/>
          <w:szCs w:val="20"/>
          <w:color w:val="auto"/>
        </w:rPr>
      </w:pPr>
      <w:r>
        <w:rPr>
          <w:rFonts w:ascii="Arial" w:cs="Arial" w:eastAsia="Arial" w:hAnsi="Arial"/>
          <w:sz w:val="18"/>
          <w:szCs w:val="18"/>
          <w:color w:val="auto"/>
        </w:rPr>
        <w:t>The table and discussion above are based on 41,008,205 shares of our common stock outstanding as of June 30, 2022, and exclude:</w:t>
      </w:r>
    </w:p>
    <w:p>
      <w:pPr>
        <w:spacing w:after="0" w:line="59" w:lineRule="exact"/>
        <w:rPr>
          <w:sz w:val="20"/>
          <w:szCs w:val="20"/>
          <w:color w:val="auto"/>
        </w:rPr>
      </w:pPr>
    </w:p>
    <w:p>
      <w:pPr>
        <w:ind w:left="880" w:right="560" w:hanging="224"/>
        <w:spacing w:after="0" w:line="271"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6,137,740 shares of common stock issuable upon exercise of stock options outstanding as of June 30, 2022 at a weighted average exercise price of $13.42 per share;</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115,189 shares of common stock issuable upon vesting of restricted stock units outstanding as of June 30, 2022; and</w:t>
      </w:r>
    </w:p>
    <w:p>
      <w:pPr>
        <w:spacing w:after="0" w:line="117" w:lineRule="exact"/>
        <w:rPr>
          <w:rFonts w:ascii="Arial" w:cs="Arial" w:eastAsia="Arial" w:hAnsi="Arial"/>
          <w:sz w:val="18"/>
          <w:szCs w:val="18"/>
          <w:color w:val="auto"/>
        </w:rPr>
      </w:pPr>
    </w:p>
    <w:p>
      <w:pPr>
        <w:ind w:left="880" w:right="260" w:hanging="224"/>
        <w:spacing w:after="0" w:line="253"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1,249,233, 1,381,360, and 1,091,085 shares of our common stock available for future issuance as of June 30, 2022 under our 2019 Stock Incentive Plan, our 2022 Inducement Stock Incentive Plan and our 2019 Employee Stock Purchase Plan, respectively, as well as any automatic increases in the number of shares of common stock reserved under these plans.</w:t>
      </w:r>
    </w:p>
    <w:p>
      <w:pPr>
        <w:spacing w:after="0" w:line="169"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To the extent that outstanding stock options are exercised, new stock options are issued, or we issue additional shares of common stock in the future, including pursuant to our equity distribution agreement with Piper Sandler &amp; Co., there will be further dilution to investors purchasing shares of common stock in this offering. The as adjusted information discussed above will be based on the actual number of shares, the offering price and other terms determined at pricing of this offering.</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MATERIAL U.S. FEDERAL INCOME AND ESTATE TAX CONSIDERATIONS FOR NON U.S. HOLDERS OF COMMON STOCK</w:t>
      </w:r>
    </w:p>
    <w:p>
      <w:pPr>
        <w:spacing w:after="0" w:line="21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The following is a discussion of material U.S. federal income and estate tax considerations relating to the ownership and disposition of shares of our common stock acquired in this offering by a non-U.S. holder. For purposes of this discussion, the term “non-U.S. holder” means a beneficial owner (other than a partnership or other pass-through entity) of our common stock that is not, for U.S. federal income tax purposes:</w:t>
      </w:r>
    </w:p>
    <w:p>
      <w:pPr>
        <w:spacing w:after="0" w:line="79" w:lineRule="exact"/>
        <w:rPr>
          <w:sz w:val="20"/>
          <w:szCs w:val="20"/>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80" w:right="120" w:hanging="224"/>
        <w:spacing w:after="0" w:line="271"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880" w:hanging="224"/>
        <w:spacing w:after="0" w:line="253"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has authority to control all substantial decisions of the trust or (2) the trust has a valid election in effect under applicable U.S. Treasury Regulations to be treated as a U.S. person.</w:t>
      </w:r>
    </w:p>
    <w:p>
      <w:pPr>
        <w:spacing w:after="0" w:line="169"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This discussion does not address the tax treatment of partnerships or other entities that are pass-through entities for U.S. federal income tax purposes or persons who hold shares of our common stock through partnerships or such other pass-through entities. The tax treatment of a partner in a partnership or other entity that is treated as a pass-through entity for U.S. federal income tax purposes generally will depend upon the status of the partner and the activities of the partnership. A partner in a partnership or other pass-through entity that will hold our common stock should consult his, her or its own tax advisor regarding the tax consequences of the purchase, ownership and disposition of our common stock through a partnership or other pass-through entity, as applicable.</w:t>
      </w:r>
    </w:p>
    <w:p>
      <w:pPr>
        <w:spacing w:after="0" w:line="179"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and all of which are subject to change or to differing interpretation, possibly with retroactive effect. Any change or differing interpretation could alter the tax consequences to non-U.S. holders described in this prospectus supplement. There can be no assurance that the Internal Revenue Service, or the IRS, will not challenge one or more of the tax consequences described in this prospectus supplement.</w:t>
      </w:r>
    </w:p>
    <w:p>
      <w:pPr>
        <w:spacing w:after="0" w:line="179"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color w:val="auto"/>
        </w:rPr>
        <w:t>This discussion addresses only non-U.S. holders that hold shares of our common stock as a capital asset (generally, property held for investment) for U.S. federal income tax purposes.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206" w:lineRule="exact"/>
        <w:rPr>
          <w:sz w:val="20"/>
          <w:szCs w:val="20"/>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17" w:lineRule="exact"/>
        <w:rPr>
          <w:rFonts w:ascii="Arial" w:cs="Arial" w:eastAsia="Arial" w:hAnsi="Arial"/>
          <w:sz w:val="18"/>
          <w:szCs w:val="18"/>
          <w:color w:val="auto"/>
        </w:rPr>
      </w:pPr>
    </w:p>
    <w:p>
      <w:pPr>
        <w:ind w:left="880" w:right="260" w:hanging="224"/>
        <w:spacing w:after="0" w:line="271"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 or who have elected to mark securities to market;</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non-U.S. governments;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passive foreign investment companies;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12" w:lineRule="exact"/>
        <w:rPr>
          <w:sz w:val="20"/>
          <w:szCs w:val="20"/>
          <w:color w:val="auto"/>
        </w:rPr>
      </w:pPr>
    </w:p>
    <w:p>
      <w:pPr>
        <w:ind w:left="120" w:right="160" w:firstLine="551"/>
        <w:spacing w:after="0" w:line="250" w:lineRule="auto"/>
        <w:rPr>
          <w:sz w:val="20"/>
          <w:szCs w:val="20"/>
          <w:color w:val="auto"/>
        </w:rPr>
      </w:pPr>
      <w:r>
        <w:rPr>
          <w:rFonts w:ascii="Arial" w:cs="Arial" w:eastAsia="Arial" w:hAnsi="Arial"/>
          <w:sz w:val="18"/>
          <w:szCs w:val="18"/>
          <w:b w:val="1"/>
          <w:bCs w:val="1"/>
          <w:color w:val="auto"/>
        </w:rPr>
        <w:t>THIS DISCUSSION IS FOR INFORMATION ONLY AND IS NOT, AND IS NOT INTENDED TO BE, LEGAL OR TAX ADVICE. PROSPECTIVE INVESTORS SHOULD CONSULT THEIR OWN TAX ADVISORS REGARDING THE U.S. FEDERAL, STATE, LOCAL, ESTATE AND NON-U.S. INCOME AND OTHER TAX CONSIDERATIONS OF ACQUIRING, HOLDING AND DISPOSING OF OUR COMMON STOCK, INCLUDING THE CONSEQUENCES OF ANY PROPOSED CHANGES IN APPLICABLE LAWS.</w:t>
      </w: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Distributions</w:t>
      </w:r>
    </w:p>
    <w:p>
      <w:pPr>
        <w:spacing w:after="0" w:line="212" w:lineRule="exact"/>
        <w:rPr>
          <w:sz w:val="20"/>
          <w:szCs w:val="20"/>
          <w:color w:val="auto"/>
        </w:rPr>
      </w:pPr>
    </w:p>
    <w:p>
      <w:pPr>
        <w:ind w:left="120" w:right="40" w:firstLine="551"/>
        <w:spacing w:after="0" w:line="257" w:lineRule="auto"/>
        <w:rPr>
          <w:sz w:val="20"/>
          <w:szCs w:val="20"/>
          <w:color w:val="auto"/>
        </w:rPr>
      </w:pPr>
      <w:r>
        <w:rPr>
          <w:rFonts w:ascii="Arial" w:cs="Arial" w:eastAsia="Arial" w:hAnsi="Arial"/>
          <w:sz w:val="17"/>
          <w:szCs w:val="17"/>
          <w:color w:val="auto"/>
        </w:rPr>
        <w:t>We do not expect to pay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the non-U.S. holder’s tax basis in the common stock. Any remaining excess will be treated as capital gain, subject to the tax treatment described below under the heading “Gain on Sale, Exchange or Other Taxable Disposition of Our Common Stock.” Any such distributions will also be subject to the discussions below under the headings “Information Reporting and Backup Withholding” and “FATCA.”</w:t>
      </w:r>
    </w:p>
    <w:p>
      <w:pPr>
        <w:spacing w:after="0" w:line="168"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5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properly executed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80"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properly executed IRS Form W-8BEN or W-8BEN-E (or successor form) and satisfy applicable certification and other requirements.</w:t>
      </w:r>
    </w:p>
    <w:p>
      <w:pPr>
        <w:spacing w:after="0" w:line="212" w:lineRule="exact"/>
        <w:rPr>
          <w:sz w:val="20"/>
          <w:szCs w:val="20"/>
          <w:color w:val="auto"/>
        </w:rPr>
      </w:pPr>
    </w:p>
    <w:p>
      <w:pPr>
        <w:ind w:left="120" w:right="340" w:firstLine="551"/>
        <w:spacing w:after="0" w:line="271" w:lineRule="auto"/>
        <w:rPr>
          <w:sz w:val="20"/>
          <w:szCs w:val="20"/>
          <w:color w:val="auto"/>
        </w:rPr>
      </w:pPr>
      <w:r>
        <w:rPr>
          <w:rFonts w:ascii="Arial" w:cs="Arial" w:eastAsia="Arial" w:hAnsi="Arial"/>
          <w:sz w:val="18"/>
          <w:szCs w:val="18"/>
          <w:color w:val="auto"/>
        </w:rPr>
        <w:t>Non-U.S. holders are urged to consult their own tax advisors regarding their entitlement to benefits under a relevant income tax treaty and the specific methods available to them to satisfy these requirements.</w:t>
      </w:r>
    </w:p>
    <w:p>
      <w:pPr>
        <w:spacing w:after="0" w:line="154" w:lineRule="exact"/>
        <w:rPr>
          <w:sz w:val="20"/>
          <w:szCs w:val="20"/>
          <w:color w:val="auto"/>
        </w:rPr>
      </w:pPr>
    </w:p>
    <w:p>
      <w:pPr>
        <w:ind w:left="120" w:right="40" w:firstLine="551"/>
        <w:spacing w:after="0" w:line="271" w:lineRule="auto"/>
        <w:rPr>
          <w:sz w:val="20"/>
          <w:szCs w:val="20"/>
          <w:color w:val="auto"/>
        </w:rPr>
      </w:pPr>
      <w:r>
        <w:rPr>
          <w:rFonts w:ascii="Arial" w:cs="Arial" w:eastAsia="Arial" w:hAnsi="Arial"/>
          <w:sz w:val="18"/>
          <w:szCs w:val="18"/>
          <w:color w:val="auto"/>
        </w:rPr>
        <w:t>A non-U.S. holder that is eligible for a reduced rate of U.S. withholding tax under an income tax treaty may obtain a refund or credit of any excess amounts withheld by timely filing an appropriate claim with the IRS.</w:t>
      </w: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Gain on Sale, Exchange or Other Taxable Disposition of Our Common Stock</w:t>
      </w:r>
    </w:p>
    <w:p>
      <w:pPr>
        <w:spacing w:after="0" w:line="212" w:lineRule="exact"/>
        <w:rPr>
          <w:sz w:val="20"/>
          <w:szCs w:val="20"/>
          <w:color w:val="auto"/>
        </w:rPr>
      </w:pPr>
    </w:p>
    <w:p>
      <w:pPr>
        <w:ind w:left="120" w:right="1300" w:firstLine="551"/>
        <w:spacing w:after="0" w:line="253" w:lineRule="auto"/>
        <w:rPr>
          <w:sz w:val="20"/>
          <w:szCs w:val="20"/>
          <w:color w:val="auto"/>
        </w:rPr>
      </w:pPr>
      <w:r>
        <w:rPr>
          <w:rFonts w:ascii="Arial" w:cs="Arial" w:eastAsia="Arial" w:hAnsi="Arial"/>
          <w:sz w:val="18"/>
          <w:szCs w:val="18"/>
          <w:color w:val="auto"/>
        </w:rPr>
        <w:t>Subject to the discussion below under the headings “Information Reporting and Backup Withholding” and “FATCA,” a non-U.S. holder generally will not be subject to U.S. federal income tax or withholding tax on any gain realized upon such non-U.S. holder’s sale, exchange or other disposition of our common stock unless:</w:t>
      </w:r>
    </w:p>
    <w:p>
      <w:pPr>
        <w:spacing w:after="0" w:line="74" w:lineRule="exact"/>
        <w:rPr>
          <w:sz w:val="20"/>
          <w:szCs w:val="20"/>
          <w:color w:val="auto"/>
        </w:rPr>
      </w:pPr>
    </w:p>
    <w:p>
      <w:pPr>
        <w:ind w:left="880" w:right="80" w:hanging="224"/>
        <w:spacing w:after="0" w:line="242"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which case, the non-U.S. holder generally will be taxed on a net income basis at the U.S. federal income tax rates applicable to U.S. persons with respect to the gain, and, if the non-U.S. holder is a foreign corporation, an additional branch profits tax at a rate of 30% (or a lower rate as may be specified by an applicable income tax treaty between the United States and such holder’s country of residence) may also apply;</w:t>
      </w:r>
    </w:p>
    <w:p>
      <w:pPr>
        <w:spacing w:after="0" w:line="84" w:lineRule="exact"/>
        <w:rPr>
          <w:rFonts w:ascii="Arial" w:cs="Arial" w:eastAsia="Arial" w:hAnsi="Arial"/>
          <w:sz w:val="18"/>
          <w:szCs w:val="18"/>
          <w:color w:val="auto"/>
        </w:rPr>
      </w:pPr>
    </w:p>
    <w:p>
      <w:pPr>
        <w:ind w:left="880" w:right="20" w:hanging="224"/>
        <w:spacing w:after="0" w:line="244"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81"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If we are determined to be a “U.S. real property holding corporation” and the foregoing exception does not apply, then</w:t>
      </w:r>
    </w:p>
    <w:p>
      <w:pPr>
        <w:spacing w:after="0" w:line="4" w:lineRule="exact"/>
        <w:rPr>
          <w:rFonts w:ascii="Arial" w:cs="Arial" w:eastAsia="Arial" w:hAnsi="Arial"/>
          <w:sz w:val="18"/>
          <w:szCs w:val="18"/>
          <w:color w:val="auto"/>
        </w:rPr>
      </w:pPr>
    </w:p>
    <w:p>
      <w:pPr>
        <w:ind w:left="880"/>
        <w:spacing w:after="0" w:line="253" w:lineRule="auto"/>
        <w:rPr>
          <w:rFonts w:ascii="Arial" w:cs="Arial" w:eastAsia="Arial" w:hAnsi="Arial"/>
          <w:sz w:val="18"/>
          <w:szCs w:val="18"/>
          <w:color w:val="auto"/>
        </w:rPr>
      </w:pPr>
      <w:r>
        <w:rPr>
          <w:rFonts w:ascii="Arial" w:cs="Arial" w:eastAsia="Arial" w:hAnsi="Arial"/>
          <w:sz w:val="17"/>
          <w:szCs w:val="17"/>
          <w:color w:val="auto"/>
        </w:rPr>
        <w:t>the non-U.S. holder generally will be taxed on its net gain derived from the disposition at the U.S. federal income tax rates applicable to U.S. persons. Generally, a corporation is a “U.S. real property holding corporation” only if the fair market value of its “U.S. real property interests” (as defined in the Code and applicable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 described above.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 Federal Estate Tax</w:t>
      </w:r>
    </w:p>
    <w:p>
      <w:pPr>
        <w:spacing w:after="0" w:line="21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Shares of our common stock that are owned or treated as owned by an individual who is a non-U.S. holder (as specially defined for U.S. federal estate tax purposes) at the time of death are considered U.S.-situs assets and will be included in the individual’s gross estate for U.S. federal estate tax purposes. Such shares, therefore, may be subject to U.S. federal estate tax, unless an applicable estate tax or other treaty provides otherwise.</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1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must report annually to the IRS and to each non-U.S. holder the gross amount of the distributions on our common stock paid to such holder and the tax withheld, if any, with respect to such distributions. Non-U.S. holders generally will have to comply with specific certification procedures to establish that the holder is not a U.S. person (as defined in the Code) in order to avoid backup withholding at the applicable rate with respect to dividends on our common stock. Generally, a non-U.S. holder will comply with such procedures if it provides a properly executed IRS Form W-8BEN or W-8BEN-E (or other applicable IRS Form W-8), or otherwise meets documentary evidence requirements for establishing that it is a non-U.S. holder, or otherwise establishes an exemption. Dividends paid</w:t>
      </w:r>
    </w:p>
    <w:p>
      <w:pPr>
        <w:spacing w:after="0" w:line="1" w:lineRule="exact"/>
        <w:rPr>
          <w:sz w:val="20"/>
          <w:szCs w:val="20"/>
          <w:color w:val="auto"/>
        </w:rPr>
      </w:pPr>
    </w:p>
    <w:p>
      <w:pPr>
        <w:ind w:left="120" w:right="680"/>
        <w:spacing w:after="0" w:line="250" w:lineRule="auto"/>
        <w:rPr>
          <w:sz w:val="20"/>
          <w:szCs w:val="20"/>
          <w:color w:val="auto"/>
        </w:rPr>
      </w:pPr>
      <w:r>
        <w:rPr>
          <w:rFonts w:ascii="Arial" w:cs="Arial" w:eastAsia="Arial" w:hAnsi="Arial"/>
          <w:sz w:val="18"/>
          <w:szCs w:val="18"/>
          <w:color w:val="auto"/>
        </w:rPr>
        <w:t>to non-U.S. holders subject to withholding of U.S. federal income tax, as described above under the heading “—Distributions,” will generally be exempt from U.S. backup withholding.</w:t>
      </w:r>
    </w:p>
    <w:p>
      <w:pPr>
        <w:spacing w:after="0" w:line="172" w:lineRule="exact"/>
        <w:rPr>
          <w:sz w:val="20"/>
          <w:szCs w:val="20"/>
          <w:color w:val="auto"/>
        </w:rPr>
      </w:pPr>
    </w:p>
    <w:p>
      <w:pPr>
        <w:ind w:left="120" w:right="760" w:firstLine="551"/>
        <w:spacing w:after="0" w:line="259"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our common stock by a non-U.S. holder effected by or through the U.S. office of any broker, U.S. or non-U.S., unless the holder certifies its status as</w:t>
      </w:r>
    </w:p>
    <w:p>
      <w:pPr>
        <w:spacing w:after="0" w:line="1" w:lineRule="exact"/>
        <w:rPr>
          <w:sz w:val="20"/>
          <w:szCs w:val="20"/>
          <w:color w:val="auto"/>
        </w:rPr>
      </w:pPr>
    </w:p>
    <w:p>
      <w:pPr>
        <w:jc w:val="both"/>
        <w:ind w:left="120" w:right="140"/>
        <w:spacing w:after="0" w:line="234" w:lineRule="auto"/>
        <w:rPr>
          <w:sz w:val="20"/>
          <w:szCs w:val="20"/>
          <w:color w:val="auto"/>
        </w:rPr>
      </w:pPr>
      <w:r>
        <w:rPr>
          <w:rFonts w:ascii="Arial" w:cs="Arial" w:eastAsia="Arial" w:hAnsi="Arial"/>
          <w:sz w:val="18"/>
          <w:szCs w:val="18"/>
          <w:color w:val="auto"/>
        </w:rPr>
        <w:t>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w:t>
      </w:r>
    </w:p>
    <w:p>
      <w:pPr>
        <w:spacing w:after="0" w:line="2" w:lineRule="exact"/>
        <w:rPr>
          <w:sz w:val="20"/>
          <w:szCs w:val="20"/>
          <w:color w:val="auto"/>
        </w:rPr>
      </w:pPr>
    </w:p>
    <w:p>
      <w:pPr>
        <w:ind w:left="120" w:right="360"/>
        <w:spacing w:after="0" w:line="242" w:lineRule="auto"/>
        <w:rPr>
          <w:sz w:val="20"/>
          <w:szCs w:val="20"/>
          <w:color w:val="auto"/>
        </w:rPr>
      </w:pPr>
      <w:r>
        <w:rPr>
          <w:rFonts w:ascii="Arial" w:cs="Arial" w:eastAsia="Arial" w:hAnsi="Arial"/>
          <w:sz w:val="18"/>
          <w:szCs w:val="18"/>
          <w:color w:val="auto"/>
        </w:rPr>
        <w:t>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79"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w:t>
      </w:r>
    </w:p>
    <w:p>
      <w:pPr>
        <w:spacing w:after="0" w:line="14" w:lineRule="exact"/>
        <w:rPr>
          <w:sz w:val="20"/>
          <w:szCs w:val="20"/>
          <w:color w:val="auto"/>
        </w:rPr>
      </w:pPr>
    </w:p>
    <w:p>
      <w:pPr>
        <w:ind w:left="120" w:right="520"/>
        <w:spacing w:after="0" w:line="250" w:lineRule="auto"/>
        <w:rPr>
          <w:sz w:val="20"/>
          <w:szCs w:val="20"/>
          <w:color w:val="auto"/>
        </w:rPr>
      </w:pPr>
      <w:r>
        <w:rPr>
          <w:rFonts w:ascii="Arial" w:cs="Arial" w:eastAsia="Arial" w:hAnsi="Arial"/>
          <w:sz w:val="18"/>
          <w:szCs w:val="18"/>
          <w:color w:val="auto"/>
        </w:rPr>
        <w:t>a non-U.S. holder can be refunded or credited against the non-U.S. holder’s U.S. federal income tax liability, if any, provided that an appropriate claim is timely filed with the IRS.</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FATCA</w:t>
      </w:r>
    </w:p>
    <w:p>
      <w:pPr>
        <w:spacing w:after="0" w:line="212" w:lineRule="exact"/>
        <w:rPr>
          <w:sz w:val="20"/>
          <w:szCs w:val="20"/>
          <w:color w:val="auto"/>
        </w:rPr>
      </w:pPr>
    </w:p>
    <w:p>
      <w:pPr>
        <w:ind w:left="120" w:right="260" w:firstLine="551"/>
        <w:spacing w:after="0" w:line="244" w:lineRule="auto"/>
        <w:rPr>
          <w:sz w:val="20"/>
          <w:szCs w:val="20"/>
          <w:color w:val="auto"/>
        </w:rPr>
      </w:pPr>
      <w:r>
        <w:rPr>
          <w:rFonts w:ascii="Arial" w:cs="Arial" w:eastAsia="Arial" w:hAnsi="Arial"/>
          <w:sz w:val="18"/>
          <w:szCs w:val="18"/>
          <w:color w:val="auto"/>
        </w:rPr>
        <w:t>Provisions of the Code commonly referred to as the Foreign Account Tax Compliance Act, or FATCA, generally impose a 30% withholding tax on dividends on, and gross proceeds from the sale or other disposition of, our common stock if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if any, or (iii) the foreign entity is otherwise exempt under FATCA.</w:t>
      </w:r>
    </w:p>
    <w:p>
      <w:pPr>
        <w:spacing w:after="0" w:line="176"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Withholding under FATCA generally applies to payments of dividends on our common stock. While withholding under FATCA may also apply to payments of gross proceeds from a sale or other</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disposition of our common stock, under proposed U.S. Treasury Regulations, withholding on payments of gross proceeds is not required. Although such proposed regulations are not final, applicable withholding agents may rely on the proposed regulations until final regulations are issued.</w:t>
      </w:r>
    </w:p>
    <w:p>
      <w:pPr>
        <w:spacing w:after="0" w:line="169"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and the entities through which they hold our common stock.</w:t>
      </w:r>
    </w:p>
    <w:p>
      <w:pPr>
        <w:spacing w:after="0" w:line="176" w:lineRule="exact"/>
        <w:rPr>
          <w:sz w:val="20"/>
          <w:szCs w:val="20"/>
          <w:color w:val="auto"/>
        </w:rPr>
      </w:pPr>
    </w:p>
    <w:p>
      <w:pPr>
        <w:ind w:left="120" w:right="100" w:firstLine="551"/>
        <w:spacing w:after="0" w:line="250" w:lineRule="auto"/>
        <w:rPr>
          <w:sz w:val="20"/>
          <w:szCs w:val="20"/>
          <w:color w:val="auto"/>
        </w:rPr>
      </w:pPr>
      <w:r>
        <w:rPr>
          <w:rFonts w:ascii="Arial" w:cs="Arial" w:eastAsia="Arial" w:hAnsi="Arial"/>
          <w:sz w:val="18"/>
          <w:szCs w:val="18"/>
          <w:b w:val="1"/>
          <w:bCs w:val="1"/>
          <w:color w:val="auto"/>
        </w:rPr>
        <w:t>The preceding discussion of material U.S. federal tax considerations is for information only. It is not, and is not intended to be, legal or tax advice. Prospective investors should consult their own tax advisors regarding the particular U.S. federal, state, local, estate and non-U.S. income and other tax consequences of acquiring, holding and disposing of our common stock, including the consequences of any proposed changes in applicable laws.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certain conditions, each underwriter has severally agreed to purchase the number of shares indicated in the following table.</w:t>
      </w:r>
    </w:p>
    <w:p>
      <w:pPr>
        <w:ind w:left="120"/>
        <w:spacing w:after="0"/>
        <w:rPr>
          <w:sz w:val="20"/>
          <w:szCs w:val="20"/>
          <w:color w:val="auto"/>
        </w:rPr>
      </w:pPr>
      <w:r>
        <w:rPr>
          <w:rFonts w:ascii="Arial" w:cs="Arial" w:eastAsia="Arial" w:hAnsi="Arial"/>
          <w:sz w:val="18"/>
          <w:szCs w:val="18"/>
          <w:color w:val="auto"/>
        </w:rPr>
        <w:t>Goldman Sachs &amp; Co. LLC and SVB Securities LLC are the representatives of the underwriters.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72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Number of Shares</w:t>
            </w: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88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0"/>
        </w:trPr>
        <w:tc>
          <w:tcPr>
            <w:tcW w:w="9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Goldman Sachs &amp; Co. LLC</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4,028,133</w:t>
            </w:r>
          </w:p>
        </w:tc>
        <w:tc>
          <w:tcPr>
            <w:tcW w:w="60" w:type="dxa"/>
            <w:vAlign w:val="bottom"/>
            <w:shd w:val="clear" w:color="auto" w:fill="CCEEFF"/>
          </w:tcPr>
          <w:p>
            <w:pPr>
              <w:spacing w:after="0"/>
              <w:rPr>
                <w:sz w:val="16"/>
                <w:szCs w:val="16"/>
                <w:color w:val="auto"/>
              </w:rPr>
            </w:pPr>
          </w:p>
        </w:tc>
      </w:tr>
      <w:tr>
        <w:trPr>
          <w:trHeight w:val="203"/>
        </w:trPr>
        <w:tc>
          <w:tcPr>
            <w:tcW w:w="9720" w:type="dxa"/>
            <w:vAlign w:val="bottom"/>
            <w:gridSpan w:val="2"/>
          </w:tcPr>
          <w:p>
            <w:pPr>
              <w:spacing w:after="0" w:line="202" w:lineRule="exact"/>
              <w:rPr>
                <w:sz w:val="20"/>
                <w:szCs w:val="20"/>
                <w:color w:val="auto"/>
              </w:rPr>
            </w:pPr>
            <w:r>
              <w:rPr>
                <w:rFonts w:ascii="Arial" w:cs="Arial" w:eastAsia="Arial" w:hAnsi="Arial"/>
                <w:sz w:val="18"/>
                <w:szCs w:val="18"/>
                <w:color w:val="auto"/>
              </w:rPr>
              <w:t>SVB Securities LLC</w:t>
            </w: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3,021,099</w:t>
            </w:r>
          </w:p>
        </w:tc>
      </w:tr>
      <w:tr>
        <w:trPr>
          <w:trHeight w:val="203"/>
        </w:trPr>
        <w:tc>
          <w:tcPr>
            <w:tcW w:w="9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Stifel, Nicolaus &amp; Company, Incorporated</w:t>
            </w:r>
          </w:p>
        </w:tc>
        <w:tc>
          <w:tcPr>
            <w:tcW w:w="1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2,062,020</w:t>
            </w:r>
          </w:p>
        </w:tc>
      </w:tr>
      <w:tr>
        <w:trPr>
          <w:trHeight w:val="209"/>
        </w:trPr>
        <w:tc>
          <w:tcPr>
            <w:tcW w:w="9720" w:type="dxa"/>
            <w:vAlign w:val="bottom"/>
            <w:gridSpan w:val="2"/>
          </w:tcPr>
          <w:p>
            <w:pPr>
              <w:spacing w:after="0" w:line="202" w:lineRule="exact"/>
              <w:rPr>
                <w:sz w:val="20"/>
                <w:szCs w:val="20"/>
                <w:color w:val="auto"/>
              </w:rPr>
            </w:pPr>
            <w:r>
              <w:rPr>
                <w:rFonts w:ascii="Arial" w:cs="Arial" w:eastAsia="Arial" w:hAnsi="Arial"/>
                <w:sz w:val="18"/>
                <w:szCs w:val="18"/>
                <w:color w:val="auto"/>
              </w:rPr>
              <w:t>Oppenheimer &amp; Co. Inc.</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479,540</w:t>
            </w:r>
          </w:p>
        </w:tc>
        <w:tc>
          <w:tcPr>
            <w:tcW w:w="60" w:type="dxa"/>
            <w:vAlign w:val="bottom"/>
          </w:tcPr>
          <w:p>
            <w:pPr>
              <w:spacing w:after="0"/>
              <w:rPr>
                <w:sz w:val="18"/>
                <w:szCs w:val="18"/>
                <w:color w:val="auto"/>
              </w:rPr>
            </w:pPr>
          </w:p>
        </w:tc>
      </w:tr>
      <w:tr>
        <w:trPr>
          <w:trHeight w:val="203"/>
        </w:trPr>
        <w:tc>
          <w:tcPr>
            <w:tcW w:w="9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9,590,792</w:t>
            </w:r>
          </w:p>
        </w:tc>
      </w:tr>
      <w:tr>
        <w:trPr>
          <w:trHeight w:val="20"/>
        </w:trPr>
        <w:tc>
          <w:tcPr>
            <w:tcW w:w="88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54" w:lineRule="exact"/>
        <w:rPr>
          <w:sz w:val="20"/>
          <w:szCs w:val="20"/>
          <w:color w:val="auto"/>
        </w:rPr>
      </w:pPr>
    </w:p>
    <w:p>
      <w:pPr>
        <w:ind w:left="120" w:right="260" w:firstLine="551"/>
        <w:spacing w:after="0" w:line="253" w:lineRule="auto"/>
        <w:rPr>
          <w:sz w:val="20"/>
          <w:szCs w:val="20"/>
          <w:color w:val="auto"/>
        </w:rPr>
      </w:pPr>
      <w:r>
        <w:rPr>
          <w:rFonts w:ascii="Arial" w:cs="Arial" w:eastAsia="Arial" w:hAnsi="Arial"/>
          <w:sz w:val="18"/>
          <w:szCs w:val="18"/>
          <w:color w:val="auto"/>
        </w:rPr>
        <w:t>The underwriters have an option to buy up to an additional 1,438,618 shares of common stock from us. They may exercise that option for 30 days. If any shares are purchased pursuant to this option, the underwriters will severally purchase shares in approximately the same proportion as set forth in the table above.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 additional shares.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Paid by Us</w:t>
            </w:r>
          </w:p>
        </w:tc>
        <w:tc>
          <w:tcPr>
            <w:tcW w:w="78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7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15"/>
                <w:szCs w:val="15"/>
                <w:color w:val="auto"/>
              </w:rPr>
            </w:pPr>
          </w:p>
        </w:tc>
        <w:tc>
          <w:tcPr>
            <w:tcW w:w="1120" w:type="dxa"/>
            <w:vAlign w:val="bottom"/>
            <w:gridSpan w:val="3"/>
          </w:tcPr>
          <w:p>
            <w:pPr>
              <w:jc w:val="right"/>
              <w:ind w:right="160"/>
              <w:spacing w:after="0" w:line="158" w:lineRule="exact"/>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190"/>
        </w:trPr>
        <w:tc>
          <w:tcPr>
            <w:tcW w:w="8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Per Share</w:t>
            </w: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0.4692</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0.4692</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4,500,000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5,174,999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estimate that our total expenses of the offering, excluding underwriting discounts and commissions, will be approximately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$220,000. We have agreed to reimburse the underwriters for expenses relating to the clearance of this offering with the Financial Industry</w:t>
      </w:r>
    </w:p>
    <w:p>
      <w:pPr>
        <w:ind w:left="120"/>
        <w:spacing w:after="0"/>
        <w:rPr>
          <w:sz w:val="20"/>
          <w:szCs w:val="20"/>
          <w:color w:val="auto"/>
        </w:rPr>
      </w:pPr>
      <w:r>
        <w:rPr>
          <w:rFonts w:ascii="Arial" w:cs="Arial" w:eastAsia="Arial" w:hAnsi="Arial"/>
          <w:sz w:val="18"/>
          <w:szCs w:val="18"/>
          <w:color w:val="auto"/>
        </w:rPr>
        <w:t>Regulatory Authority, Inc.</w:t>
      </w:r>
    </w:p>
    <w:p>
      <w:pPr>
        <w:spacing w:after="0" w:line="194"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 prospectus supplement. Any shares sold by the underwriters to securities dealers may be sold at a discount of up to $0.28152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6"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We, our executive officers and our directors have agreed with the underwriters, subject to certain exceptions, not to dispose of or hedge any of our common stock or securities convertible into or exchangeable for shares of our common stock during the period from the date of this prospectus supplement continuing through the date 60 days, in our case, and 30 days, in the case of our executive officers and our directors, after the date of this prospectus supplement, except with the prior written consent of Goldman Sachs &amp; Co. LLC and SVB Securities LLC. This agreement does not apply to any existing employee benefit plans.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21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our common stock made by the underwriters in the open market prior to the completion of the offering.</w:t>
      </w:r>
    </w:p>
    <w:p>
      <w:pPr>
        <w:spacing w:after="0" w:line="189"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9"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79"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the Securities Act.</w:t>
      </w:r>
    </w:p>
    <w:p>
      <w:pPr>
        <w:spacing w:after="0" w:line="154"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76"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12"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In relation to each Member State of the European Economic Area (each a “Relevant Member State”), no common shares have been offered or will be offered pursuant to the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w:t>
      </w:r>
    </w:p>
    <w:p>
      <w:pPr>
        <w:spacing w:after="0" w:line="82"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17" w:lineRule="exact"/>
        <w:rPr>
          <w:rFonts w:ascii="Arial" w:cs="Arial" w:eastAsia="Arial" w:hAnsi="Arial"/>
          <w:sz w:val="18"/>
          <w:szCs w:val="18"/>
          <w:color w:val="auto"/>
        </w:rPr>
      </w:pPr>
    </w:p>
    <w:p>
      <w:pPr>
        <w:ind w:left="1300" w:right="540" w:hanging="644"/>
        <w:spacing w:after="0" w:line="271"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representatives for any such offer; or</w:t>
      </w:r>
    </w:p>
    <w:p>
      <w:pPr>
        <w:spacing w:after="0" w:line="5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right="180" w:firstLine="551"/>
        <w:spacing w:after="0" w:line="271" w:lineRule="auto"/>
        <w:rPr>
          <w:sz w:val="20"/>
          <w:szCs w:val="20"/>
          <w:color w:val="auto"/>
        </w:rPr>
      </w:pPr>
      <w:r>
        <w:rPr>
          <w:rFonts w:ascii="Arial" w:cs="Arial" w:eastAsia="Arial" w:hAnsi="Arial"/>
          <w:sz w:val="18"/>
          <w:szCs w:val="18"/>
          <w:color w:val="auto"/>
        </w:rPr>
        <w:t>provided that no such offer of shares shall require us or any of the representatives to publish a prospectus pursuant to Article 3 of the Prospectus Regulation or supplement a prospectus pursuant to Article 23 of the Prospectus Regulation.</w:t>
      </w:r>
    </w:p>
    <w:p>
      <w:pPr>
        <w:spacing w:after="0" w:line="154"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“Prospectus Regulation” means Regulation (EU) 2017/1129.</w:t>
      </w:r>
    </w:p>
    <w:p>
      <w:pPr>
        <w:spacing w:after="0" w:line="174" w:lineRule="exact"/>
        <w:rPr>
          <w:sz w:val="20"/>
          <w:szCs w:val="20"/>
          <w:color w:val="auto"/>
        </w:rPr>
      </w:pPr>
    </w:p>
    <w:p>
      <w:pPr>
        <w:jc w:val="both"/>
        <w:ind w:left="120" w:right="240" w:firstLine="551"/>
        <w:spacing w:after="0" w:line="253"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w:t>
      </w:r>
    </w:p>
    <w:p>
      <w:pPr>
        <w:spacing w:after="0" w:line="169" w:lineRule="exact"/>
        <w:rPr>
          <w:sz w:val="20"/>
          <w:szCs w:val="20"/>
          <w:color w:val="auto"/>
        </w:rPr>
      </w:pPr>
    </w:p>
    <w:p>
      <w:pPr>
        <w:ind w:left="880" w:hanging="213"/>
        <w:spacing w:after="0"/>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Prospectus Regulation; and</w:t>
      </w:r>
    </w:p>
    <w:p>
      <w:pPr>
        <w:spacing w:after="0" w:line="211" w:lineRule="exact"/>
        <w:rPr>
          <w:rFonts w:ascii="Arial" w:cs="Arial" w:eastAsia="Arial" w:hAnsi="Arial"/>
          <w:sz w:val="18"/>
          <w:szCs w:val="18"/>
          <w:color w:val="auto"/>
        </w:rPr>
      </w:pPr>
    </w:p>
    <w:p>
      <w:pPr>
        <w:ind w:left="880" w:hanging="213"/>
        <w:spacing w:after="0"/>
        <w:tabs>
          <w:tab w:leader="none" w:pos="8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 the case of any Shares acquired by it as a financial intermediary, as that term is used in Article 5 of the Prospectus Regulation,</w:t>
      </w:r>
    </w:p>
    <w:p>
      <w:pPr>
        <w:spacing w:after="0" w:line="25" w:lineRule="exact"/>
        <w:rPr>
          <w:rFonts w:ascii="Arial" w:cs="Arial" w:eastAsia="Arial" w:hAnsi="Arial"/>
          <w:sz w:val="17"/>
          <w:szCs w:val="17"/>
          <w:color w:val="auto"/>
        </w:rPr>
      </w:pPr>
    </w:p>
    <w:p>
      <w:pPr>
        <w:ind w:left="120" w:right="100" w:hanging="4"/>
        <w:spacing w:after="0" w:line="238" w:lineRule="auto"/>
        <w:tabs>
          <w:tab w:leader="none" w:pos="3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shares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representatives has been given to the offer or resale; or (ii) where the Shares have been acquired by it on behalf of persons in any Relevant Member State other than qualified investors, the offer of those Shares to it is not treated under the Prospectus Regulation as having been made to such persons.</w:t>
      </w:r>
    </w:p>
    <w:p>
      <w:pPr>
        <w:spacing w:after="0" w:line="181" w:lineRule="exact"/>
        <w:rPr>
          <w:sz w:val="20"/>
          <w:szCs w:val="20"/>
          <w:color w:val="auto"/>
        </w:rPr>
      </w:pPr>
    </w:p>
    <w:p>
      <w:pPr>
        <w:ind w:left="120" w:right="920" w:firstLine="551"/>
        <w:spacing w:after="0" w:line="271" w:lineRule="auto"/>
        <w:rPr>
          <w:sz w:val="20"/>
          <w:szCs w:val="20"/>
          <w:color w:val="auto"/>
        </w:rPr>
      </w:pPr>
      <w:r>
        <w:rPr>
          <w:rFonts w:ascii="Arial" w:cs="Arial" w:eastAsia="Arial" w:hAnsi="Arial"/>
          <w:sz w:val="18"/>
          <w:szCs w:val="18"/>
          <w:color w:val="auto"/>
        </w:rPr>
        <w:t>We, the underwriters and their affiliates, and others will rely upon the truth and accuracy of the foregoing representation, acknowledgement and agreement. Notwithstanding the above, a person who</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is not a qualified investor and who has notified the representatives of such fact in writing may, with the prior consent of the representatives, be permitted to acquire shares in the offering.</w:t>
      </w: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12"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This prospectus supplement and any other material in relation to the common shares described herein is only being distributed to, and is only directed at, and any investment or investment activity to which this prospectus supplement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United Kingdom to, and any invitation, offer or agreement to purchase or otherwise acquire the shares will be engaged in only with, the Relevant Persons. This prospectus supplement and its contents are confidential and should not be distributed, published or reproduced (in whole or in part) or disclosed by recipients to any other person in the United Kingdom. Any person in the United Kingdom that is not a Relevant Person should not act or rely on this prospectus supplement or any of its contents.</w:t>
      </w:r>
    </w:p>
    <w:p>
      <w:pPr>
        <w:spacing w:after="0" w:line="186" w:lineRule="exact"/>
        <w:rPr>
          <w:sz w:val="20"/>
          <w:szCs w:val="20"/>
          <w:color w:val="auto"/>
        </w:rPr>
      </w:pPr>
    </w:p>
    <w:p>
      <w:pPr>
        <w:jc w:val="both"/>
        <w:ind w:left="120" w:right="20" w:firstLine="551"/>
        <w:spacing w:after="0" w:line="253"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74"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17" w:lineRule="exact"/>
        <w:rPr>
          <w:rFonts w:ascii="Arial" w:cs="Arial" w:eastAsia="Arial" w:hAnsi="Arial"/>
          <w:sz w:val="18"/>
          <w:szCs w:val="18"/>
          <w:color w:val="auto"/>
        </w:rPr>
      </w:pPr>
    </w:p>
    <w:p>
      <w:pPr>
        <w:ind w:left="1300" w:right="240" w:hanging="644"/>
        <w:spacing w:after="0" w:line="271"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representatives for any such offer; or</w:t>
      </w:r>
    </w:p>
    <w:p>
      <w:pPr>
        <w:spacing w:after="0" w:line="5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12"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color w:val="auto"/>
        </w:rPr>
        <w:t>provided that no such offer of the shares shall require us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79" w:lineRule="exact"/>
        <w:rPr>
          <w:sz w:val="20"/>
          <w:szCs w:val="20"/>
          <w:color w:val="auto"/>
        </w:rPr>
      </w:pPr>
    </w:p>
    <w:p>
      <w:pPr>
        <w:ind w:left="120" w:right="40" w:firstLine="551"/>
        <w:spacing w:after="0" w:line="301" w:lineRule="auto"/>
        <w:rPr>
          <w:sz w:val="20"/>
          <w:szCs w:val="20"/>
          <w:color w:val="auto"/>
        </w:rPr>
      </w:pPr>
      <w:r>
        <w:rPr>
          <w:rFonts w:ascii="Arial" w:cs="Arial" w:eastAsia="Arial" w:hAnsi="Arial"/>
          <w:sz w:val="17"/>
          <w:szCs w:val="17"/>
          <w:color w:val="auto"/>
        </w:rPr>
        <w:t>Each person in the United Kingdom who acquires any shares in the offering or to whom any offer is made will be deemed to have represented, acknowledged and agreed to and with us, the underwriters and their affiliates that it meets the criteria outlined in this section.</w:t>
      </w: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12"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69"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6" w:lineRule="exact"/>
        <w:rPr>
          <w:sz w:val="20"/>
          <w:szCs w:val="20"/>
          <w:color w:val="auto"/>
        </w:rPr>
      </w:pPr>
    </w:p>
    <w:p>
      <w:pPr>
        <w:ind w:left="120" w:right="380" w:firstLine="551"/>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1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12"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0"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w:t>
      </w:r>
    </w:p>
    <w:p>
      <w:pPr>
        <w:spacing w:after="0" w:line="4" w:lineRule="exact"/>
        <w:rPr>
          <w:sz w:val="20"/>
          <w:szCs w:val="20"/>
          <w:color w:val="auto"/>
        </w:rPr>
      </w:pPr>
    </w:p>
    <w:p>
      <w:pPr>
        <w:ind w:left="120" w:right="520" w:hanging="4"/>
        <w:spacing w:after="0" w:line="250" w:lineRule="auto"/>
        <w:tabs>
          <w:tab w:leader="none" w:pos="3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the transfer is by operation of law, (5) as specified in Section 276(7) of the SFA, or (6) as specified in Regulation 32 of the Securities and Futures (Offers of Investments) (Shares and Debentures) Regulations 2005 of Singapore (“Regulation 32”).</w:t>
      </w:r>
    </w:p>
    <w:p>
      <w:pPr>
        <w:spacing w:after="0" w:line="17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12"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12"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or the Corporations Act, in relation to our shares has been or will be lodged with the Australian Securities &amp; Investments Commission ( the “ASIC”). This document has not been lodged with ASIC and is only directed to certain categories of exempt persons. Accordingly, if you receive this document in Australia:</w:t>
      </w:r>
    </w:p>
    <w:p>
      <w:pPr>
        <w:spacing w:after="0" w:line="79"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17" w:lineRule="exact"/>
        <w:rPr>
          <w:rFonts w:ascii="Arial" w:cs="Arial" w:eastAsia="Arial" w:hAnsi="Arial"/>
          <w:sz w:val="18"/>
          <w:szCs w:val="18"/>
          <w:color w:val="auto"/>
        </w:rPr>
      </w:pPr>
    </w:p>
    <w:p>
      <w:pPr>
        <w:ind w:left="1860" w:right="120" w:hanging="543"/>
        <w:spacing w:after="0" w:line="253" w:lineRule="auto"/>
        <w:tabs>
          <w:tab w:leader="none" w:pos="1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74" w:lineRule="exact"/>
        <w:rPr>
          <w:rFonts w:ascii="Arial" w:cs="Arial" w:eastAsia="Arial" w:hAnsi="Arial"/>
          <w:sz w:val="18"/>
          <w:szCs w:val="18"/>
          <w:color w:val="auto"/>
        </w:rPr>
      </w:pPr>
    </w:p>
    <w:p>
      <w:pPr>
        <w:ind w:left="1860" w:hanging="543"/>
        <w:spacing w:after="0"/>
        <w:tabs>
          <w:tab w:leader="none" w:pos="1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person associated with us under section 708(12) of the Corporations Act; or</w:t>
      </w:r>
    </w:p>
    <w:p>
      <w:pPr>
        <w:spacing w:after="0" w:line="117" w:lineRule="exact"/>
        <w:rPr>
          <w:rFonts w:ascii="Arial" w:cs="Arial" w:eastAsia="Arial" w:hAnsi="Arial"/>
          <w:sz w:val="18"/>
          <w:szCs w:val="18"/>
          <w:color w:val="auto"/>
        </w:rPr>
      </w:pPr>
    </w:p>
    <w:p>
      <w:pPr>
        <w:ind w:left="1860" w:right="240" w:hanging="543"/>
        <w:spacing w:after="0" w:line="271" w:lineRule="auto"/>
        <w:tabs>
          <w:tab w:leader="none" w:pos="1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880" w:right="240"/>
        <w:spacing w:after="0" w:line="271" w:lineRule="auto"/>
        <w:rPr>
          <w:sz w:val="20"/>
          <w:szCs w:val="20"/>
          <w:color w:val="auto"/>
        </w:rPr>
      </w:pPr>
      <w:r>
        <w:rPr>
          <w:rFonts w:ascii="Arial" w:cs="Arial" w:eastAsia="Arial" w:hAnsi="Arial"/>
          <w:sz w:val="18"/>
          <w:szCs w:val="18"/>
          <w:color w:val="auto"/>
        </w:rPr>
        <w:t>are an exempt sophisticated investor, associated person or professional investor under the Corporations Act, any offer made to you under this document is void and incapable of acceptance; and</w:t>
      </w:r>
    </w:p>
    <w:p>
      <w:pPr>
        <w:spacing w:after="0" w:line="59" w:lineRule="exact"/>
        <w:rPr>
          <w:sz w:val="20"/>
          <w:szCs w:val="20"/>
          <w:color w:val="auto"/>
        </w:rPr>
      </w:pPr>
    </w:p>
    <w:p>
      <w:pPr>
        <w:ind w:left="1300" w:hanging="644"/>
        <w:spacing w:after="0" w:line="253"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our shares for resale in Australia within 12 months of that security being issued unless any such resale offer is exempt from the requirement to issue a disclosure document under section 708 of the Corporations Act.</w:t>
      </w: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212"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In the State of Israel this prospectus supplement shall not be regarded as an offer to the public to purchase shares of our common stock under the Israeli Securities Law, 5728 – 1968, or the Israeli Securities Law, which requires a prospectus to be published and authorized by the Israel Securities Authority if it complies with certain provisions of Section 15 of the Israeli Securities Law,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We have not and will not distribute this prospectus supplement or make, distribute or direct an offer to subscribe for our common stock to any person within the State of Israel, other than to Qualified Investors and up to 35 Addressed Investors.</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Qualified Investors may have to submit written evidence that they meet the definitions set out in of the First Addendum to the Israeli Securities Law. In particular, we may request, as a condition to be offered shares of our common stock, that Qualified Investors will each represent, warrant and certify to us and/or to anyone acting on our behalf: (i) that it is an investor falling within one of the categories listed in the First Addendum to the Israeli Securities Law; (ii) which of the categories listed in the First Addendum to the Israeli Securities Law regarding Qualified Investors is applicable to it; (iii) that it will abide by all provisions set forth in the Israeli Securities Law and the regulations promulgated thereunder in connection with the offer to be issued shares of our common stock; (iv) that the shares of our common stock and that it will be issued are subject to exemptions available under the Israeli Securities Law (a) for its own account, (b) for investment purposes only and (c) not issued with a view to resale within the State of Israel, other than in accordance with the provisions of the Israeli Securities Law;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12" w:lineRule="exact"/>
        <w:rPr>
          <w:sz w:val="20"/>
          <w:szCs w:val="20"/>
          <w:color w:val="auto"/>
        </w:rPr>
      </w:pPr>
    </w:p>
    <w:p>
      <w:pPr>
        <w:ind w:left="120" w:right="220" w:firstLine="551"/>
        <w:spacing w:after="0" w:line="253" w:lineRule="auto"/>
        <w:rPr>
          <w:sz w:val="20"/>
          <w:szCs w:val="20"/>
          <w:color w:val="auto"/>
        </w:rPr>
      </w:pPr>
      <w:r>
        <w:rPr>
          <w:rFonts w:ascii="Arial" w:cs="Arial" w:eastAsia="Arial" w:hAnsi="Arial"/>
          <w:sz w:val="18"/>
          <w:szCs w:val="18"/>
          <w:color w:val="auto"/>
        </w:rPr>
        <w:t>The validity of the shares of common stock offered hereby will be passed upon by Goodwin Procter LLP, Boston, Massachusetts. Mintz, Levin, Cohn, Ferris, Glovsky, and Popeo, P.C., New York, New York, is acting as counsel for the underwriters in connection with certain legal matters relating to this offering.</w:t>
      </w: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12" w:lineRule="exact"/>
        <w:rPr>
          <w:sz w:val="20"/>
          <w:szCs w:val="20"/>
          <w:color w:val="auto"/>
        </w:rPr>
      </w:pPr>
    </w:p>
    <w:p>
      <w:pPr>
        <w:ind w:left="120" w:firstLine="551"/>
        <w:spacing w:after="0" w:line="266" w:lineRule="auto"/>
        <w:rPr>
          <w:sz w:val="20"/>
          <w:szCs w:val="20"/>
          <w:color w:val="auto"/>
        </w:rPr>
      </w:pPr>
      <w:r>
        <w:rPr>
          <w:rFonts w:ascii="Arial" w:cs="Arial" w:eastAsia="Arial" w:hAnsi="Arial"/>
          <w:sz w:val="17"/>
          <w:szCs w:val="17"/>
          <w:color w:val="auto"/>
        </w:rPr>
        <w:t>The consolidated financial statements of Fulcrum Therapeutics, Inc. appearing in Fulcrum Therapeutics, Inc.’s Annual Report on Form 10-K for the year ended December 31, 2021,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7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2"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supplement and information contained on, or that can be accessed through our website, is not incorporated by reference in this prospectus supplement and the accompanying base prospectus.</w:t>
      </w:r>
    </w:p>
    <w:p>
      <w:pPr>
        <w:spacing w:after="0" w:line="176"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supplement and the accompanying base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12"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base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and the accompanying base prospectus.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(File No. 001-38978) and any future filings we make with the SEC under Sections 13(a), 13(c), 14 or 15(d) of the Exchange Act (in each case, other than those documents or the portions of those documents not deemed to be filed) until the offering of the securities offered hereby is terminated or completed:</w:t>
      </w:r>
    </w:p>
    <w:p>
      <w:pPr>
        <w:spacing w:after="0" w:line="85" w:lineRule="exact"/>
        <w:rPr>
          <w:sz w:val="20"/>
          <w:szCs w:val="20"/>
          <w:color w:val="auto"/>
        </w:rPr>
      </w:pPr>
    </w:p>
    <w:p>
      <w:pPr>
        <w:jc w:val="both"/>
        <w:ind w:left="880" w:hanging="224"/>
        <w:spacing w:after="0" w:line="25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5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2021 filed on March 3, 2022, including the information specifically incorporated by reference into our Annual Report on Form 10-K from our definitive proxy statement on </w:t>
      </w:r>
      <w:hyperlink r:id="rId54">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filed on April 28, 2022;</w:t>
      </w:r>
    </w:p>
    <w:p>
      <w:pPr>
        <w:spacing w:after="0" w:line="74" w:lineRule="exact"/>
        <w:rPr>
          <w:rFonts w:ascii="Arial" w:cs="Arial" w:eastAsia="Arial" w:hAnsi="Arial"/>
          <w:sz w:val="18"/>
          <w:szCs w:val="18"/>
          <w:color w:val="auto"/>
        </w:rPr>
      </w:pPr>
    </w:p>
    <w:p>
      <w:pPr>
        <w:ind w:left="880" w:right="880" w:hanging="224"/>
        <w:spacing w:after="0" w:line="271" w:lineRule="auto"/>
        <w:tabs>
          <w:tab w:leader="none" w:pos="880" w:val="left"/>
        </w:tabs>
        <w:numPr>
          <w:ilvl w:val="0"/>
          <w:numId w:val="21"/>
        </w:numPr>
        <w:rPr>
          <w:rFonts w:ascii="Arial" w:cs="Arial" w:eastAsia="Arial" w:hAnsi="Arial"/>
          <w:sz w:val="18"/>
          <w:szCs w:val="18"/>
          <w:color w:val="0000EE"/>
        </w:rPr>
      </w:pPr>
      <w:r>
        <w:rPr>
          <w:rFonts w:ascii="Arial" w:cs="Arial" w:eastAsia="Arial" w:hAnsi="Arial"/>
          <w:sz w:val="18"/>
          <w:szCs w:val="18"/>
          <w:color w:val="auto"/>
        </w:rPr>
        <w:t xml:space="preserve">Quarterly Reports on Form 10-Q for the quarters ended March 31, 2022 and June 30, 2022, filed on </w:t>
      </w:r>
      <w:hyperlink r:id="rId55">
        <w:r>
          <w:rPr>
            <w:rFonts w:ascii="Arial" w:cs="Arial" w:eastAsia="Arial" w:hAnsi="Arial"/>
            <w:sz w:val="18"/>
            <w:szCs w:val="18"/>
            <w:u w:val="single" w:color="auto"/>
            <w:color w:val="0000EE"/>
          </w:rPr>
          <w:t>May 9,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6">
        <w:r>
          <w:rPr>
            <w:rFonts w:ascii="Arial" w:cs="Arial" w:eastAsia="Arial" w:hAnsi="Arial"/>
            <w:sz w:val="18"/>
            <w:szCs w:val="18"/>
            <w:u w:val="single" w:color="auto"/>
            <w:color w:val="0000EE"/>
          </w:rPr>
          <w:t>August 11, 2022</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59" w:lineRule="exact"/>
        <w:rPr>
          <w:rFonts w:ascii="Arial" w:cs="Arial" w:eastAsia="Arial" w:hAnsi="Arial"/>
          <w:sz w:val="18"/>
          <w:szCs w:val="18"/>
          <w:color w:val="0000EE"/>
        </w:rPr>
      </w:pPr>
    </w:p>
    <w:p>
      <w:pPr>
        <w:ind w:left="880" w:hanging="224"/>
        <w:spacing w:after="0"/>
        <w:tabs>
          <w:tab w:leader="none" w:pos="880" w:val="left"/>
        </w:tabs>
        <w:numPr>
          <w:ilvl w:val="0"/>
          <w:numId w:val="21"/>
        </w:numPr>
        <w:rPr>
          <w:rFonts w:ascii="Arial" w:cs="Arial" w:eastAsia="Arial" w:hAnsi="Arial"/>
          <w:sz w:val="18"/>
          <w:szCs w:val="18"/>
          <w:color w:val="auto"/>
        </w:rPr>
      </w:pPr>
      <w:hyperlink r:id="rId57">
        <w:r>
          <w:rPr>
            <w:rFonts w:ascii="Arial" w:cs="Arial" w:eastAsia="Arial" w:hAnsi="Arial"/>
            <w:sz w:val="18"/>
            <w:szCs w:val="18"/>
            <w:color w:val="auto"/>
          </w:rPr>
          <w:t xml:space="preserve">Current Reports on Form 8-K filed on </w:t>
        </w:r>
        <w:r>
          <w:rPr>
            <w:rFonts w:ascii="Arial" w:cs="Arial" w:eastAsia="Arial" w:hAnsi="Arial"/>
            <w:sz w:val="18"/>
            <w:szCs w:val="18"/>
            <w:u w:val="single" w:color="auto"/>
            <w:color w:val="0000EE"/>
          </w:rPr>
          <w:t>January 4, 2022</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10, 2022</w:t>
        </w:r>
        <w:r>
          <w:rPr>
            <w:rFonts w:ascii="Arial" w:cs="Arial" w:eastAsia="Arial" w:hAnsi="Arial"/>
            <w:sz w:val="18"/>
            <w:szCs w:val="18"/>
            <w:color w:val="auto"/>
          </w:rPr>
          <w:t xml:space="preserve"> (other than Item 2.02 and Item 9.01), </w:t>
        </w:r>
        <w:r>
          <w:rPr>
            <w:rFonts w:ascii="Arial" w:cs="Arial" w:eastAsia="Arial" w:hAnsi="Arial"/>
            <w:sz w:val="18"/>
            <w:szCs w:val="18"/>
            <w:u w:val="single" w:color="auto"/>
            <w:color w:val="0000EE"/>
          </w:rPr>
          <w:t>March 10,</w:t>
        </w:r>
      </w:hyperlink>
    </w:p>
    <w:p>
      <w:pPr>
        <w:spacing w:after="0" w:line="13" w:lineRule="exact"/>
        <w:rPr>
          <w:rFonts w:ascii="Arial" w:cs="Arial" w:eastAsia="Arial" w:hAnsi="Arial"/>
          <w:sz w:val="18"/>
          <w:szCs w:val="18"/>
          <w:color w:val="auto"/>
        </w:rPr>
      </w:pPr>
    </w:p>
    <w:p>
      <w:pPr>
        <w:ind w:left="880" w:right="220"/>
        <w:spacing w:after="0" w:line="250" w:lineRule="auto"/>
        <w:rPr>
          <w:rFonts w:ascii="Arial" w:cs="Arial" w:eastAsia="Arial" w:hAnsi="Arial"/>
          <w:sz w:val="18"/>
          <w:szCs w:val="18"/>
          <w:color w:val="000000"/>
        </w:rPr>
      </w:pPr>
      <w:hyperlink r:id="rId57">
        <w:r>
          <w:rPr>
            <w:rFonts w:ascii="Arial" w:cs="Arial" w:eastAsia="Arial" w:hAnsi="Arial"/>
            <w:sz w:val="18"/>
            <w:szCs w:val="18"/>
            <w:u w:val="single" w:color="auto"/>
            <w:color w:val="0000EE"/>
          </w:rPr>
          <w:t>2022</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8">
        <w:r>
          <w:rPr>
            <w:rFonts w:ascii="Arial" w:cs="Arial" w:eastAsia="Arial" w:hAnsi="Arial"/>
            <w:sz w:val="18"/>
            <w:szCs w:val="18"/>
            <w:u w:val="single" w:color="auto"/>
            <w:color w:val="0000EE"/>
          </w:rPr>
          <w:t>May 10, 2022</w:t>
        </w:r>
      </w:hyperlink>
      <w:hyperlink r:id="rId5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9">
        <w:r>
          <w:rPr>
            <w:rFonts w:ascii="Arial" w:cs="Arial" w:eastAsia="Arial" w:hAnsi="Arial"/>
            <w:sz w:val="18"/>
            <w:szCs w:val="18"/>
            <w:u w:val="single" w:color="auto"/>
            <w:color w:val="0000EE"/>
          </w:rPr>
          <w:t>June 6, 2022</w:t>
        </w:r>
      </w:hyperlink>
      <w:hyperlink r:id="rId5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0">
        <w:r>
          <w:rPr>
            <w:rFonts w:ascii="Arial" w:cs="Arial" w:eastAsia="Arial" w:hAnsi="Arial"/>
            <w:sz w:val="18"/>
            <w:szCs w:val="18"/>
            <w:u w:val="single" w:color="auto"/>
            <w:color w:val="0000EE"/>
          </w:rPr>
          <w:t>June 9, 2022</w:t>
        </w:r>
      </w:hyperlink>
      <w:hyperlink r:id="rId5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1">
        <w:r>
          <w:rPr>
            <w:rFonts w:ascii="Arial" w:cs="Arial" w:eastAsia="Arial" w:hAnsi="Arial"/>
            <w:sz w:val="18"/>
            <w:szCs w:val="18"/>
            <w:u w:val="single" w:color="auto"/>
            <w:color w:val="0000EE"/>
          </w:rPr>
          <w:t>June 10, 2022</w:t>
        </w:r>
      </w:hyperlink>
      <w:hyperlink r:id="rId5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2">
        <w:r>
          <w:rPr>
            <w:rFonts w:ascii="Arial" w:cs="Arial" w:eastAsia="Arial" w:hAnsi="Arial"/>
            <w:sz w:val="18"/>
            <w:szCs w:val="18"/>
            <w:u w:val="single" w:color="auto"/>
            <w:color w:val="0000EE"/>
          </w:rPr>
          <w:t>July 11, 2022</w:t>
        </w:r>
      </w:hyperlink>
      <w:hyperlink r:id="rId5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3">
        <w:r>
          <w:rPr>
            <w:rFonts w:ascii="Arial" w:cs="Arial" w:eastAsia="Arial" w:hAnsi="Arial"/>
            <w:sz w:val="18"/>
            <w:szCs w:val="18"/>
            <w:u w:val="single" w:color="auto"/>
            <w:color w:val="0000EE"/>
          </w:rPr>
          <w:t xml:space="preserve">August 11, 2022 </w:t>
        </w:r>
      </w:hyperlink>
      <w:hyperlink r:id="rId57">
        <w:r>
          <w:rPr>
            <w:rFonts w:ascii="Arial" w:cs="Arial" w:eastAsia="Arial" w:hAnsi="Arial"/>
            <w:sz w:val="18"/>
            <w:szCs w:val="18"/>
            <w:color w:val="000000"/>
          </w:rPr>
          <w:t xml:space="preserve">(other than Item 2.02 </w:t>
        </w:r>
      </w:hyperlink>
      <w:r>
        <w:rPr>
          <w:rFonts w:ascii="Arial" w:cs="Arial" w:eastAsia="Arial" w:hAnsi="Arial"/>
          <w:sz w:val="18"/>
          <w:szCs w:val="18"/>
          <w:color w:val="0000EE"/>
        </w:rPr>
        <w:t xml:space="preserve">and </w:t>
      </w:r>
      <w:r>
        <w:rPr>
          <w:rFonts w:ascii="Arial" w:cs="Arial" w:eastAsia="Arial" w:hAnsi="Arial"/>
          <w:sz w:val="18"/>
          <w:szCs w:val="18"/>
          <w:color w:val="000000"/>
        </w:rPr>
        <w:t xml:space="preserve">9.01) and </w:t>
      </w:r>
      <w:hyperlink r:id="rId64">
        <w:r>
          <w:rPr>
            <w:rFonts w:ascii="Arial" w:cs="Arial" w:eastAsia="Arial" w:hAnsi="Arial"/>
            <w:sz w:val="18"/>
            <w:szCs w:val="18"/>
            <w:u w:val="single" w:color="auto"/>
            <w:color w:val="0000EE"/>
          </w:rPr>
          <w:t>August 11, 2022</w:t>
        </w:r>
      </w:hyperlink>
      <w:r>
        <w:rPr>
          <w:rFonts w:ascii="Arial" w:cs="Arial" w:eastAsia="Arial" w:hAnsi="Arial"/>
          <w:sz w:val="18"/>
          <w:szCs w:val="18"/>
          <w:color w:val="000000"/>
        </w:rPr>
        <w:t>; and</w:t>
      </w:r>
    </w:p>
    <w:p>
      <w:pPr>
        <w:spacing w:after="0" w:line="77" w:lineRule="exact"/>
        <w:rPr>
          <w:rFonts w:ascii="Arial" w:cs="Arial" w:eastAsia="Arial" w:hAnsi="Arial"/>
          <w:sz w:val="18"/>
          <w:szCs w:val="18"/>
          <w:color w:val="000000"/>
        </w:rPr>
      </w:pPr>
    </w:p>
    <w:p>
      <w:pPr>
        <w:ind w:left="880" w:hanging="224"/>
        <w:spacing w:after="0" w:line="25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65">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on July 12, 2019, as updated and superseded by the description of our capital stock contained in </w:t>
      </w:r>
      <w:hyperlink r:id="rId66">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fiscal year ended December 31, 2020, and including any amendments and reports filed for the purpose of updating such description.</w:t>
      </w:r>
    </w:p>
    <w:p>
      <w:pPr>
        <w:spacing w:after="0" w:line="169" w:lineRule="exact"/>
        <w:rPr>
          <w:rFonts w:ascii="Arial" w:cs="Arial" w:eastAsia="Arial" w:hAnsi="Arial"/>
          <w:sz w:val="18"/>
          <w:szCs w:val="18"/>
          <w:color w:val="auto"/>
        </w:rPr>
      </w:pPr>
    </w:p>
    <w:p>
      <w:pPr>
        <w:jc w:val="center"/>
        <w:ind w:right="220"/>
        <w:spacing w:after="0"/>
        <w:rPr>
          <w:sz w:val="20"/>
          <w:szCs w:val="20"/>
          <w:color w:val="auto"/>
        </w:rPr>
      </w:pPr>
      <w:r>
        <w:rPr>
          <w:rFonts w:ascii="Arial" w:cs="Arial" w:eastAsia="Arial" w:hAnsi="Arial"/>
          <w:sz w:val="18"/>
          <w:szCs w:val="18"/>
          <w:color w:val="auto"/>
        </w:rPr>
        <w:t>You may request a copy of these filings, at no cost, by writing or calling us at the following address or telephone number:</w:t>
      </w:r>
    </w:p>
    <w:p>
      <w:pPr>
        <w:spacing w:after="0" w:line="212"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Fulcrum Therapeutics, Inc.</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26 Landsdowne Street</w:t>
      </w:r>
    </w:p>
    <w:p>
      <w:pPr>
        <w:jc w:val="center"/>
        <w:ind w:right="-119"/>
        <w:spacing w:after="0" w:line="234" w:lineRule="auto"/>
        <w:rPr>
          <w:sz w:val="20"/>
          <w:szCs w:val="20"/>
          <w:color w:val="auto"/>
        </w:rPr>
      </w:pPr>
      <w:r>
        <w:rPr>
          <w:rFonts w:ascii="Arial" w:cs="Arial" w:eastAsia="Arial" w:hAnsi="Arial"/>
          <w:sz w:val="18"/>
          <w:szCs w:val="18"/>
          <w:color w:val="auto"/>
        </w:rPr>
        <w:t>Cambridge, Massachusetts 02139</w:t>
      </w:r>
    </w:p>
    <w:p>
      <w:pPr>
        <w:jc w:val="center"/>
        <w:ind w:right="-119"/>
        <w:spacing w:after="0" w:line="235" w:lineRule="auto"/>
        <w:rPr>
          <w:sz w:val="20"/>
          <w:szCs w:val="20"/>
          <w:color w:val="auto"/>
        </w:rPr>
      </w:pPr>
      <w:r>
        <w:rPr>
          <w:rFonts w:ascii="Arial" w:cs="Arial" w:eastAsia="Arial" w:hAnsi="Arial"/>
          <w:sz w:val="18"/>
          <w:szCs w:val="18"/>
          <w:color w:val="auto"/>
        </w:rPr>
        <w:t>Attn: Investor Relations</w:t>
      </w:r>
    </w:p>
    <w:p>
      <w:pPr>
        <w:spacing w:after="0" w:line="1" w:lineRule="exact"/>
        <w:rPr>
          <w:rFonts w:ascii="Arial" w:cs="Arial" w:eastAsia="Arial" w:hAnsi="Arial"/>
          <w:sz w:val="18"/>
          <w:szCs w:val="18"/>
          <w:color w:val="auto"/>
        </w:rPr>
      </w:pPr>
    </w:p>
    <w:p>
      <w:pPr>
        <w:ind w:left="5440" w:right="4880" w:hanging="431"/>
        <w:spacing w:after="0" w:line="611" w:lineRule="auto"/>
        <w:tabs>
          <w:tab w:leader="none" w:pos="5485" w:val="left"/>
        </w:tabs>
        <w:numPr>
          <w:ilvl w:val="0"/>
          <w:numId w:val="22"/>
        </w:numPr>
        <w:rPr>
          <w:rFonts w:ascii="Arial" w:cs="Arial" w:eastAsia="Arial" w:hAnsi="Arial"/>
          <w:sz w:val="17"/>
          <w:szCs w:val="17"/>
          <w:color w:val="auto"/>
        </w:rPr>
      </w:pPr>
      <w:r>
        <w:rPr>
          <w:rFonts w:ascii="Arial" w:cs="Arial" w:eastAsia="Arial" w:hAnsi="Arial"/>
          <w:sz w:val="17"/>
          <w:szCs w:val="17"/>
          <w:color w:val="auto"/>
        </w:rPr>
        <w:t>651-8851 S-28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173990</wp:posOffset>
            </wp:positionV>
            <wp:extent cx="2897505" cy="720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289750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$250,000,000</w:t>
      </w:r>
    </w:p>
    <w:p>
      <w:pPr>
        <w:spacing w:after="0" w:line="2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up to an aggregate value of $250,000,000.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the applicable prospectus supplement and any related free writing prospectus, as well as the documents incorporated by reference herein and therein, carefully before you invest.</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“FULC”.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right="38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significant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included in any accompanying prospectus supplement and in the documents incorporated by reference in this prospectus for a discussion of the factors you should carefully consider before deciding to purchase these securities.</w:t>
      </w:r>
    </w:p>
    <w:p>
      <w:pPr>
        <w:spacing w:after="0" w:line="176" w:lineRule="exact"/>
        <w:rPr>
          <w:sz w:val="20"/>
          <w:szCs w:val="20"/>
          <w:color w:val="auto"/>
        </w:rPr>
      </w:pPr>
    </w:p>
    <w:p>
      <w:pPr>
        <w:jc w:val="both"/>
        <w:ind w:left="120" w:right="300"/>
        <w:spacing w:after="0" w:line="268" w:lineRule="auto"/>
        <w:rPr>
          <w:sz w:val="20"/>
          <w:szCs w:val="20"/>
          <w:color w:val="auto"/>
        </w:rPr>
      </w:pPr>
      <w:r>
        <w:rPr>
          <w:rFonts w:ascii="Times New Roman" w:cs="Times New Roman" w:eastAsia="Times New Roman" w:hAnsi="Times New Roman"/>
          <w:sz w:val="18"/>
          <w:szCs w:val="18"/>
          <w:b w:val="1"/>
          <w:bCs w:val="1"/>
          <w:color w:val="auto"/>
        </w:rPr>
        <w:t>We may amend or supplement this prospectus from time to time by filing amendments or supplements as required. We urge you to read the entire prospectus, any amendments or supplements, any free writing prospectuses, and any documents incorporated by reference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28, 2022</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4"/>
        </w:trPr>
        <w:tc>
          <w:tcPr>
            <w:tcW w:w="76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3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2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440" w:type="dxa"/>
            <w:vAlign w:val="bottom"/>
            <w:gridSpan w:val="8"/>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line="20" w:lineRule="exact"/>
              <w:rPr>
                <w:sz w:val="1"/>
                <w:szCs w:val="1"/>
                <w:color w:val="auto"/>
              </w:rPr>
            </w:pPr>
          </w:p>
        </w:tc>
      </w:tr>
      <w:tr>
        <w:trPr>
          <w:trHeight w:val="209"/>
        </w:trPr>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line="20" w:lineRule="exact"/>
              <w:rPr>
                <w:sz w:val="1"/>
                <w:szCs w:val="1"/>
                <w:color w:val="auto"/>
              </w:rPr>
            </w:pPr>
          </w:p>
        </w:tc>
      </w:tr>
      <w:tr>
        <w:trPr>
          <w:trHeight w:val="209"/>
        </w:trPr>
        <w:tc>
          <w:tcPr>
            <w:tcW w:w="50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260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 AND INDUSTRY DATA</w:t>
            </w: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09"/>
        </w:trPr>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ABOUT FULCRUM THERAPEUTICS, INC.</w:t>
            </w: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09"/>
        </w:trPr>
        <w:tc>
          <w:tcPr>
            <w:tcW w:w="15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1760" w:type="dxa"/>
            <w:vAlign w:val="bottom"/>
            <w:tcBorders>
              <w:top w:val="single" w:sz="8" w:color="0000EE"/>
            </w:tcBorders>
            <w:gridSpan w:val="9"/>
          </w:tcPr>
          <w:p>
            <w:pPr>
              <w:spacing w:after="0"/>
              <w:rPr>
                <w:sz w:val="18"/>
                <w:szCs w:val="18"/>
                <w:color w:val="auto"/>
              </w:rPr>
            </w:pPr>
          </w:p>
        </w:tc>
        <w:tc>
          <w:tcPr>
            <w:tcW w:w="4320" w:type="dxa"/>
            <w:vAlign w:val="bottom"/>
            <w:gridSpan w:val="3"/>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10"/>
        </w:trPr>
        <w:tc>
          <w:tcPr>
            <w:tcW w:w="30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640" w:type="dxa"/>
            <w:vAlign w:val="bottom"/>
            <w:gridSpan w:val="5"/>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09"/>
        </w:trPr>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4340" w:type="dxa"/>
            <w:vAlign w:val="bottom"/>
            <w:gridSpan w:val="4"/>
          </w:tcPr>
          <w:p>
            <w:pPr>
              <w:spacing w:after="0"/>
              <w:rPr>
                <w:sz w:val="18"/>
                <w:szCs w:val="18"/>
                <w:color w:val="auto"/>
              </w:rPr>
            </w:pP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DESCRIPTION OF UNITS</w:t>
            </w:r>
          </w:p>
        </w:tc>
        <w:tc>
          <w:tcPr>
            <w:tcW w:w="5640" w:type="dxa"/>
            <w:vAlign w:val="bottom"/>
            <w:gridSpan w:val="10"/>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09"/>
        </w:trPr>
        <w:tc>
          <w:tcPr>
            <w:tcW w:w="24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5180" w:type="dxa"/>
            <w:vAlign w:val="bottom"/>
            <w:gridSpan w:val="7"/>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10"/>
        </w:trPr>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FORMS OF SECURITIES</w:t>
            </w: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line="20" w:lineRule="exact"/>
              <w:rPr>
                <w:sz w:val="1"/>
                <w:szCs w:val="1"/>
                <w:color w:val="auto"/>
              </w:rPr>
            </w:pPr>
          </w:p>
        </w:tc>
      </w:tr>
      <w:tr>
        <w:trPr>
          <w:trHeight w:val="209"/>
        </w:trPr>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8"/>
                <w:szCs w:val="18"/>
                <w:color w:val="auto"/>
              </w:rPr>
            </w:pPr>
          </w:p>
        </w:tc>
        <w:tc>
          <w:tcPr>
            <w:tcW w:w="5620" w:type="dxa"/>
            <w:vAlign w:val="bottom"/>
            <w:gridSpan w:val="9"/>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10"/>
        </w:trPr>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EXPERTS</w:t>
            </w: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offering amount of up to $250,000,000.</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the prospectus supplement or any related free writing prospectus. You should read both this prospectus and the accompanying prospectus supplement together with the additional information described under the heading “Where You Can Find More Information” of this prospectus.</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or any accompanying prospectus supplement or free writing prospectus to which we have referred you. We take no responsibility for, and can provide no assurance as to the reliability of, any other information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offer of these securities will be made in any jurisdiction where the offer is not permitted.</w:t>
      </w:r>
    </w:p>
    <w:p>
      <w:pPr>
        <w:spacing w:after="0" w:line="225"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“we,” “our” and “us” refer, collectively, to Fulcrum Therapeutics, Inc., a Delaware corporation, and its consolidated subsidiary.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and uncertainties described under “Risk Factors” in our most recent Annual Report on Form 10-K and in any accompanying prospectus supplement, together with all of the other information included or incorporated by reference in this prospectus and in any accompanying prospectus supplement, including our consolidated financial statements and related notes, before deciding whether to purchase our securities.</w:t>
      </w:r>
    </w:p>
    <w:p>
      <w:pPr>
        <w:spacing w:after="0" w:line="18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94"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5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on March 3,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on </w:t>
      </w:r>
      <w:hyperlink r:id="rId76">
        <w:r>
          <w:rPr>
            <w:rFonts w:ascii="Times New Roman" w:cs="Times New Roman" w:eastAsia="Times New Roman" w:hAnsi="Times New Roman"/>
            <w:sz w:val="18"/>
            <w:szCs w:val="18"/>
            <w:u w:val="single" w:color="auto"/>
            <w:color w:val="0000EE"/>
          </w:rPr>
          <w:t>January 4</w:t>
        </w:r>
      </w:hyperlink>
      <w:r>
        <w:rPr>
          <w:rFonts w:ascii="Times New Roman" w:cs="Times New Roman" w:eastAsia="Times New Roman" w:hAnsi="Times New Roman"/>
          <w:sz w:val="18"/>
          <w:szCs w:val="18"/>
          <w:color w:val="auto"/>
        </w:rPr>
        <w:t xml:space="preserve">, 2022 and </w:t>
      </w:r>
      <w:hyperlink r:id="rId77">
        <w:r>
          <w:rPr>
            <w:rFonts w:ascii="Times New Roman" w:cs="Times New Roman" w:eastAsia="Times New Roman" w:hAnsi="Times New Roman"/>
            <w:sz w:val="18"/>
            <w:szCs w:val="18"/>
            <w:u w:val="single" w:color="auto"/>
            <w:color w:val="0000EE"/>
          </w:rPr>
          <w:t>January 10,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Item 2.02);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6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July 12, 2019, as the description therein has been updated and superseded by the description of our capital stock contained in </w:t>
      </w:r>
      <w:hyperlink r:id="rId66">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2020, and including any amendments and reports filed for the purpose of updating such description.</w:t>
      </w:r>
    </w:p>
    <w:p>
      <w:pPr>
        <w:spacing w:after="0" w:line="180"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calling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 Landsdowne Street</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651-8851</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and Section 21E of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FULCRUM THERAPEUTICS,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improving the lives of patients with genetically defined rare diseases in areas of high unmet medical need. Our most advanced clinical product candidate, losmamipod, is in development to treat the root cause of facioscapulohumeral muscular dystrophy, or FSHD. Our other clinical product candidate is FTX-6058, which is being developed for the treatment of certain hemoglobinopathies, including sickle cell disease, or SCD, and ß-thalassemia. We expect to initiate FSHD: REACH, a randomized, double-blind, placebo-controlled, multi-national Phase 3 clinical trial of losmapimod, our product candidate for FSHD, in the second quarter of 2022. We initiated a Phase 1b clinical trial of FTX-6058 in people with SCD in the fourth quarter of 2021, and we expect to report initial data from that Phase 1b trial in the second quarter of 2022. Additionally, we submitted an investigational new drug application, or IND, in the fourth quarter of 2021 for FTX-6058 in other select hemoglobinopathies, including ß-thalassemia, and expect to initiate a Phase 1b study in the second quarter of 2022.</w:t>
      </w:r>
    </w:p>
    <w:p>
      <w:pPr>
        <w:spacing w:after="0" w:line="192"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have developed a proprietary product engine, FulcrumSeek, that we employ to systematically identify and validate cellular drug targets that can potentially modulate gene expression to treat known root causes of genetically defined diseases. Our product engine integrates patient-derived tissue and disease-relevant cell models that we interrogate using our pharmacologically diverse and highly annotated small-molecule compound library and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 the identification of both losmamipod for FSHD and FTX-6058 for hemoglobinopathies, as well as a robust discovery pipeline. We expect to nominate our next development candidate this year to support our fourth IND by the end of the first quarter of 2023.</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80" w:lineRule="exact"/>
        <w:rPr>
          <w:sz w:val="20"/>
          <w:szCs w:val="20"/>
          <w:color w:val="auto"/>
        </w:rPr>
      </w:pPr>
    </w:p>
    <w:p>
      <w:pPr>
        <w:ind w:left="120" w:right="120"/>
        <w:spacing w:after="0" w:line="278" w:lineRule="auto"/>
        <w:rPr>
          <w:sz w:val="20"/>
          <w:szCs w:val="20"/>
          <w:color w:val="auto"/>
        </w:rPr>
      </w:pPr>
      <w:r>
        <w:rPr>
          <w:rFonts w:ascii="Times New Roman" w:cs="Times New Roman" w:eastAsia="Times New Roman" w:hAnsi="Times New Roman"/>
          <w:sz w:val="17"/>
          <w:szCs w:val="17"/>
          <w:color w:val="auto"/>
        </w:rPr>
        <w:t xml:space="preserve">We own or have rights to, or have applied for,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symbols, but we will assert, to the fullest extent under applicable law, our rights to our trademarks, service marks and trade names.</w:t>
      </w: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working capital and capital expenditures, research and development expenses, including clinical trial costs, general and administrative expenses, potential acquisition of, or investment in, companies, technologies, products or assets that complement our business, and repayment and refinancing of debt. We have not determined the amount of net proceeds to be used specifically for such purposes. As a result, management will retain broad discretion over the allocation of the net proceeds of any offering.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Fulcrum Therapeutics, Inc. excluding, unless the context otherwise requires or as otherwise expressly stated, our subsidiary.</w:t>
      </w:r>
    </w:p>
    <w:p>
      <w:pPr>
        <w:spacing w:after="0" w:line="187"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9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subsidiary unless such subsidiary expressly guarantee such debt securities.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our subsidiary.</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type of the debt securities;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 and, with respect to any subordinated debt securities the terms on which they are subordinated;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debt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at which the debt securities will bear interest, or the method of determining such rate or rates;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method of determination of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of the debt securities if other than $1,000 or multiples of $1,000;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fund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dates, prices, obligations and restrictions on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features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subject to the defeasance provisions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definitive or global form or in definitive form only upon satisfaction of certain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guaranteed as to payment or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defaults or covenants in addition to or in lieu of those set forth in the indenture;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When we refer to “principal” in this section with reference to the debt securities, we are also referring to “premium, if any.”</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3"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Covenants. </w:t>
      </w:r>
      <w:r>
        <w:rPr>
          <w:rFonts w:ascii="Times New Roman" w:cs="Times New Roman" w:eastAsia="Times New Roman" w:hAnsi="Times New Roman"/>
          <w:sz w:val="18"/>
          <w:szCs w:val="18"/>
          <w:color w:val="auto"/>
        </w:rPr>
        <w:t>Unless we indicate otherwise in a prospectus supplement with respect to a particular series of senior debt securities, the senior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contain any financial or restrictive covenants, including covenants restricting either us or our subsidiary from incurring, issuing, assuming or guaranteeing any indebtedness secured by a lien on any of our or our subsidiary’s property or capital stock, or restricting either us or our subsidiary from entering into sale and leaseback transactions.</w:t>
      </w:r>
    </w:p>
    <w:p>
      <w:pPr>
        <w:spacing w:after="0" w:line="180" w:lineRule="exact"/>
        <w:rPr>
          <w:sz w:val="20"/>
          <w:szCs w:val="20"/>
          <w:color w:val="auto"/>
        </w:rPr>
      </w:pPr>
    </w:p>
    <w:p>
      <w:pPr>
        <w:ind w:left="120"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Consolidation, Merger and Sale of Assets. </w:t>
      </w:r>
      <w:r>
        <w:rPr>
          <w:rFonts w:ascii="Times New Roman" w:cs="Times New Roman" w:eastAsia="Times New Roman" w:hAnsi="Times New Roman"/>
          <w:sz w:val="18"/>
          <w:szCs w:val="18"/>
          <w:color w:val="auto"/>
        </w:rPr>
        <w:t>Unless we indicate otherwise in a prospectus supplement with respect to a particular series of senior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8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if any, is a U.S. corporation, limited liability company, partnership or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assumes our obligations on the senior debt securities and under the senior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60" w:lineRule="exact"/>
        <w:rPr>
          <w:sz w:val="20"/>
          <w:szCs w:val="20"/>
          <w:color w:val="auto"/>
        </w:rPr>
      </w:pPr>
    </w:p>
    <w:p>
      <w:pPr>
        <w:jc w:val="both"/>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Protection in the Event of a Change in Control. </w:t>
      </w:r>
      <w:r>
        <w:rPr>
          <w:rFonts w:ascii="Times New Roman" w:cs="Times New Roman" w:eastAsia="Times New Roman" w:hAnsi="Times New Roman"/>
          <w:sz w:val="18"/>
          <w:szCs w:val="18"/>
          <w:color w:val="auto"/>
        </w:rPr>
        <w:t>Unless we indicate otherwise in a prospectus supplement with respect to a particular series of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Unless we indicate otherwise in a prospectus supplement with respect to a particular series of senior debt securities, the following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of default under the senior indenture with respect to senior debt securities of each series:</w:t>
      </w:r>
    </w:p>
    <w:p>
      <w:pPr>
        <w:spacing w:after="0" w:line="66" w:lineRule="exact"/>
        <w:rPr>
          <w:sz w:val="20"/>
          <w:szCs w:val="20"/>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whether or not voluntary;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senior debt securities as may be specified in the applicable prospectus supplement.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default by us under any other debt, including any other series of debt securities, is not a default under the senior indenture.</w:t>
      </w:r>
    </w:p>
    <w:p>
      <w:pPr>
        <w:spacing w:after="0" w:line="225"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83"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4" w:lineRule="auto"/>
        <w:rPr>
          <w:sz w:val="20"/>
          <w:szCs w:val="20"/>
          <w:color w:val="auto"/>
        </w:rPr>
      </w:pPr>
      <w:r>
        <w:rPr>
          <w:rFonts w:ascii="Times New Roman" w:cs="Times New Roman" w:eastAsia="Times New Roman" w:hAnsi="Times New Roman"/>
          <w:sz w:val="17"/>
          <w:szCs w:val="17"/>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78"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senior debt securities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 We can satisfy and discharge our obligations to holders of any series of debt securities if:</w:t>
      </w:r>
    </w:p>
    <w:p>
      <w:pPr>
        <w:spacing w:after="0" w:line="133" w:lineRule="exact"/>
        <w:rPr>
          <w:sz w:val="20"/>
          <w:szCs w:val="20"/>
          <w:color w:val="auto"/>
        </w:rPr>
      </w:pPr>
    </w:p>
    <w:p>
      <w:pPr>
        <w:ind w:left="1080" w:right="1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the principal of and interest on all senior debt securities of such series (with certain limited exceptions) when due and payable;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senior trustee for cancellation all senior debt securities of such series theretofore authenticated under the senior indenture (with certain limited exceptions); or</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183" w:lineRule="exact"/>
        <w:rPr>
          <w:sz w:val="20"/>
          <w:szCs w:val="20"/>
          <w:color w:val="auto"/>
        </w:rPr>
      </w:pPr>
    </w:p>
    <w:p>
      <w:pPr>
        <w:ind w:left="120" w:right="380"/>
        <w:spacing w:after="0" w:line="312" w:lineRule="auto"/>
        <w:rPr>
          <w:sz w:val="20"/>
          <w:szCs w:val="20"/>
          <w:color w:val="auto"/>
        </w:rPr>
      </w:pPr>
      <w:r>
        <w:rPr>
          <w:rFonts w:ascii="Times New Roman" w:cs="Times New Roman" w:eastAsia="Times New Roman" w:hAnsi="Times New Roman"/>
          <w:sz w:val="17"/>
          <w:szCs w:val="17"/>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4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Under current U.S. federal income tax law, the deposit and our legal release from the debt securities would be treated as though we took back your debt securities and gave you your share of the cash and debt securities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74"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Defeasance. </w:t>
      </w:r>
      <w:r>
        <w:rPr>
          <w:rFonts w:ascii="Times New Roman" w:cs="Times New Roman" w:eastAsia="Times New Roman" w:hAnsi="Times New Roman"/>
          <w:sz w:val="18"/>
          <w:szCs w:val="18"/>
          <w:color w:val="auto"/>
        </w:rPr>
        <w:t>Unless the applicable prospectus supplement provides otherwise, the following discussion of legal defeasance and covenant defeasance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to any series of debt securities issued under the indentures.</w:t>
      </w:r>
    </w:p>
    <w:p>
      <w:pPr>
        <w:spacing w:after="0" w:line="158" w:lineRule="exact"/>
        <w:rPr>
          <w:sz w:val="20"/>
          <w:szCs w:val="20"/>
          <w:color w:val="auto"/>
        </w:rPr>
      </w:pPr>
    </w:p>
    <w:p>
      <w:pPr>
        <w:ind w:left="120" w:right="940"/>
        <w:spacing w:after="0" w:line="284"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We can legally release ourselves from any payment or other obligations on the debt securities of any series (called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defeasance”) if certain conditions are met, including the following:</w:t>
      </w:r>
    </w:p>
    <w:p>
      <w:pPr>
        <w:spacing w:after="0" w:line="66" w:lineRule="exact"/>
        <w:rPr>
          <w:sz w:val="20"/>
          <w:szCs w:val="20"/>
          <w:color w:val="auto"/>
        </w:rPr>
      </w:pPr>
    </w:p>
    <w:p>
      <w:pPr>
        <w:ind w:left="1080" w:right="2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85"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 legal opinion of our counsel confirming the tax law change or ruling described above.</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6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Without any change in current U.S. federal tax law, we can make the same type of deposit described above and be released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87" w:lineRule="exact"/>
        <w:rPr>
          <w:sz w:val="20"/>
          <w:szCs w:val="20"/>
          <w:color w:val="auto"/>
        </w:rPr>
      </w:pPr>
    </w:p>
    <w:p>
      <w:pPr>
        <w:ind w:left="1080" w:right="2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and</w:t>
      </w:r>
    </w:p>
    <w:p>
      <w:pPr>
        <w:spacing w:after="0" w:line="85" w:lineRule="exact"/>
        <w:rPr>
          <w:rFonts w:ascii="Times New Roman" w:cs="Times New Roman" w:eastAsia="Times New Roman" w:hAnsi="Times New Roman"/>
          <w:sz w:val="18"/>
          <w:szCs w:val="18"/>
          <w:color w:val="auto"/>
        </w:rPr>
      </w:pPr>
    </w:p>
    <w:p>
      <w:pPr>
        <w:jc w:val="both"/>
        <w:ind w:left="1080" w:right="30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Modification and Waiver. </w:t>
      </w:r>
      <w:r>
        <w:rPr>
          <w:rFonts w:ascii="Times New Roman" w:cs="Times New Roman" w:eastAsia="Times New Roman" w:hAnsi="Times New Roman"/>
          <w:sz w:val="18"/>
          <w:szCs w:val="18"/>
          <w:color w:val="auto"/>
        </w:rPr>
        <w:t>We and the trustee may amend or supplement the senior indenture or the senior debt securities of any series without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of any holder:</w:t>
      </w:r>
    </w:p>
    <w:p>
      <w:pPr>
        <w:spacing w:after="0" w:line="66"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transfer, assign, mortgage or pledge any assets as security for the senior debt securities of one or more series;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81"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requirements of the SEC in order to effect or maintain the qualification of the senior indenture under the Trust Indenture Act of 1939, as amended (the “Trust Indenture Act”);</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or add guarantors with respect to the senior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senior debt securities as permitted by the senior indenture;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senior debt securities of any series so long as no senior debt securities of such series are outstanding;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in any material respect.</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85"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final maturity of any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any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rate, or extends the time for payment of, interest on any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amount payable upon the redemption of any senior debt securities of such series;</w:t>
      </w:r>
    </w:p>
    <w:p>
      <w:pPr>
        <w:spacing w:after="0" w:line="130" w:lineRule="exact"/>
        <w:rPr>
          <w:rFonts w:ascii="Times New Roman" w:cs="Times New Roman" w:eastAsia="Times New Roman" w:hAnsi="Times New Roman"/>
          <w:sz w:val="18"/>
          <w:szCs w:val="18"/>
          <w:color w:val="auto"/>
        </w:rPr>
      </w:pPr>
    </w:p>
    <w:p>
      <w:pPr>
        <w:ind w:left="5540" w:right="2640" w:hanging="4884"/>
        <w:spacing w:after="0" w:line="454" w:lineRule="auto"/>
        <w:tabs>
          <w:tab w:leader="none" w:pos="10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currency of payment of principal of or interest on any senior debt securities of such series; 13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original issue discount securities payable upon acceleration of maturity or the amount provable in bankruptcy;</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affects the right to convert or exchange senior debt securities into common stock, other securities or property in accordance with the terms of the senior debt securities; or</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8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Notice of Redemption. </w:t>
      </w:r>
      <w:r>
        <w:rPr>
          <w:rFonts w:ascii="Times New Roman" w:cs="Times New Roman" w:eastAsia="Times New Roman" w:hAnsi="Times New Roman"/>
          <w:sz w:val="18"/>
          <w:szCs w:val="18"/>
          <w:color w:val="auto"/>
        </w:rPr>
        <w:t>Notice of any redemption of senior debt securities will be mailed at least 10 days but not more than 60 days before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method determined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w:t>
      </w:r>
    </w:p>
    <w:p>
      <w:pPr>
        <w:spacing w:after="0" w:line="185"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w:t>
      </w:r>
    </w:p>
    <w:p>
      <w:pPr>
        <w:spacing w:after="0" w:line="17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We will describe the terms upon which senior debt securities may be convertible into our common stock or other securities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w:t>
      </w:r>
    </w:p>
    <w:p>
      <w:pPr>
        <w:spacing w:after="0" w:line="183" w:lineRule="exact"/>
        <w:rPr>
          <w:sz w:val="20"/>
          <w:szCs w:val="20"/>
          <w:color w:val="auto"/>
        </w:rPr>
      </w:pPr>
    </w:p>
    <w:p>
      <w:pPr>
        <w:ind w:left="120" w:righ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Personal Liability of Incorporators, Stockholders, Officers or Directors. </w:t>
      </w:r>
      <w:r>
        <w:rPr>
          <w:rFonts w:ascii="Times New Roman" w:cs="Times New Roman" w:eastAsia="Times New Roman" w:hAnsi="Times New Roman"/>
          <w:sz w:val="18"/>
          <w:szCs w:val="18"/>
          <w:color w:val="auto"/>
        </w:rPr>
        <w:t>The senior indenture provides that no recourse shall be had under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covenant or agreement of ours in the senior indenture or any</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7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Concerning the Trustee. </w:t>
      </w:r>
      <w:r>
        <w:rPr>
          <w:rFonts w:ascii="Times New Roman" w:cs="Times New Roman" w:eastAsia="Times New Roman" w:hAnsi="Times New Roman"/>
          <w:sz w:val="18"/>
          <w:szCs w:val="18"/>
          <w:color w:val="auto"/>
        </w:rPr>
        <w:t>The senior indenture provides that, except during the continuance of an event of default, the trustee will not be liable except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8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senior indenture and the provisions of the Trust Indenture Act incorporated by reference therein contain limitations on the rights of the trustee thereunder, should it become a creditor of ours or our subsidiary,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have normal banking relationships with the senior trustee in the ordinary course of business.</w:t>
      </w:r>
    </w:p>
    <w:p>
      <w:pPr>
        <w:spacing w:after="0" w:line="22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Unclaimed Funds. </w:t>
      </w:r>
      <w:r>
        <w:rPr>
          <w:rFonts w:ascii="Times New Roman" w:cs="Times New Roman" w:eastAsia="Times New Roman" w:hAnsi="Times New Roman"/>
          <w:sz w:val="18"/>
          <w:szCs w:val="18"/>
          <w:color w:val="auto"/>
        </w:rPr>
        <w:t>All funds deposited with the trustee or any paying agent for the payment of principal, premium, interest or additional amounts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80"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The senior indenture and the senior debt securities will be governed by, and construed in accordance with, the internal laws of the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York.</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Subordinated Debt Securities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or different subordination terms may be specified in the prospectus supplement applicable to a particular series.</w:t>
      </w:r>
    </w:p>
    <w:p>
      <w:pPr>
        <w:spacing w:after="0" w:line="22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Subordination. </w:t>
      </w:r>
      <w:r>
        <w:rPr>
          <w:rFonts w:ascii="Times New Roman" w:cs="Times New Roman" w:eastAsia="Times New Roman" w:hAnsi="Times New Roman"/>
          <w:sz w:val="18"/>
          <w:szCs w:val="18"/>
          <w:color w:val="auto"/>
        </w:rPr>
        <w:t>The indebtedness evidenced by the subordinated debt securities is subordinate to the prior payment in full of all of our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6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for money borrowed;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evidenced by notes, debentures, bonds or other securities sold by that person for money;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lease obligations that are capitalized on the books of that person in accordance with generally accepted accounting principles;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our certificate of incorporation and bylaws are summaries. You should also refer to the restated certificate of incorporation and the amended and restated bylaws, which are filed as exhibits to the registration statement of which this prospectus is part.</w:t>
      </w:r>
    </w:p>
    <w:p>
      <w:pPr>
        <w:spacing w:after="0" w:line="176"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our common stock, par value $0.001 per share, and 5,000,000 shares of our preferred stock, par value $0.001 per share, all of which preferred stock is undesignated.</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As of December 31, 2021, we had issued and outstanding 40,636,398 shares of our common stock held by 33 stockholders of record (not including beneficial owners whose shares are held in “nominee” or “street” name), including 10,174 shares of unvested restricted stock subject to repurchase by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w:t>
      </w:r>
    </w:p>
    <w:p>
      <w:pPr>
        <w:spacing w:after="0" w:line="18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45"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stated value per share of the preferred stock and the number of shares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stock will be issued;</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elected to offer depositary shares as described under “Description of Depositary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rights, preferences, privileges, limitations and restrictions on the preferred stock.</w:t>
      </w:r>
    </w:p>
    <w:p>
      <w:pPr>
        <w:spacing w:after="0" w:line="22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78"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i w:val="1"/>
          <w:iCs w:val="1"/>
          <w:color w:val="auto"/>
        </w:rPr>
        <w:t>Rank</w:t>
      </w:r>
      <w:r>
        <w:rPr>
          <w:rFonts w:ascii="Times New Roman" w:cs="Times New Roman" w:eastAsia="Times New Roman" w:hAnsi="Times New Roman"/>
          <w:sz w:val="18"/>
          <w:szCs w:val="18"/>
          <w:color w:val="auto"/>
        </w:rPr>
        <w:t>. Unless otherwise specified in the prospectus supplement, the preferred stock will, with respect to dividend rights and rights upon our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or winding up of our affairs, rank:</w:t>
      </w:r>
    </w:p>
    <w:p>
      <w:pPr>
        <w:spacing w:after="0" w:line="66" w:lineRule="exact"/>
        <w:rPr>
          <w:sz w:val="20"/>
          <w:szCs w:val="20"/>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223" w:lineRule="exact"/>
        <w:rPr>
          <w:sz w:val="20"/>
          <w:szCs w:val="20"/>
          <w:color w:val="auto"/>
        </w:rPr>
      </w:pPr>
    </w:p>
    <w:p>
      <w:pPr>
        <w:ind w:left="120" w:right="10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the preferred stock of each series will be entitled to receive, when, as and if declared by our board of directors, cash dividends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rates and on such dates described in the prospectus supplement.</w:t>
      </w:r>
    </w:p>
    <w:p>
      <w:pPr>
        <w:spacing w:after="0" w:line="16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Different series of preferred stock may be entitled to dividends at different rates or based on different methods of calculation. The dividend rate may be fixed or variable or both. Dividends will be payable to the holders of</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record as they appear on our stock books on record dates fixed by our board of directors, as specified in the applicable prospectus supplement.</w:t>
      </w:r>
    </w:p>
    <w:p>
      <w:pPr>
        <w:spacing w:after="0" w:line="225"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87" w:lineRule="exact"/>
        <w:rPr>
          <w:sz w:val="20"/>
          <w:szCs w:val="20"/>
          <w:color w:val="auto"/>
        </w:rPr>
      </w:pPr>
    </w:p>
    <w:p>
      <w:pPr>
        <w:jc w:val="both"/>
        <w:ind w:left="120" w:right="120"/>
        <w:spacing w:after="0" w:line="312" w:lineRule="auto"/>
        <w:rPr>
          <w:sz w:val="20"/>
          <w:szCs w:val="20"/>
          <w:color w:val="auto"/>
        </w:rPr>
      </w:pPr>
      <w:r>
        <w:rPr>
          <w:rFonts w:ascii="Times New Roman" w:cs="Times New Roman" w:eastAsia="Times New Roman" w:hAnsi="Times New Roman"/>
          <w:sz w:val="17"/>
          <w:szCs w:val="17"/>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40"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7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Upon any voluntary or involuntary liquidation, dissolution or winding up of our affairs, then, before we make any distribution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w:t>
      </w:r>
    </w:p>
    <w:p>
      <w:pPr>
        <w:spacing w:after="0" w:line="19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81"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If so provided in the applicable prospectus supplement, the preferred stock will be subject to mandatory redemption or redemption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as a whole or in part, in each case upon the terms, at the times and at the redemption prices set forth in such prospectus supplement.</w:t>
      </w:r>
    </w:p>
    <w:p>
      <w:pPr>
        <w:spacing w:after="0" w:line="16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93" w:lineRule="exact"/>
        <w:rPr>
          <w:sz w:val="20"/>
          <w:szCs w:val="20"/>
          <w:color w:val="auto"/>
        </w:rPr>
      </w:pPr>
    </w:p>
    <w:p>
      <w:pPr>
        <w:ind w:left="1080" w:right="1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we will not acquire any preferred stock of a series unless:</w:t>
      </w:r>
    </w:p>
    <w:p>
      <w:pPr>
        <w:spacing w:after="0" w:line="131" w:lineRule="exact"/>
        <w:rPr>
          <w:sz w:val="20"/>
          <w:szCs w:val="20"/>
          <w:color w:val="auto"/>
        </w:rPr>
      </w:pPr>
    </w:p>
    <w:p>
      <w:pPr>
        <w:ind w:left="1080" w:right="2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76"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58"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45"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series of preferred stock to be redeemed;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certificates for such preferred stock are to be surrendered for payment of the redemption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dividends on the shares to be redeemed will cease to accrue on such redemption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holder’s conversion rights, if any, as to such shares shall terminate;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number of shares to be redeemed from each such holder if fewer than all the shares of any series are to be redeemed.</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55" w:right="5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74" w:lineRule="exact"/>
        <w:rPr>
          <w:sz w:val="20"/>
          <w:szCs w:val="20"/>
          <w:color w:val="auto"/>
        </w:rPr>
      </w:pPr>
    </w:p>
    <w:p>
      <w:pPr>
        <w:ind w:left="120" w:right="700"/>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preferred stock will not have any voting rights, except as required by law or as indicated in the applicable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w:t>
      </w:r>
    </w:p>
    <w:p>
      <w:pPr>
        <w:spacing w:after="0" w:line="160"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8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The terms and conditions, if any, upon which any series of preferred stock is convertible into shares of our common stock will be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the preferred stock will be set forth in the applicable prospectus supplement.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Anti-Takeover Law and Certain Charter and Bylaw Provisions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Certain provisions of our certificate of incorporation, our bylaws and Delaware law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 Removal of Directors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 of Stockholders; Advance Notice Requirements for Stockholder Proposals and Director Nominations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Super-Majority Voting</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of incorporation contains the choice of forum provision described above, it is possible that a court could rule that such a provision is inapplicable for a particular claim or action or that such provision is unenforceable.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have entered into an amended and restated investors’ rights agreement dated as of August 24, 2018, or the investors’ rights agreement, with certain holders of our common stock who have the right to require us to register such shares of common stock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and Form S-3 Registration Rights</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Subject to specified limitations set forth in the investors’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 $5.0 million. We are not obligated to file a registration statement pursuant to this provision on more than two occasions.</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addition, subject to specified limitations set forth in the investors’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Incidental Registration Rights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at any time, we propose to register for our own account (including, for this purpose, a registration effected by us for stockholders who are not holders of registrable securities under the investors’ rights agreement)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the event that any registration in which the holders of registrable securities participate pursuant to our investors’ rights agreement is an underwritten public offering, we have agreed to enter into an underwriting agreement in usual and customary form and use our reasonable best efforts to facilitate such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Pursuant to the investors’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87"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investors’ rights agreement contains customary cross-indemnification provisions, pursuant to which we are obligated to indemnify the selling stockholders in the event of material misstatements or omissions in the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“FULC.”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87"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87"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60"/>
          </w:cols>
          <w:pgMar w:left="320" w:top="455" w:right="5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w:t>
      </w:r>
    </w:p>
    <w:p>
      <w:pPr>
        <w:spacing w:after="0" w:line="81"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may issue units consisting of one or more of the other securities that may be offered under this prospectus in any combination. The following, together with the additional information we may include in any applicable prospectus supplement, summarizes the material terms and provisions of the units that we may offer under this prospectus. We may issue units in one or more series, which will be described in the applicable prospectus. While the terms summarized below will apply generally to any units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8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2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comprising the units may be traded separately;</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any unit agent for the units, if applicable,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for the issuance, payment, settlement, transfer or exchange of the units or of the securities comprising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governing unit agreement, if applicable.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issue units in such amounts and in such numbers of distinct series as we determine.</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Debt Securities,” “Description of Capital Stock,” “Description of Depositary Shares” and “Description of Warrants” will apply to each unit, as applicable, and to any debt securities, common stock, preferred stock, depositary share or warrant included in each unit, as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preferred stock or depositary shares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preferred stock or depositary shares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60"/>
          </w:cols>
          <w:pgMar w:left="320" w:top="455" w:right="5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of a particular series, depositary shares,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87"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4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unit agreement or warrant agreement. We understand that under existing industry practices, if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we request any action of holders or if an owner of a beneficial interest in a global security desires to give or take any action that a holder is entitled to give or take under the applicable indenture, deposit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0"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auto"/>
        </w:rPr>
        <w:t>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6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87"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in negotiated sales or competitively bid transactions;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and the proceeds we will receive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we will sell such securities to the dealer, as principal.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dealer may then resell such securities to the public at varying prices to be determined by such dealer at the time of resale.</w:t>
      </w:r>
    </w:p>
    <w:p>
      <w:pPr>
        <w:spacing w:after="0" w:line="207"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93" w:lineRule="exact"/>
        <w:rPr>
          <w:sz w:val="20"/>
          <w:szCs w:val="20"/>
          <w:color w:val="auto"/>
        </w:rPr>
      </w:pPr>
    </w:p>
    <w:p>
      <w:pPr>
        <w:ind w:left="1080" w:right="1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9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880"/>
          </w:cols>
          <w:pgMar w:left="320" w:top="455" w:right="6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Fulcrum Therapeutics, Inc. appearing in Fulcrum Therapeutics, Inc.’s Annual Report (Form 10-K) for the year ended December 31, 2021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25"/>
          <w:szCs w:val="25"/>
          <w:color w:val="auto"/>
        </w:rPr>
        <w:t>9,590,792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337820</wp:posOffset>
            </wp:positionV>
            <wp:extent cx="2905760" cy="7200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290576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1349375</wp:posOffset>
            </wp:positionV>
            <wp:extent cx="11144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321945</wp:posOffset>
            </wp:positionV>
            <wp:extent cx="11144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Joint Book-Running Managers</w:t>
      </w:r>
    </w:p>
    <w:p>
      <w:pPr>
        <w:spacing w:after="0" w:line="200" w:lineRule="exact"/>
        <w:rPr>
          <w:sz w:val="20"/>
          <w:szCs w:val="20"/>
          <w:color w:val="auto"/>
        </w:rPr>
      </w:pPr>
    </w:p>
    <w:p>
      <w:pPr>
        <w:ind w:left="120"/>
        <w:spacing w:after="0"/>
        <w:tabs>
          <w:tab w:leader="none" w:pos="9580" w:val="left"/>
        </w:tabs>
        <w:rPr>
          <w:sz w:val="20"/>
          <w:szCs w:val="20"/>
          <w:color w:val="auto"/>
        </w:rPr>
      </w:pP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21"/>
          <w:szCs w:val="21"/>
          <w:b w:val="1"/>
          <w:bCs w:val="1"/>
          <w:color w:val="auto"/>
        </w:rPr>
        <w:t>SVB Securities</w:t>
      </w:r>
    </w:p>
    <w:p>
      <w:pPr>
        <w:spacing w:after="0" w:line="121"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Stifel</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Lead Manager</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Oppenheimer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214630</wp:posOffset>
            </wp:positionV>
            <wp:extent cx="1474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August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1303655</wp:posOffset>
            </wp:positionV>
            <wp:extent cx="6995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1372235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lowerLetter"/>
      <w:start w:val="1"/>
    </w:lvl>
  </w:abstractNum>
  <w:abstractNum w:abstractNumId="14">
    <w:nsid w:val="737B8DDC"/>
    <w:multiLevelType w:val="hybridMultilevel"/>
    <w:lvl w:ilvl="0">
      <w:lvlJc w:val="left"/>
      <w:lvlText w:val="%1"/>
      <w:numFmt w:val="lowerRoman"/>
      <w:start w:val="1"/>
    </w:lvl>
    <w:lvl w:ilvl="1">
      <w:lvlJc w:val="left"/>
      <w:lvlText w:val="%2)"/>
      <w:numFmt w:val="lowerLetter"/>
      <w:start w:val="1"/>
    </w:lvl>
  </w:abstractNum>
  <w:abstractNum w:abstractNumId="15">
    <w:nsid w:val="6CEAF087"/>
    <w:multiLevelType w:val="hybridMultilevel"/>
    <w:lvl w:ilvl="0">
      <w:lvlJc w:val="left"/>
      <w:lvlText w:val="(%1)"/>
      <w:numFmt w:val="lowerRoman"/>
      <w:start w:val="1"/>
    </w:lvl>
    <w:lvl w:ilvl="1">
      <w:lvlJc w:val="left"/>
      <w:lvlText w:val="%2"/>
      <w:numFmt w:val="lowerLetter"/>
      <w:start w:val="1"/>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decimal"/>
      <w:start w:val="4"/>
    </w:lvl>
  </w:abstractNum>
  <w:abstractNum w:abstractNumId="18">
    <w:nsid w:val="3006C83E"/>
    <w:multiLevelType w:val="hybridMultilevel"/>
    <w:lvl w:ilvl="0">
      <w:lvlJc w:val="left"/>
      <w:lvlText w:val="(%1)"/>
      <w:numFmt w:val="lowerLetter"/>
      <w:start w:val="1"/>
    </w:lvl>
    <w:lvl w:ilvl="1">
      <w:lvlJc w:val="left"/>
      <w:lvlText w:val="(%2)"/>
      <w:numFmt w:val="lowerRoman"/>
      <w:start w:val="1"/>
    </w:lvl>
  </w:abstractNum>
  <w:abstractNum w:abstractNumId="19">
    <w:nsid w:val="614FD4A1"/>
    <w:multiLevelType w:val="hybridMultilevel"/>
    <w:lvl w:ilvl="0">
      <w:lvlJc w:val="left"/>
      <w:lvlText w:val="(%1)"/>
      <w:numFmt w:val="lowerLetter"/>
      <w:start w:val="2"/>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617"/>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617"/>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jpe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jpe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53" Type="http://schemas.openxmlformats.org/officeDocument/2006/relationships/hyperlink" Target="http://www.sec.gov/ix?doc=/Archives/edgar/data/1680581/000095017022002727/fulc-20211231.htm" TargetMode="External"/><Relationship Id="rId54" Type="http://schemas.openxmlformats.org/officeDocument/2006/relationships/hyperlink" Target="http://www.sec.gov/Archives/edgar/data/1680581/000119312522127507/d53754ddef14a.htm" TargetMode="External"/><Relationship Id="rId55" Type="http://schemas.openxmlformats.org/officeDocument/2006/relationships/hyperlink" Target="http://www.sec.gov/ix?doc=/Archives/edgar/data/1680581/000095017022008235/fulc-20220331.htm" TargetMode="External"/><Relationship Id="rId56" Type="http://schemas.openxmlformats.org/officeDocument/2006/relationships/hyperlink" Target="http://www.sec.gov/ix?doc=/Archives/edgar/data/1680581/000095017022016644/fulc-20220630.htm" TargetMode="External"/><Relationship Id="rId57" Type="http://schemas.openxmlformats.org/officeDocument/2006/relationships/hyperlink" Target="http://www.sec.gov/ix?doc=/Archives/edgar/data/1680581/000119312522072011/d306646d8k.htm" TargetMode="External"/><Relationship Id="rId58" Type="http://schemas.openxmlformats.org/officeDocument/2006/relationships/hyperlink" Target="http://www.sec.gov/ix?doc=/Archives/edgar/data/1680581/000119312522145361/d335800d8k.htm" TargetMode="External"/><Relationship Id="rId59" Type="http://schemas.openxmlformats.org/officeDocument/2006/relationships/hyperlink" Target="http://www.sec.gov/ix?doc=/Archives/edgar/data/1680581/000119312522168375/d318754d8k.htm" TargetMode="External"/><Relationship Id="rId60" Type="http://schemas.openxmlformats.org/officeDocument/2006/relationships/hyperlink" Target="http://www.sec.gov/ix?doc=/Archives/edgar/data/1680581/000119312522171026/d334925d8k.htm" TargetMode="External"/><Relationship Id="rId61" Type="http://schemas.openxmlformats.org/officeDocument/2006/relationships/hyperlink" Target="http://www.sec.gov/ix?doc=/Archives/edgar/data/1680581/000119312522171957/d369471d8k.htm" TargetMode="External"/><Relationship Id="rId62" Type="http://schemas.openxmlformats.org/officeDocument/2006/relationships/hyperlink" Target="http://www.sec.gov/ix?doc=/Archives/edgar/data/1680581/000119312522191340/d338706d8k.htm" TargetMode="External"/><Relationship Id="rId63" Type="http://schemas.openxmlformats.org/officeDocument/2006/relationships/hyperlink" Target="http://www.sec.gov/ix?doc=/Archives/edgar/data/1680581/000095017022016633/fulc-20220811.htm" TargetMode="External"/><Relationship Id="rId64" Type="http://schemas.openxmlformats.org/officeDocument/2006/relationships/hyperlink" Target="http://www.sec.gov/ix?doc=/Archives/edgar/data/1680581/000119312522217954/d346123d8k.htm" TargetMode="External"/><Relationship Id="rId65" Type="http://schemas.openxmlformats.org/officeDocument/2006/relationships/hyperlink" Target="http://www.sec.gov/Archives/edgar/data/1680581/000110465919040208/a19-3408_78a12b.htm" TargetMode="External"/><Relationship Id="rId66" Type="http://schemas.openxmlformats.org/officeDocument/2006/relationships/hyperlink" Target="http://www.sec.gov/Archives/edgar/data/1680581/000156459020008951/fulc-ex42_198.htm" TargetMode="External"/><Relationship Id="rId76" Type="http://schemas.openxmlformats.org/officeDocument/2006/relationships/hyperlink" Target="http://www.sec.gov/ix?doc=/Archives/edgar/data/0001680581/000119312522001760/d237013d8k.htm" TargetMode="External"/><Relationship Id="rId77" Type="http://schemas.openxmlformats.org/officeDocument/2006/relationships/hyperlink" Target="http://www.sec.gov/ix?doc=/Archives/edgar/data/0001680581/000119312522005038/d15742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2022-08-17T05:19:43Z</dcterms:created>
  <dcterms:modified xsi:type="dcterms:W3CDTF">2022-08-17T05:19:43Z</dcterms:modified>
</cp:coreProperties>
</file>