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90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90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Gould Robert J</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19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07/17/2019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Fulcrum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FULC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FULCRUM THERAPEUTICS, INC.</w:t>
      </w:r>
    </w:p>
    <w:p>
      <w:pPr>
        <w:spacing w:after="0" w:line="86"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26 LANDSDOWNE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40" w:type="dxa"/>
            <w:vAlign w:val="bottom"/>
          </w:tcPr>
          <w:p>
            <w:pPr>
              <w:ind w:left="40"/>
              <w:spacing w:after="0"/>
              <w:rPr>
                <w:sz w:val="20"/>
                <w:szCs w:val="20"/>
                <w:color w:val="auto"/>
              </w:rPr>
            </w:pPr>
            <w:r>
              <w:rPr>
                <w:rFonts w:ascii="Arial" w:cs="Arial" w:eastAsia="Arial" w:hAnsi="Arial"/>
                <w:sz w:val="18"/>
                <w:szCs w:val="18"/>
                <w:color w:val="0000FF"/>
              </w:rPr>
              <w:t>CAMBRIDGE MA</w:t>
            </w:r>
          </w:p>
        </w:tc>
        <w:tc>
          <w:tcPr>
            <w:tcW w:w="820" w:type="dxa"/>
            <w:vAlign w:val="bottom"/>
          </w:tcPr>
          <w:p>
            <w:pPr>
              <w:jc w:val="right"/>
              <w:spacing w:after="0"/>
              <w:rPr>
                <w:sz w:val="20"/>
                <w:szCs w:val="20"/>
                <w:color w:val="auto"/>
              </w:rPr>
            </w:pPr>
            <w:r>
              <w:rPr>
                <w:rFonts w:ascii="Arial" w:cs="Arial" w:eastAsia="Arial" w:hAnsi="Arial"/>
                <w:sz w:val="18"/>
                <w:szCs w:val="18"/>
                <w:color w:val="0000FF"/>
              </w:rPr>
              <w:t>02139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6" w:type="dxa"/>
        <w:tblCellMar>
          <w:top w:w="0" w:type="dxa"/>
          <w:left w:w="0" w:type="dxa"/>
          <w:bottom w:w="0" w:type="dxa"/>
          <w:right w:w="0" w:type="dxa"/>
        </w:tblCellMar>
      </w:tblPr>
      <w:tr>
        <w:trPr>
          <w:trHeight w:val="222"/>
        </w:trPr>
        <w:tc>
          <w:tcPr>
            <w:tcW w:w="22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24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66"/>
        <w:spacing w:after="0"/>
        <w:rPr>
          <w:sz w:val="20"/>
          <w:szCs w:val="20"/>
          <w:color w:val="auto"/>
        </w:rPr>
      </w:pPr>
      <w:r>
        <w:rPr>
          <w:rFonts w:ascii="Arial" w:cs="Arial" w:eastAsia="Arial" w:hAnsi="Arial"/>
          <w:sz w:val="18"/>
          <w:szCs w:val="18"/>
          <w:color w:val="0000FF"/>
        </w:rPr>
        <w:t>See Remarks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40" w:type="dxa"/>
            <w:vAlign w:val="bottom"/>
          </w:tcPr>
          <w:p>
            <w:pPr>
              <w:jc w:val="right"/>
              <w:ind w:right="524"/>
              <w:spacing w:after="0"/>
              <w:rPr>
                <w:sz w:val="20"/>
                <w:szCs w:val="20"/>
                <w:color w:val="auto"/>
              </w:rPr>
            </w:pPr>
            <w:r>
              <w:rPr>
                <w:rFonts w:ascii="Arial" w:cs="Arial" w:eastAsia="Arial" w:hAnsi="Arial"/>
                <w:sz w:val="18"/>
                <w:szCs w:val="18"/>
                <w:color w:val="0000FF"/>
              </w:rPr>
              <w:t>557,345</w:t>
            </w:r>
          </w:p>
        </w:tc>
        <w:tc>
          <w:tcPr>
            <w:tcW w:w="1040" w:type="dxa"/>
            <w:vAlign w:val="bottom"/>
          </w:tcPr>
          <w:p>
            <w:pPr>
              <w:ind w:left="76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456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4560" w:type="dxa"/>
            <w:vAlign w:val="bottom"/>
            <w:tcBorders>
              <w:top w:val="single" w:sz="8" w:color="2C2C2C"/>
            </w:tcBorders>
            <w:gridSpan w:val="4"/>
          </w:tcPr>
          <w:p>
            <w:pPr>
              <w:ind w:left="1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2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8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vMerge w:val="continue"/>
          </w:tcPr>
          <w:p>
            <w:pPr>
              <w:spacing w:after="0"/>
              <w:rPr>
                <w:sz w:val="15"/>
                <w:szCs w:val="15"/>
                <w:color w:val="auto"/>
              </w:rPr>
            </w:pPr>
          </w:p>
        </w:tc>
        <w:tc>
          <w:tcPr>
            <w:tcW w:w="104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1460" w:type="dxa"/>
            <w:vAlign w:val="bottom"/>
            <w:tcBorders>
              <w:bottom w:val="single" w:sz="8" w:color="2C2C2C"/>
            </w:tcBorders>
            <w:gridSpan w:val="2"/>
          </w:tcPr>
          <w:p>
            <w:pPr>
              <w:jc w:val="right"/>
              <w:ind w:right="289"/>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right"/>
              <w:ind w:right="12"/>
              <w:spacing w:after="0"/>
              <w:rPr>
                <w:sz w:val="20"/>
                <w:szCs w:val="20"/>
                <w:color w:val="auto"/>
              </w:rPr>
            </w:pPr>
            <w:r>
              <w:rPr>
                <w:rFonts w:ascii="Arial" w:cs="Arial" w:eastAsia="Arial" w:hAnsi="Arial"/>
                <w:sz w:val="14"/>
                <w:szCs w:val="14"/>
                <w:color w:val="0000FF"/>
                <w:w w:val="99"/>
              </w:rPr>
              <w:t>01/21/2029</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104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9"/>
              </w:rPr>
              <w:t>324,462</w:t>
            </w:r>
            <w:r>
              <w:rPr>
                <w:rFonts w:ascii="Arial" w:cs="Arial" w:eastAsia="Arial" w:hAnsi="Arial"/>
                <w:sz w:val="22"/>
                <w:szCs w:val="22"/>
                <w:color w:val="008000"/>
                <w:w w:val="89"/>
                <w:vertAlign w:val="superscript"/>
              </w:rPr>
              <w:t>(1)</w:t>
            </w:r>
          </w:p>
        </w:tc>
        <w:tc>
          <w:tcPr>
            <w:tcW w:w="8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7.84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5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6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reporting person recevied an option to purchase a total of 346,092 shares on January 22, 2019. The shares underlying the option are scheduled to vest in equal quarterly installments from January 1, 2019 through December 31, 2022.</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President and Chief Executive Officer Exhibit Index: 24.1 Power of Attorney</w:t>
      </w:r>
    </w:p>
    <w:p>
      <w:pPr>
        <w:ind w:left="6860"/>
        <w:spacing w:after="0" w:line="184" w:lineRule="auto"/>
        <w:rPr>
          <w:sz w:val="20"/>
          <w:szCs w:val="20"/>
          <w:color w:val="auto"/>
        </w:rPr>
      </w:pPr>
      <w:r>
        <w:rPr>
          <w:rFonts w:ascii="Arial" w:cs="Arial" w:eastAsia="Arial" w:hAnsi="Arial"/>
          <w:sz w:val="17"/>
          <w:szCs w:val="17"/>
          <w:color w:val="0000FF"/>
        </w:rPr>
        <w:t xml:space="preserve">/s/ Peter Thomson, as attorney- </w:t>
      </w:r>
      <w:r>
        <w:rPr>
          <w:rFonts w:ascii="Arial" w:cs="Arial" w:eastAsia="Arial" w:hAnsi="Arial"/>
          <w:sz w:val="34"/>
          <w:szCs w:val="34"/>
          <w:color w:val="0000FF"/>
          <w:vertAlign w:val="subscript"/>
        </w:rPr>
        <w:t>07/17/2019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900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9001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Robert J. Gould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1855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8554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POWER OF ATTORNEY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SECTION 16 REPORTING OBLIGATIONS</w:t>
      </w:r>
    </w:p>
    <w:p>
      <w:pPr>
        <w:spacing w:after="0" w:line="211" w:lineRule="exact"/>
        <w:rPr>
          <w:sz w:val="20"/>
          <w:szCs w:val="20"/>
          <w:color w:val="auto"/>
        </w:rPr>
      </w:pPr>
    </w:p>
    <w:p>
      <w:pPr>
        <w:ind w:right="180" w:firstLine="1297"/>
        <w:spacing w:after="0" w:line="342" w:lineRule="auto"/>
        <w:rPr>
          <w:sz w:val="20"/>
          <w:szCs w:val="20"/>
          <w:color w:val="auto"/>
        </w:rPr>
      </w:pPr>
      <w:r>
        <w:rPr>
          <w:rFonts w:ascii="Arial" w:cs="Arial" w:eastAsia="Arial" w:hAnsi="Arial"/>
          <w:sz w:val="16"/>
          <w:szCs w:val="16"/>
          <w:color w:val="auto"/>
        </w:rPr>
        <w:t>Know all by these presents, that the undersigned hereby makes, constitutes and appoints each of Bryan Stuart and Peter Thomson, signing singly and each acting individually, as the undersigned’s true and lawful attorney-in-fact with full power and authority as hereinafter described to:</w:t>
      </w:r>
    </w:p>
    <w:p>
      <w:pPr>
        <w:spacing w:after="0" w:line="124" w:lineRule="exact"/>
        <w:rPr>
          <w:sz w:val="20"/>
          <w:szCs w:val="20"/>
          <w:color w:val="auto"/>
        </w:rPr>
      </w:pPr>
    </w:p>
    <w:p>
      <w:pPr>
        <w:ind w:right="140" w:firstLine="656"/>
        <w:spacing w:after="0" w:line="264" w:lineRule="auto"/>
        <w:tabs>
          <w:tab w:leader="none" w:pos="1304"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 officer, director and 10% stockholder of Fulcrum Therapeutics, Inc. (the “Company”), Forms 3, 4, and 5 (including any amendments thereto) in accordance with Section 16(a) of the Securities Exchange Act of 1934, as amended, and the rules thereunder (the “Exchange Act”);</w:t>
      </w:r>
    </w:p>
    <w:p>
      <w:pPr>
        <w:spacing w:after="0" w:line="181" w:lineRule="exact"/>
        <w:rPr>
          <w:rFonts w:ascii="Arial" w:cs="Arial" w:eastAsia="Arial" w:hAnsi="Arial"/>
          <w:sz w:val="18"/>
          <w:szCs w:val="18"/>
          <w:color w:val="auto"/>
        </w:rPr>
      </w:pPr>
    </w:p>
    <w:p>
      <w:pPr>
        <w:jc w:val="both"/>
        <w:ind w:right="60" w:firstLine="656"/>
        <w:spacing w:after="0" w:line="257" w:lineRule="auto"/>
        <w:tabs>
          <w:tab w:leader="none" w:pos="1304"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prepare, complete and execute any such Form 3, 4, or 5, prepare, complete and execute any amendment or amendments thereto, and timely deliver and file such form with the United States Securities and Exchange Commission (the “SEC”) and any stock exchange or similar authority, including without limitation the filing of a Form ID, Update Passphrase, or any other application materials to enable the undersigned to gain or maintain access to the Electronic Data Gathering, Analysis and Retrieval system of the SEC;</w:t>
      </w:r>
    </w:p>
    <w:p>
      <w:pPr>
        <w:spacing w:after="0" w:line="188" w:lineRule="exact"/>
        <w:rPr>
          <w:rFonts w:ascii="Arial" w:cs="Arial" w:eastAsia="Arial" w:hAnsi="Arial"/>
          <w:sz w:val="18"/>
          <w:szCs w:val="18"/>
          <w:color w:val="auto"/>
        </w:rPr>
      </w:pPr>
    </w:p>
    <w:p>
      <w:pPr>
        <w:ind w:right="160" w:firstLine="656"/>
        <w:spacing w:after="0" w:line="286" w:lineRule="auto"/>
        <w:tabs>
          <w:tab w:leader="none" w:pos="1304" w:val="left"/>
        </w:tabs>
        <w:numPr>
          <w:ilvl w:val="0"/>
          <w:numId w:val="6"/>
        </w:numPr>
        <w:rPr>
          <w:rFonts w:ascii="Arial" w:cs="Arial" w:eastAsia="Arial" w:hAnsi="Arial"/>
          <w:sz w:val="17"/>
          <w:szCs w:val="17"/>
          <w:color w:val="auto"/>
        </w:rPr>
      </w:pPr>
      <w:r>
        <w:rPr>
          <w:rFonts w:ascii="Arial" w:cs="Arial" w:eastAsia="Arial" w:hAnsi="Arial"/>
          <w:sz w:val="17"/>
          <w:szCs w:val="17"/>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165" w:lineRule="exact"/>
        <w:rPr>
          <w:rFonts w:ascii="Arial" w:cs="Arial" w:eastAsia="Arial" w:hAnsi="Arial"/>
          <w:sz w:val="17"/>
          <w:szCs w:val="17"/>
          <w:color w:val="auto"/>
        </w:rPr>
      </w:pPr>
    </w:p>
    <w:p>
      <w:pPr>
        <w:ind w:right="20" w:firstLine="656"/>
        <w:spacing w:after="0" w:line="259" w:lineRule="auto"/>
        <w:tabs>
          <w:tab w:leader="none" w:pos="1304"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60" w:firstLine="1297"/>
        <w:spacing w:after="0" w:line="270" w:lineRule="auto"/>
        <w:rPr>
          <w:sz w:val="20"/>
          <w:szCs w:val="20"/>
          <w:color w:val="auto"/>
        </w:rPr>
      </w:pPr>
      <w:r>
        <w:rPr>
          <w:rFonts w:ascii="Arial" w:cs="Arial" w:eastAsia="Arial" w:hAnsi="Arial"/>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of the Exchange Act. The undersigned acknowledges that neither the Company nor the foregoing attorneys-in-fact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182" w:lineRule="exact"/>
        <w:rPr>
          <w:sz w:val="20"/>
          <w:szCs w:val="20"/>
          <w:color w:val="auto"/>
        </w:rPr>
      </w:pPr>
    </w:p>
    <w:p>
      <w:pPr>
        <w:jc w:val="both"/>
        <w:ind w:right="40" w:firstLine="1297"/>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day of June, 2019.</w:t>
      </w:r>
    </w:p>
    <w:p>
      <w:pPr>
        <w:spacing w:after="0" w:line="1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Robert Gould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Robert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1" Type="http://schemas.openxmlformats.org/officeDocument/2006/relationships/hyperlink" Target="http://www.sec.gov/cgi-bin/browse-edgar?action=getcompany&amp;CIK=0001577034" TargetMode="External"/><Relationship Id="rId12"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2019-12-23T20:38:17Z</dcterms:created>
  <dcterms:modified xsi:type="dcterms:W3CDTF">2019-12-23T20:38:17Z</dcterms:modified>
</cp:coreProperties>
</file>