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FULC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4" w:right="98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On August 11, 2022, Fulcrum Therapeutics, Inc., or Fulcrum, announced that its board of directors promoted Mel Hayes, its current chief commercial officer, to the position of chief operating officer effective August 9, 2022, such date the Effective Date. In connection with his promotion, Mr. Hayes will serve as Fulcrum’s principal operating officer.</w:t>
      </w:r>
    </w:p>
    <w:p>
      <w:pPr>
        <w:spacing w:after="0" w:line="176"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Mr. Hayes, 52, has served as Fulcrum’s chief operating officer since the Effective Date, and served as chief commercial officer from September 2021 to the Effective Date. Prior to joining Fulcrum, Mr. Hayes provided consulting services to the biotech and specialty pharmaceutical industries as principal of a consulting firm from March 2020 through August 2021. Prior to operating his own consulting firm, Mr. Hayes served as global head commercial, vice president, rare blood disorders, at Sanofi-Genzyme from January 2019 to February 2020, where he led the commercial organization for hemophilia and complement assets. From October 2017 to January 2019, Mr. Hayes served as U.S. vice president, hemophilia and global head, hematology rare blood disorders at Bioverativ (acquired by Sanofi-Genzyme). From June 2016 to October 2016, he was global vice president, head of global marketing and launch excellence at Shire, and before that global vice president hemophilia at Baxalta (acquired by Shire) from July 2015 to June 2016. Mr. Hayes also spent 10 years at Bayer and nine years at Bristol Myers Squibb in progressive leadership roles where he was responsible for launching products in diabetes, cardiovascular disease, neurology, rheumatology, multiple sclerosis and Parkinson’s disease. Mr. Hayes holds dual bachelor’s degrees in business and communications from Southern Methodist University and an MBA from Columbia University.</w:t>
      </w:r>
    </w:p>
    <w:p>
      <w:pPr>
        <w:spacing w:after="0" w:line="194"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In connection with Mr. Hayes’ initial employment, Mr. Hayes entered into an employment agreement with Fulcrum as of September 7, 2021, which agreement provides for an annual base salary and an annual discretionary performance bonus with a target of 40% of his then annual base salary based upon the board of directors’ assessment of his performance and Fulcrum’s attainment of goals as set by the board of directors in its sole discretion. In connection with his promotion, and as contemplated by his employment agreement which provides the board of directors discretion to adjust his salary, the board of directors increased Mr. Hayes’ annual base salary to $453,000 with retroactive effect to July 1, 2022.</w:t>
      </w:r>
    </w:p>
    <w:p>
      <w:pPr>
        <w:spacing w:after="0" w:line="183"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Mr. Hayes is also eligible to receive equity awards as determined from time to time by the board of directors, and in connection with his promotion, Mr. Hayes was granted an option to purchase 137,000 shares of Fulcrum’s common stock pursuant to the Fulcrum 2019 Stock Incentive Plan, or the 2019 Plan on the Effective Date. The stock option has an exercise price per share equal to $7.40, which “fair market value” (as defined in the 2019 Plan) on the grant date, and will vest over four years as follows: 25% of the shares underlying the option will vest on the first anniversary of the Effective Date, with additional 6.25% of the shares vesting in equal quarterly installments over the twelve successive quarters following the first anniversary of the Effective Date.</w:t>
      </w:r>
    </w:p>
    <w:p>
      <w:pPr>
        <w:spacing w:after="0" w:line="187"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In the event of the termination of Mr. Hayes’ employment by Fulcrum without cause, or by him for good reason, prior to or more than 12 months following a “change in control” (as such terms are is defined in his employment agreement), Mr. Hayes would be entitled to his base salary that has accrued and to which he is entitled as of the termination date and other accrued benefits, collectively, the accrued obligations. In addition, he is entitled to (1) continued payment of his then-current base salary, in accordance with Fulcrum’s regular payroll procedures, for a period of nine months and</w:t>
      </w:r>
    </w:p>
    <w:p>
      <w:pPr>
        <w:spacing w:after="0" w:line="3" w:lineRule="exact"/>
        <w:rPr>
          <w:sz w:val="20"/>
          <w:szCs w:val="20"/>
          <w:color w:val="auto"/>
        </w:rPr>
      </w:pPr>
    </w:p>
    <w:p>
      <w:pPr>
        <w:ind w:left="4" w:right="140" w:hanging="4"/>
        <w:spacing w:after="0" w:line="255"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he is eligible for and timely elects to continue receiving group medical insurance under COBRA and the payments would not result in the violation of nondiscrimination requirements of applicable law, payment by Fulcrum of the portion of health coverage premiums it pays for similarly situated, active employees who receive the same type of coverage, for a period of up to nine months following his date of termination.</w:t>
      </w:r>
    </w:p>
    <w:p>
      <w:pPr>
        <w:spacing w:after="0" w:line="186" w:lineRule="exact"/>
        <w:rPr>
          <w:sz w:val="20"/>
          <w:szCs w:val="20"/>
          <w:color w:val="auto"/>
        </w:rPr>
      </w:pPr>
    </w:p>
    <w:p>
      <w:pPr>
        <w:ind w:left="4" w:right="80"/>
        <w:spacing w:after="0" w:line="276" w:lineRule="auto"/>
        <w:rPr>
          <w:sz w:val="20"/>
          <w:szCs w:val="20"/>
          <w:color w:val="auto"/>
        </w:rPr>
      </w:pPr>
      <w:r>
        <w:rPr>
          <w:rFonts w:ascii="Times New Roman" w:cs="Times New Roman" w:eastAsia="Times New Roman" w:hAnsi="Times New Roman"/>
          <w:sz w:val="17"/>
          <w:szCs w:val="17"/>
          <w:color w:val="auto"/>
        </w:rPr>
        <w:t>In the event of the termination of Mr. Hayes’ employment by Fulcrum without cause, or by him for good reason, within 12 months following a “change in control” (as such terms are is defined in his employment agreement), Mr. Hayes is entitled to the accrued obligations. In addition, he is entitled to</w:t>
      </w:r>
    </w:p>
    <w:p>
      <w:pPr>
        <w:spacing w:after="0" w:line="1" w:lineRule="exact"/>
        <w:rPr>
          <w:sz w:val="20"/>
          <w:szCs w:val="20"/>
          <w:color w:val="auto"/>
        </w:rPr>
      </w:pPr>
    </w:p>
    <w:p>
      <w:pPr>
        <w:ind w:left="4" w:right="200" w:hanging="4"/>
        <w:spacing w:after="0" w:line="290" w:lineRule="auto"/>
        <w:tabs>
          <w:tab w:leader="none" w:pos="25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w:t>
      </w:r>
    </w:p>
    <w:p>
      <w:pPr>
        <w:sectPr>
          <w:pgSz w:w="11900" w:h="16838" w:orient="portrait"/>
          <w:cols w:equalWidth="0" w:num="1">
            <w:col w:w="10984"/>
          </w:cols>
          <w:pgMar w:left="436" w:top="293" w:right="47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medical insurance under COBRA and the payments would not result in the violation of nondiscrimination requirements of applicable law, payment by us of the portion of health coverage premiums Fulcrum pays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pursuant to Fulcrum’s standard form of indemnification agreement Mr. Hayes entered into in connection with his promotion to chief operating officer, the form of which was filed with the Securities and Exchange Commission as Exhibit 10.15 to Fulcrum’s registration statement on Form S-1 (File No. 333-232260) on June 21, 2019, Fulcrum may be required, among other things, to indemnify Mr. Hayes for certain expenses (including attorneys’ fees), judgments, fines and settlement amounts actually and reasonably incurred by him in any action or proceeding arising out of his service as an officer or director of Fulcrum.</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foregoing description of Mr. Hayes’ employment agreement is not complete and is qualified in its entirety by reference to the full text of such agreement a copy of which is filed herewith as Exhibit 10.1, and is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Employment Agreement by and between Mel Hayes and Fulcrum Therapeutics, Inc., dated as of September 7, 2021</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00"/>
          </w:cols>
          <w:pgMar w:left="440" w:top="297"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2022</w:t>
            </w: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Curt Oltmans</w:t>
            </w:r>
          </w:p>
        </w:tc>
      </w:tr>
      <w:tr>
        <w:trPr>
          <w:trHeight w:val="205"/>
        </w:trPr>
        <w:tc>
          <w:tcPr>
            <w:tcW w:w="3560" w:type="dxa"/>
            <w:vAlign w:val="bottom"/>
          </w:tcPr>
          <w:p>
            <w:pPr>
              <w:spacing w:after="0"/>
              <w:rPr>
                <w:sz w:val="17"/>
                <w:szCs w:val="17"/>
                <w:color w:val="auto"/>
              </w:rPr>
            </w:pPr>
          </w:p>
        </w:tc>
        <w:tc>
          <w:tcPr>
            <w:tcW w:w="2600" w:type="dxa"/>
            <w:vAlign w:val="bottom"/>
          </w:tcPr>
          <w:p>
            <w:pPr>
              <w:ind w:left="19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Curt Oltmans</w:t>
            </w:r>
          </w:p>
        </w:tc>
      </w:tr>
      <w:tr>
        <w:trPr>
          <w:trHeight w:val="234"/>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left="4" w:right="540" w:firstLine="440"/>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is made as of September 7, 2021 (Executive’s first day of employment, after all eligibility criteria have been met) by and between Fulcrum Therapeutics, Inc. (the “Company”), and Mel Hayes (the “Executive”) (together, the “Parties”).</w:t>
      </w:r>
    </w:p>
    <w:p>
      <w:pPr>
        <w:spacing w:after="0" w:line="176"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color w:val="auto"/>
        </w:rPr>
        <w:t>RECITALS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Company desires to employ the Executive as its Chief Commercial Officer; and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Executive has agreed to accept such employment on the terms and conditions set forth in this Agreement;</w:t>
      </w:r>
    </w:p>
    <w:p>
      <w:pPr>
        <w:spacing w:after="0" w:line="11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respective covenants and agreements of the Parties herein contained, the Parties hereto agree as follows:</w:t>
      </w:r>
    </w:p>
    <w:p>
      <w:pPr>
        <w:spacing w:after="0" w:line="160" w:lineRule="exact"/>
        <w:rPr>
          <w:sz w:val="20"/>
          <w:szCs w:val="20"/>
          <w:color w:val="auto"/>
        </w:rPr>
      </w:pPr>
    </w:p>
    <w:p>
      <w:pPr>
        <w:ind w:left="4" w:right="100" w:hanging="4"/>
        <w:spacing w:after="0" w:line="284"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This Agreement shall be effective as of the Effective Date (“Date of Hire”). Following the Effective Date, the Executive shall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an employee of the Company until such employment relationship is terminated in accordance with Section 7 hereof (the “Term of Employment”).</w:t>
      </w:r>
    </w:p>
    <w:p>
      <w:pPr>
        <w:spacing w:after="0" w:line="158" w:lineRule="exact"/>
        <w:rPr>
          <w:rFonts w:ascii="Times New Roman" w:cs="Times New Roman" w:eastAsia="Times New Roman" w:hAnsi="Times New Roman"/>
          <w:sz w:val="18"/>
          <w:szCs w:val="18"/>
          <w:color w:val="auto"/>
        </w:rPr>
      </w:pPr>
    </w:p>
    <w:p>
      <w:pPr>
        <w:ind w:left="4" w:right="20" w:hanging="4"/>
        <w:spacing w:after="0" w:line="284"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Position</w:t>
      </w:r>
      <w:r>
        <w:rPr>
          <w:rFonts w:ascii="Times New Roman" w:cs="Times New Roman" w:eastAsia="Times New Roman" w:hAnsi="Times New Roman"/>
          <w:sz w:val="18"/>
          <w:szCs w:val="18"/>
          <w:color w:val="auto"/>
        </w:rPr>
        <w:t>. During the Term of Employment, the Executive shall serve as the Chief Commercial Officer of the Company, working out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in Cambridge, Massachusetts, and travelling as reasonably required by the Executive’s job duties.</w:t>
      </w:r>
    </w:p>
    <w:p>
      <w:pPr>
        <w:spacing w:after="0" w:line="158" w:lineRule="exact"/>
        <w:rPr>
          <w:rFonts w:ascii="Times New Roman" w:cs="Times New Roman" w:eastAsia="Times New Roman" w:hAnsi="Times New Roman"/>
          <w:sz w:val="18"/>
          <w:szCs w:val="18"/>
          <w:color w:val="auto"/>
        </w:rPr>
      </w:pPr>
    </w:p>
    <w:p>
      <w:pPr>
        <w:ind w:left="4" w:right="100" w:hanging="4"/>
        <w:spacing w:after="0" w:line="254"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Scope of Employment</w:t>
      </w:r>
      <w:r>
        <w:rPr>
          <w:rFonts w:ascii="Times New Roman" w:cs="Times New Roman" w:eastAsia="Times New Roman" w:hAnsi="Times New Roman"/>
          <w:sz w:val="18"/>
          <w:szCs w:val="18"/>
          <w:color w:val="auto"/>
        </w:rPr>
        <w:t>. During the Term of Employment, the Executive shall be responsible for the performance of those duties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position as Chief Commercial Officer. The Executive shall report to the President, Chief Executive Officer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ectPr>
          <w:pgSz w:w="11900" w:h="16838" w:orient="portrait"/>
          <w:cols w:equalWidth="0" w:num="1">
            <w:col w:w="11024"/>
          </w:cols>
          <w:pgMar w:left="436" w:top="117" w:right="439" w:bottom="1440" w:gutter="0" w:footer="0" w:header="0"/>
        </w:sectPr>
      </w:pPr>
    </w:p>
    <w:bookmarkStart w:id="5" w:name="page6"/>
    <w:bookmarkEnd w:id="5"/>
    <w:p>
      <w:pPr>
        <w:ind w:left="4" w:right="720" w:hanging="4"/>
        <w:spacing w:after="0" w:line="284"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w:t>
      </w:r>
      <w:r>
        <w:rPr>
          <w:rFonts w:ascii="Times New Roman" w:cs="Times New Roman" w:eastAsia="Times New Roman" w:hAnsi="Times New Roman"/>
          <w:sz w:val="18"/>
          <w:szCs w:val="18"/>
          <w:color w:val="auto"/>
        </w:rPr>
        <w:t>. As full compensation for all services rendered by the Executive to the Company and any affiliate thereof, during the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the Company will provide to the Executive the following:</w:t>
      </w:r>
    </w:p>
    <w:p>
      <w:pPr>
        <w:spacing w:after="0" w:line="158"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Effective as of the Effective Date, the Executive shall receive a base salary at the annualized rate of $415,000 (the “Base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173"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Discretionary Bonus</w:t>
      </w:r>
      <w:r>
        <w:rPr>
          <w:rFonts w:ascii="Times New Roman" w:cs="Times New Roman" w:eastAsia="Times New Roman" w:hAnsi="Times New Roman"/>
          <w:sz w:val="18"/>
          <w:szCs w:val="18"/>
          <w:color w:val="auto"/>
        </w:rPr>
        <w:t>. Effective as of the Effective Date, the Executive will be eligible to earn an annual performance bonus of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 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18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Award</w:t>
      </w:r>
      <w:r>
        <w:rPr>
          <w:rFonts w:ascii="Times New Roman" w:cs="Times New Roman" w:eastAsia="Times New Roman" w:hAnsi="Times New Roman"/>
          <w:sz w:val="18"/>
          <w:szCs w:val="18"/>
          <w:color w:val="auto"/>
        </w:rPr>
        <w:t>. The Executive will be eligible to receive equity awards, if any, at such times and on such terms and conditions as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in its sole discretion, determine. As part of your initial offer and subject to the approval of the Company’s Board of Directors, and as a material inducement to you entering into employment with the Company, you will receive a one- time grant of options to purchase 140,000 shares of the Company’s Common Stock (“Option”). The exercise price per share of the Option shall be equal to the closing price per share of the Common Stock on the Nasdaq Select Market on the effective date of the Option. The Option is subject to adjustment for stock splits, combinations or other recapitalizations. The Option shall be issued outside the Company’s 2019 Stock Incentive Plan, as an “inducement grant” within the meaning of Nasdaq Listing Rule 5635(c)(4), will be a non-qualified stock option for United States tax purposes and will be subject to all of the terms set forth in a written agreement covering the Option. Subject to the terms of the stock option agreement evidencing the Option and your continued employment, the Option shall vest over four years at the rate of 25% on the first anniversary of the Start Date and an additional 6.25% per quarter for the next twelve successive quarters of employment when, after four full years of employment, the Option will be fully vested.</w:t>
      </w:r>
    </w:p>
    <w:p>
      <w:pPr>
        <w:spacing w:after="0" w:line="18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Paid Time Off</w:t>
      </w:r>
      <w:r>
        <w:rPr>
          <w:rFonts w:ascii="Times New Roman" w:cs="Times New Roman" w:eastAsia="Times New Roman" w:hAnsi="Times New Roman"/>
          <w:sz w:val="18"/>
          <w:szCs w:val="18"/>
          <w:color w:val="auto"/>
        </w:rPr>
        <w:t>. The Executive shall be entitled to paid time off, vacation time plus sick time, consistent with the Company’s policies.</w:t>
      </w:r>
    </w:p>
    <w:p>
      <w:pPr>
        <w:sectPr>
          <w:pgSz w:w="11900" w:h="16838" w:orient="portrait"/>
          <w:cols w:equalWidth="0" w:num="1">
            <w:col w:w="11004"/>
          </w:cols>
          <w:pgMar w:left="436" w:top="268" w:right="459" w:bottom="1440" w:gutter="0" w:footer="0" w:header="0"/>
        </w:sectPr>
      </w:pPr>
    </w:p>
    <w:bookmarkStart w:id="6" w:name="page7"/>
    <w:bookmarkEnd w:id="6"/>
    <w:p>
      <w:pPr>
        <w:ind w:left="4" w:right="60" w:firstLine="436"/>
        <w:spacing w:after="0" w:line="261" w:lineRule="auto"/>
        <w:tabs>
          <w:tab w:leader="none" w:pos="68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Benefits</w:t>
      </w:r>
      <w:r>
        <w:rPr>
          <w:rFonts w:ascii="Times New Roman" w:cs="Times New Roman" w:eastAsia="Times New Roman" w:hAnsi="Times New Roman"/>
          <w:sz w:val="18"/>
          <w:szCs w:val="18"/>
          <w:color w:val="auto"/>
        </w:rPr>
        <w:t>. Subject to eligibility requirements and the Company’s polices, you shall have the right, on the same basis as other similarly situated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you elect to participate in such plans.</w:t>
      </w:r>
    </w:p>
    <w:p>
      <w:pPr>
        <w:spacing w:after="0" w:line="1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Withholdings</w:t>
      </w:r>
      <w:r>
        <w:rPr>
          <w:rFonts w:ascii="Times New Roman" w:cs="Times New Roman" w:eastAsia="Times New Roman" w:hAnsi="Times New Roman"/>
          <w:sz w:val="18"/>
          <w:szCs w:val="18"/>
          <w:color w:val="auto"/>
        </w:rPr>
        <w:t>. All compensation payable to the Executive shall be subject to applicable taxes and withholdings.</w:t>
      </w:r>
    </w:p>
    <w:p>
      <w:pPr>
        <w:spacing w:after="0" w:line="225" w:lineRule="exact"/>
        <w:rPr>
          <w:rFonts w:ascii="Times New Roman" w:cs="Times New Roman" w:eastAsia="Times New Roman" w:hAnsi="Times New Roman"/>
          <w:sz w:val="18"/>
          <w:szCs w:val="18"/>
          <w:color w:val="auto"/>
        </w:rPr>
      </w:pPr>
    </w:p>
    <w:p>
      <w:pPr>
        <w:ind w:left="4" w:right="300" w:hanging="4"/>
        <w:spacing w:after="0" w:line="284"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Executive will be reimbursed for his actual, necessary and reasonable business expense pursuant to Company policy,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Section 3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58" w:lineRule="exact"/>
        <w:rPr>
          <w:rFonts w:ascii="Times New Roman" w:cs="Times New Roman" w:eastAsia="Times New Roman" w:hAnsi="Times New Roman"/>
          <w:sz w:val="18"/>
          <w:szCs w:val="18"/>
          <w:color w:val="auto"/>
        </w:rPr>
      </w:pPr>
    </w:p>
    <w:p>
      <w:pPr>
        <w:ind w:left="4" w:right="200" w:hanging="4"/>
        <w:spacing w:after="0" w:line="284"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Restrictive Covenants Agreement</w:t>
      </w:r>
      <w:r>
        <w:rPr>
          <w:rFonts w:ascii="Times New Roman" w:cs="Times New Roman" w:eastAsia="Times New Roman" w:hAnsi="Times New Roman"/>
          <w:sz w:val="18"/>
          <w:szCs w:val="18"/>
          <w:color w:val="auto"/>
        </w:rPr>
        <w:t>. The Executive hereby acknowledges that in connection with entering into this Agreement, the Executive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enter into an Employee Confidentiality and Assignment Agreement with the Company.</w:t>
      </w:r>
    </w:p>
    <w:p>
      <w:pPr>
        <w:spacing w:after="0" w:line="15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Employment Termination</w:t>
      </w:r>
      <w:r>
        <w:rPr>
          <w:rFonts w:ascii="Times New Roman" w:cs="Times New Roman" w:eastAsia="Times New Roman" w:hAnsi="Times New Roman"/>
          <w:sz w:val="18"/>
          <w:szCs w:val="18"/>
          <w:color w:val="auto"/>
        </w:rPr>
        <w:t>. This Agreement and the employment of the Executive shall terminate upon the occurrence of any of the following:</w:t>
      </w:r>
    </w:p>
    <w:p>
      <w:pPr>
        <w:spacing w:after="0" w:line="227"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8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79" w:lineRule="exact"/>
        <w:rPr>
          <w:rFonts w:ascii="Times New Roman" w:cs="Times New Roman" w:eastAsia="Times New Roman" w:hAnsi="Times New Roman"/>
          <w:sz w:val="18"/>
          <w:szCs w:val="18"/>
          <w:color w:val="auto"/>
        </w:rPr>
      </w:pPr>
    </w:p>
    <w:p>
      <w:pPr>
        <w:ind w:left="4" w:right="700" w:firstLine="436"/>
        <w:spacing w:after="0" w:line="282" w:lineRule="auto"/>
        <w:tabs>
          <w:tab w:leader="none" w:pos="69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Company, with or without “Cause” (as defined below), immediately upon written notice by the Company to the Executive. As used in this Agreement, “Cause” shall mean:</w:t>
      </w:r>
    </w:p>
    <w:p>
      <w:pPr>
        <w:spacing w:after="0" w:line="67"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of (A) a felony or (B) any misdemeanor involving moral turpitude, deceit, dishonesty or fraud;</w:t>
      </w:r>
    </w:p>
    <w:p>
      <w:pPr>
        <w:spacing w:after="0" w:line="130" w:lineRule="exact"/>
        <w:rPr>
          <w:rFonts w:ascii="Times New Roman" w:cs="Times New Roman" w:eastAsia="Times New Roman" w:hAnsi="Times New Roman"/>
          <w:sz w:val="18"/>
          <w:szCs w:val="18"/>
          <w:color w:val="auto"/>
        </w:rPr>
      </w:pPr>
    </w:p>
    <w:p>
      <w:pPr>
        <w:ind w:left="964" w:right="260" w:hanging="532"/>
        <w:spacing w:after="0" w:line="261" w:lineRule="auto"/>
        <w:tabs>
          <w:tab w:leader="none" w:pos="9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ten(10) days to cure any curable act or omission constituting Cause described in this Section 7(b)(iii) following the Company’s delivery to the Executive of written notice of such act or omission; or</w:t>
      </w:r>
    </w:p>
    <w:p>
      <w:pPr>
        <w:spacing w:after="0" w:line="85"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violation of any provision of any agreement(s) between the Executive and the Company relating to non-solicitation, nondisclosure and/or assignment of inventions.</w:t>
      </w:r>
    </w:p>
    <w:p>
      <w:pPr>
        <w:sectPr>
          <w:pgSz w:w="11900" w:h="16838" w:orient="portrait"/>
          <w:cols w:equalWidth="0" w:num="1">
            <w:col w:w="10984"/>
          </w:cols>
          <w:pgMar w:left="436" w:top="268" w:right="479" w:bottom="1440" w:gutter="0" w:footer="0" w:header="0"/>
        </w:sectPr>
      </w:pPr>
    </w:p>
    <w:bookmarkStart w:id="7" w:name="page8"/>
    <w:bookmarkEnd w:id="7"/>
    <w:p>
      <w:pPr>
        <w:ind w:left="4" w:right="120" w:firstLine="436"/>
        <w:spacing w:after="0" w:line="266" w:lineRule="auto"/>
        <w:tabs>
          <w:tab w:leader="none" w:pos="6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81"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1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duties, authority or responsibilities;</w:t>
      </w:r>
    </w:p>
    <w:p>
      <w:pPr>
        <w:spacing w:after="0" w:line="130" w:lineRule="exact"/>
        <w:rPr>
          <w:rFonts w:ascii="Times New Roman" w:cs="Times New Roman" w:eastAsia="Times New Roman" w:hAnsi="Times New Roman"/>
          <w:sz w:val="18"/>
          <w:szCs w:val="18"/>
          <w:color w:val="auto"/>
        </w:rPr>
      </w:pPr>
    </w:p>
    <w:p>
      <w:pPr>
        <w:ind w:left="964" w:right="320" w:hanging="532"/>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requiring Executive to relocate Executive’s primary office more than fifty (50) miles from the Executive’s then-current primary office; or</w:t>
      </w:r>
    </w:p>
    <w:p>
      <w:pPr>
        <w:spacing w:after="0" w:line="67"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this Agreement, or any other agreement between the Company and the Executive, by the Company not otherwise covered by this paragraph;</w:t>
      </w:r>
    </w:p>
    <w:p>
      <w:pPr>
        <w:spacing w:after="0" w:line="54"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74" w:lineRule="exact"/>
        <w:rPr>
          <w:sz w:val="20"/>
          <w:szCs w:val="20"/>
          <w:color w:val="auto"/>
        </w:rPr>
      </w:pPr>
    </w:p>
    <w:p>
      <w:pPr>
        <w:ind w:left="184" w:hanging="184"/>
        <w:spacing w:after="0"/>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71" w:lineRule="auto"/>
        <w:tabs>
          <w:tab w:leader="none" w:pos="68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All Terminations Other Than by the Company Without Cause or by the Executive With Good Reason</w:t>
      </w:r>
      <w:r>
        <w:rPr>
          <w:rFonts w:ascii="Times New Roman" w:cs="Times New Roman" w:eastAsia="Times New Roman" w:hAnsi="Times New Roman"/>
          <w:sz w:val="17"/>
          <w:szCs w:val="17"/>
          <w:color w:val="auto"/>
        </w:rPr>
        <w:t>. If the Executive’s employment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w:t>
      </w:r>
    </w:p>
    <w:p>
      <w:pPr>
        <w:spacing w:after="0" w:line="1" w:lineRule="exact"/>
        <w:rPr>
          <w:rFonts w:ascii="Times New Roman" w:cs="Times New Roman" w:eastAsia="Times New Roman" w:hAnsi="Times New Roman"/>
          <w:sz w:val="17"/>
          <w:szCs w:val="17"/>
          <w:color w:val="auto"/>
        </w:rPr>
      </w:pPr>
    </w:p>
    <w:p>
      <w:pPr>
        <w:ind w:left="4"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87" w:lineRule="exact"/>
        <w:rPr>
          <w:rFonts w:ascii="Times New Roman" w:cs="Times New Roman" w:eastAsia="Times New Roman" w:hAnsi="Times New Roman"/>
          <w:sz w:val="17"/>
          <w:szCs w:val="17"/>
          <w:color w:val="auto"/>
        </w:rPr>
      </w:pPr>
    </w:p>
    <w:p>
      <w:pPr>
        <w:ind w:left="4" w:firstLine="436"/>
        <w:spacing w:after="0" w:line="290" w:lineRule="auto"/>
        <w:tabs>
          <w:tab w:leader="none" w:pos="69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by the Company Without Cause or by the Executive With Good Reason Prior to or More Than Twelve Months Following a Change in Control. </w:t>
      </w:r>
      <w:r>
        <w:rPr>
          <w:rFonts w:ascii="Times New Roman" w:cs="Times New Roman" w:eastAsia="Times New Roman" w:hAnsi="Times New Roman"/>
          <w:sz w:val="17"/>
          <w:szCs w:val="17"/>
          <w:color w:val="auto"/>
        </w:rPr>
        <w:t>If the Executive’s employment is terminated by the Company without Cause pursuant to Section 7(b) or by the Executive with Good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Reason pursuant to Section 7(c) (in either case, a “Qualifying Termination”) prior to or more than twelve (12) months following a Change in Control (as</w:t>
      </w:r>
    </w:p>
    <w:p>
      <w:pPr>
        <w:sectPr>
          <w:pgSz w:w="11900" w:h="16838" w:orient="portrait"/>
          <w:cols w:equalWidth="0" w:num="1">
            <w:col w:w="10984"/>
          </w:cols>
          <w:pgMar w:left="436" w:top="270" w:right="479" w:bottom="1440" w:gutter="0" w:footer="0" w:header="0"/>
        </w:sectPr>
      </w:pPr>
    </w:p>
    <w:bookmarkStart w:id="8" w:name="page9"/>
    <w:bookmarkEnd w:id="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defined below), the Executive shall be entitled to the Accrued Obligations. In addition, and subject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conditions of Section 8(d), the Company shall: (i) continue to pay to the Executive, in accordance with the Company’s regularly established payroll procedures, the Executive’s Base Salary for a period of nine (9) months and (ii) provided the Executive is eligible for and timely elects to continue receiving group medical insurance pursuant to the “COBRA” law, continue to pay (but in no event longer than nine (9)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79" w:lineRule="exact"/>
        <w:rPr>
          <w:sz w:val="20"/>
          <w:szCs w:val="20"/>
          <w:color w:val="auto"/>
        </w:rPr>
      </w:pPr>
    </w:p>
    <w:p>
      <w:pPr>
        <w:ind w:firstLine="436"/>
        <w:spacing w:after="0" w:line="253"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by the Company Without Cause or by the Executive With Good Reason Within Twelve Months Following a Change in Control. </w:t>
      </w:r>
      <w:r>
        <w:rPr>
          <w:rFonts w:ascii="Times New Roman" w:cs="Times New Roman" w:eastAsia="Times New Roman" w:hAnsi="Times New Roman"/>
          <w:sz w:val="18"/>
          <w:szCs w:val="18"/>
          <w:color w:val="auto"/>
        </w:rPr>
        <w:t>If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Qualifying Termination occurs within twelve (12) months following a Change in Control, then the Executive shall be entitled to the Accrued Obligations. In addition, and subject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79" w:lineRule="exact"/>
        <w:rPr>
          <w:rFonts w:ascii="Times New Roman" w:cs="Times New Roman" w:eastAsia="Times New Roman" w:hAnsi="Times New Roman"/>
          <w:sz w:val="18"/>
          <w:szCs w:val="18"/>
          <w:color w:val="auto"/>
        </w:rPr>
      </w:pPr>
    </w:p>
    <w:p>
      <w:pPr>
        <w:ind w:right="80" w:firstLine="436"/>
        <w:spacing w:after="0" w:line="254"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As a condition of the Executive’s receipt of the Severance Benefits or the Change in Control Severance Benefits, as applicable,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ectPr>
          <w:pgSz w:w="11900" w:h="16838" w:orient="portrait"/>
          <w:cols w:equalWidth="0" w:num="1">
            <w:col w:w="11000"/>
          </w:cols>
          <w:pgMar w:left="440" w:top="270" w:right="459" w:bottom="1440" w:gutter="0" w:footer="0" w:header="0"/>
        </w:sectPr>
      </w:pPr>
    </w:p>
    <w:bookmarkStart w:id="9" w:name="page10"/>
    <w:bookmarkEnd w:id="9"/>
    <w:p>
      <w:pPr>
        <w:ind w:left="4" w:firstLine="436"/>
        <w:spacing w:after="0" w:line="266" w:lineRule="auto"/>
        <w:tabs>
          <w:tab w:leader="none" w:pos="68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in Control Definition</w:t>
      </w:r>
      <w:r>
        <w:rPr>
          <w:rFonts w:ascii="Times New Roman" w:cs="Times New Roman" w:eastAsia="Times New Roman" w:hAnsi="Times New Roman"/>
          <w:sz w:val="17"/>
          <w:szCs w:val="17"/>
          <w:color w:val="auto"/>
        </w:rPr>
        <w:t>. For purposes of this Agreement, “Change in Control” shall mean the occurrence of any of the following events,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9" w:lineRule="exact"/>
        <w:rPr>
          <w:rFonts w:ascii="Times New Roman" w:cs="Times New Roman" w:eastAsia="Times New Roman" w:hAnsi="Times New Roman"/>
          <w:sz w:val="17"/>
          <w:szCs w:val="17"/>
          <w:color w:val="auto"/>
        </w:rPr>
      </w:pPr>
    </w:p>
    <w:p>
      <w:pPr>
        <w:ind w:left="4" w:right="60" w:hanging="4"/>
        <w:spacing w:after="0" w:line="267" w:lineRule="auto"/>
        <w:tabs>
          <w:tab w:leader="none" w:pos="31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w:t>
      </w:r>
    </w:p>
    <w:p>
      <w:pPr>
        <w:sectPr>
          <w:pgSz w:w="11900" w:h="16838" w:orient="portrait"/>
          <w:cols w:equalWidth="0" w:num="1">
            <w:col w:w="11004"/>
          </w:cols>
          <w:pgMar w:left="436" w:top="268" w:right="459" w:bottom="1440" w:gutter="0" w:footer="0" w:header="0"/>
        </w:sectPr>
      </w:pPr>
    </w:p>
    <w:bookmarkStart w:id="10" w:name="page11"/>
    <w:bookmarkEnd w:id="10"/>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66" w:lineRule="exact"/>
        <w:rPr>
          <w:sz w:val="20"/>
          <w:szCs w:val="20"/>
          <w:color w:val="auto"/>
        </w:rPr>
      </w:pPr>
    </w:p>
    <w:p>
      <w:pPr>
        <w:ind w:left="4" w:hanging="4"/>
        <w:spacing w:after="0" w:line="267"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Restrictions</w:t>
      </w:r>
      <w:r>
        <w:rPr>
          <w:rFonts w:ascii="Times New Roman" w:cs="Times New Roman" w:eastAsia="Times New Roman" w:hAnsi="Times New Roman"/>
          <w:sz w:val="18"/>
          <w:szCs w:val="18"/>
          <w:color w:val="auto"/>
        </w:rPr>
        <w:t>. The Executive represents and warrants that the Executive is not bound by any employment contracts, restrictive covenants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restrictions that prevent the Executive from entering into employment with, or carrying out the Executive’s responsibilities for, the Company, or which are in any way inconsistent with any of the terms of this Agreement.</w:t>
      </w:r>
    </w:p>
    <w:p>
      <w:pPr>
        <w:spacing w:after="0" w:line="65" w:lineRule="exact"/>
        <w:rPr>
          <w:rFonts w:ascii="Times New Roman" w:cs="Times New Roman" w:eastAsia="Times New Roman" w:hAnsi="Times New Roman"/>
          <w:sz w:val="18"/>
          <w:szCs w:val="18"/>
          <w:color w:val="auto"/>
        </w:rPr>
      </w:pPr>
    </w:p>
    <w:p>
      <w:pPr>
        <w:ind w:left="4" w:right="140" w:hanging="4"/>
        <w:spacing w:after="0" w:line="267" w:lineRule="auto"/>
        <w:tabs>
          <w:tab w:leader="none" w:pos="2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Any notice delivered under this Agreement shall be deemed duly delivered three (3) business days after it is sent by registered or certified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2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Executive: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the address set forth in the Executive’s personnel file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Company: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Fulcrum Therapeutics, Inc.</w:t>
      </w:r>
    </w:p>
    <w:p>
      <w:pPr>
        <w:ind w:left="444"/>
        <w:spacing w:after="0" w:line="196" w:lineRule="auto"/>
        <w:rPr>
          <w:sz w:val="20"/>
          <w:szCs w:val="20"/>
          <w:color w:val="auto"/>
        </w:rPr>
      </w:pPr>
      <w:r>
        <w:rPr>
          <w:rFonts w:ascii="Times New Roman" w:cs="Times New Roman" w:eastAsia="Times New Roman" w:hAnsi="Times New Roman"/>
          <w:sz w:val="18"/>
          <w:szCs w:val="18"/>
          <w:color w:val="auto"/>
        </w:rPr>
        <w:t>26 Landsdowne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7"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Either Party may change the address to which notices are to be delivered by giving notice of such change to the other Party in the manner set forth in this Section 10.</w:t>
      </w:r>
    </w:p>
    <w:p>
      <w:pPr>
        <w:spacing w:after="0" w:line="52" w:lineRule="exact"/>
        <w:rPr>
          <w:sz w:val="20"/>
          <w:szCs w:val="20"/>
          <w:color w:val="auto"/>
        </w:rPr>
      </w:pPr>
    </w:p>
    <w:p>
      <w:pPr>
        <w:ind w:left="4" w:right="140" w:hanging="4"/>
        <w:spacing w:after="0" w:line="257" w:lineRule="auto"/>
        <w:tabs>
          <w:tab w:leader="none" w:pos="2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 Jury Trial Waiver</w:t>
      </w:r>
      <w:r>
        <w:rPr>
          <w:rFonts w:ascii="Times New Roman" w:cs="Times New Roman" w:eastAsia="Times New Roman" w:hAnsi="Times New Roman"/>
          <w:sz w:val="18"/>
          <w:szCs w:val="18"/>
          <w:color w:val="auto"/>
        </w:rPr>
        <w:t>. This Agreement shall be governed by and construed in accordance with the laws of the Commonwealth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74" w:lineRule="exact"/>
        <w:rPr>
          <w:rFonts w:ascii="Times New Roman" w:cs="Times New Roman" w:eastAsia="Times New Roman" w:hAnsi="Times New Roman"/>
          <w:sz w:val="18"/>
          <w:szCs w:val="18"/>
          <w:color w:val="auto"/>
        </w:rPr>
      </w:pPr>
    </w:p>
    <w:p>
      <w:pPr>
        <w:ind w:left="4" w:right="160" w:hanging="4"/>
        <w:spacing w:after="0" w:line="267" w:lineRule="auto"/>
        <w:tabs>
          <w:tab w:leader="none" w:pos="2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be binding upon and inure to the benefit of both Parties and their respective successors and assigns,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corporation with which or into which the Company may be merged or which may succeed to its assets or business; provided, however, that the obligations of the Executive are personal and shall not be assigned by the Executive.</w:t>
      </w:r>
    </w:p>
    <w:p>
      <w:pPr>
        <w:sectPr>
          <w:pgSz w:w="11900" w:h="16838" w:orient="portrait"/>
          <w:cols w:equalWidth="0" w:num="1">
            <w:col w:w="10964"/>
          </w:cols>
          <w:pgMar w:left="436" w:top="270" w:right="499" w:bottom="1440" w:gutter="0" w:footer="0" w:header="0"/>
        </w:sectPr>
      </w:pPr>
    </w:p>
    <w:bookmarkStart w:id="11" w:name="page12"/>
    <w:bookmarkEnd w:id="11"/>
    <w:p>
      <w:pPr>
        <w:ind w:left="4" w:right="120" w:hanging="4"/>
        <w:spacing w:after="0" w:line="267" w:lineRule="auto"/>
        <w:tabs>
          <w:tab w:leader="none" w:pos="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At-Will Employment</w:t>
      </w:r>
      <w:r>
        <w:rPr>
          <w:rFonts w:ascii="Times New Roman" w:cs="Times New Roman" w:eastAsia="Times New Roman" w:hAnsi="Times New Roman"/>
          <w:sz w:val="18"/>
          <w:szCs w:val="18"/>
          <w:color w:val="auto"/>
        </w:rPr>
        <w:t>. During the Term of Employment, the Executive will continue to be an at-will employee of the Company, which means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any other provision set forth herein, the employment relationship can be terminated by either Party for any reason, at any time, with or without prior notice and with or without Cause.</w:t>
      </w:r>
    </w:p>
    <w:p>
      <w:pPr>
        <w:spacing w:after="0" w:line="65" w:lineRule="exact"/>
        <w:rPr>
          <w:rFonts w:ascii="Times New Roman" w:cs="Times New Roman" w:eastAsia="Times New Roman" w:hAnsi="Times New Roman"/>
          <w:sz w:val="18"/>
          <w:szCs w:val="18"/>
          <w:color w:val="auto"/>
        </w:rPr>
      </w:pPr>
    </w:p>
    <w:p>
      <w:pPr>
        <w:ind w:left="4" w:right="140" w:hanging="4"/>
        <w:spacing w:after="0" w:line="290" w:lineRule="auto"/>
        <w:tabs>
          <w:tab w:leader="none" w:pos="27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Acknowledgment</w:t>
      </w:r>
      <w:r>
        <w:rPr>
          <w:rFonts w:ascii="Times New Roman" w:cs="Times New Roman" w:eastAsia="Times New Roman" w:hAnsi="Times New Roman"/>
          <w:sz w:val="17"/>
          <w:szCs w:val="17"/>
          <w:color w:val="auto"/>
        </w:rPr>
        <w:t>. The Executive states and represents that the Executive has had an opportunity to fully discuss and review the terms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47" w:lineRule="exact"/>
        <w:rPr>
          <w:rFonts w:ascii="Times New Roman" w:cs="Times New Roman" w:eastAsia="Times New Roman" w:hAnsi="Times New Roman"/>
          <w:sz w:val="17"/>
          <w:szCs w:val="17"/>
          <w:color w:val="auto"/>
        </w:rPr>
      </w:pPr>
    </w:p>
    <w:p>
      <w:pPr>
        <w:jc w:val="both"/>
        <w:ind w:left="4" w:hanging="4"/>
        <w:spacing w:after="0" w:line="261" w:lineRule="auto"/>
        <w:tabs>
          <w:tab w:leader="none" w:pos="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Oral Modification, Waiver, Cancellation or Discharge</w:t>
      </w:r>
      <w:r>
        <w:rPr>
          <w:rFonts w:ascii="Times New Roman" w:cs="Times New Roman" w:eastAsia="Times New Roman" w:hAnsi="Times New Roman"/>
          <w:sz w:val="18"/>
          <w:szCs w:val="18"/>
          <w:color w:val="auto"/>
        </w:rPr>
        <w:t>. This Agreement may be amended or modified only by a written instrument executed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71" w:lineRule="exact"/>
        <w:rPr>
          <w:rFonts w:ascii="Times New Roman" w:cs="Times New Roman" w:eastAsia="Times New Roman" w:hAnsi="Times New Roman"/>
          <w:sz w:val="18"/>
          <w:szCs w:val="18"/>
          <w:color w:val="auto"/>
        </w:rPr>
      </w:pPr>
    </w:p>
    <w:p>
      <w:pPr>
        <w:ind w:left="4" w:right="220" w:hanging="4"/>
        <w:spacing w:after="0" w:line="267" w:lineRule="auto"/>
        <w:tabs>
          <w:tab w:leader="none" w:pos="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Captions and Pronouns</w:t>
      </w:r>
      <w:r>
        <w:rPr>
          <w:rFonts w:ascii="Times New Roman" w:cs="Times New Roman" w:eastAsia="Times New Roman" w:hAnsi="Times New Roman"/>
          <w:sz w:val="18"/>
          <w:szCs w:val="18"/>
          <w:color w:val="auto"/>
        </w:rPr>
        <w:t>. The captions of the sections of this Agreement are for convenience of reference only and in no way define, limit or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65" w:lineRule="exact"/>
        <w:rPr>
          <w:rFonts w:ascii="Times New Roman" w:cs="Times New Roman" w:eastAsia="Times New Roman" w:hAnsi="Times New Roman"/>
          <w:sz w:val="18"/>
          <w:szCs w:val="18"/>
          <w:color w:val="auto"/>
        </w:rPr>
      </w:pPr>
    </w:p>
    <w:p>
      <w:pPr>
        <w:jc w:val="both"/>
        <w:ind w:left="4" w:right="760" w:hanging="4"/>
        <w:spacing w:after="0" w:line="267" w:lineRule="auto"/>
        <w:tabs>
          <w:tab w:leader="none" w:pos="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The Parties agree that this Agreement will be construed without regard to any presumption or rule requiring construction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65" w:lineRule="exact"/>
        <w:rPr>
          <w:rFonts w:ascii="Times New Roman" w:cs="Times New Roman" w:eastAsia="Times New Roman" w:hAnsi="Times New Roman"/>
          <w:sz w:val="18"/>
          <w:szCs w:val="18"/>
          <w:color w:val="auto"/>
        </w:rPr>
      </w:pPr>
    </w:p>
    <w:p>
      <w:pPr>
        <w:ind w:left="4" w:right="160" w:hanging="4"/>
        <w:spacing w:after="0" w:line="257" w:lineRule="auto"/>
        <w:tabs>
          <w:tab w:leader="none" w:pos="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Each provision of this Agreement must be interpreted in such manner as to be effective and valid under applicable law, but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74" w:lineRule="exact"/>
        <w:rPr>
          <w:rFonts w:ascii="Times New Roman" w:cs="Times New Roman" w:eastAsia="Times New Roman" w:hAnsi="Times New Roman"/>
          <w:sz w:val="18"/>
          <w:szCs w:val="18"/>
          <w:color w:val="auto"/>
        </w:rPr>
      </w:pPr>
    </w:p>
    <w:p>
      <w:pPr>
        <w:ind w:left="4" w:right="360" w:hanging="4"/>
        <w:spacing w:after="0" w:line="284" w:lineRule="auto"/>
        <w:tabs>
          <w:tab w:leader="none" w:pos="2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constitutes the entire agreement between the Parties and supersedes all prior agreements and understandings,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written or oral, relating to the subject matter of this Agreement, including, without limitation, the Existing Agreement.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[Signatures on Page Following]</w:t>
      </w:r>
    </w:p>
    <w:p>
      <w:pPr>
        <w:sectPr>
          <w:pgSz w:w="11900" w:h="16838" w:orient="portrait"/>
          <w:cols w:equalWidth="0" w:num="1">
            <w:col w:w="11004"/>
          </w:cols>
          <w:pgMar w:left="436" w:top="268" w:right="459"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day and year set forth above.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Kim Hazen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Kim Hazen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SVP, Human Resources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Mel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4" w:name="page15"/>
    <w:bookmarkEnd w:id="1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Payments Subject to Section 409A</w:t>
      </w:r>
    </w:p>
    <w:p>
      <w:pPr>
        <w:spacing w:after="0" w:line="229" w:lineRule="exact"/>
        <w:rPr>
          <w:sz w:val="20"/>
          <w:szCs w:val="20"/>
          <w:color w:val="auto"/>
        </w:rPr>
      </w:pPr>
    </w:p>
    <w:p>
      <w:pPr>
        <w:ind w:left="4" w:right="20" w:hanging="4"/>
        <w:spacing w:after="0" w:line="266"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67"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67" w:lineRule="exact"/>
        <w:rPr>
          <w:rFonts w:ascii="Times New Roman" w:cs="Times New Roman" w:eastAsia="Times New Roman" w:hAnsi="Times New Roman"/>
          <w:sz w:val="18"/>
          <w:szCs w:val="18"/>
          <w:color w:val="auto"/>
        </w:rPr>
      </w:pPr>
    </w:p>
    <w:p>
      <w:pPr>
        <w:jc w:val="both"/>
        <w:ind w:left="444" w:firstLine="419"/>
        <w:spacing w:after="0" w:line="312" w:lineRule="auto"/>
        <w:tabs>
          <w:tab w:leader="none" w:pos="1122"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31" w:lineRule="exact"/>
        <w:rPr>
          <w:rFonts w:ascii="Times New Roman" w:cs="Times New Roman" w:eastAsia="Times New Roman" w:hAnsi="Times New Roman"/>
          <w:sz w:val="17"/>
          <w:szCs w:val="17"/>
          <w:color w:val="auto"/>
        </w:rPr>
      </w:pPr>
    </w:p>
    <w:p>
      <w:pPr>
        <w:ind w:left="444" w:right="280" w:firstLine="419"/>
        <w:spacing w:after="0" w:line="282" w:lineRule="auto"/>
        <w:tabs>
          <w:tab w:leader="none" w:pos="11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date of the Executive’s “separation from service” from the Company, the Executive is a “specified employee” (within the meaning of Section 409A), then:</w:t>
      </w:r>
    </w:p>
    <w:p>
      <w:pPr>
        <w:spacing w:after="0" w:line="67" w:lineRule="exact"/>
        <w:rPr>
          <w:rFonts w:ascii="Times New Roman" w:cs="Times New Roman" w:eastAsia="Times New Roman" w:hAnsi="Times New Roman"/>
          <w:sz w:val="18"/>
          <w:szCs w:val="18"/>
          <w:color w:val="auto"/>
        </w:rPr>
      </w:pPr>
    </w:p>
    <w:p>
      <w:pPr>
        <w:ind w:left="1424" w:right="80" w:hanging="439"/>
        <w:spacing w:after="0" w:line="258" w:lineRule="auto"/>
        <w:tabs>
          <w:tab w:leader="none" w:pos="14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88" w:lineRule="exact"/>
        <w:rPr>
          <w:rFonts w:ascii="Times New Roman" w:cs="Times New Roman" w:eastAsia="Times New Roman" w:hAnsi="Times New Roman"/>
          <w:sz w:val="18"/>
          <w:szCs w:val="18"/>
          <w:color w:val="auto"/>
        </w:rPr>
      </w:pPr>
    </w:p>
    <w:p>
      <w:pPr>
        <w:ind w:left="1424" w:right="20" w:hanging="439"/>
        <w:spacing w:after="0" w:line="254" w:lineRule="auto"/>
        <w:tabs>
          <w:tab w:leader="none" w:pos="14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your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w:t>
      </w:r>
    </w:p>
    <w:p>
      <w:pPr>
        <w:sectPr>
          <w:pgSz w:w="11900" w:h="16838" w:orient="portrait"/>
          <w:cols w:equalWidth="0" w:num="1">
            <w:col w:w="10984"/>
          </w:cols>
          <w:pgMar w:left="436" w:top="266" w:right="479" w:bottom="1440" w:gutter="0" w:footer="0" w:header="0"/>
        </w:sectPr>
      </w:pPr>
    </w:p>
    <w:bookmarkStart w:id="15" w:name="page16"/>
    <w:bookmarkEnd w:id="15"/>
    <w:p>
      <w:pPr>
        <w:ind w:left="98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by reason of the application of Treasury Regulation 1.409A- 1(b)(9)(iii)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72" w:lineRule="exact"/>
        <w:rPr>
          <w:sz w:val="20"/>
          <w:szCs w:val="20"/>
          <w:color w:val="auto"/>
        </w:rPr>
      </w:pPr>
    </w:p>
    <w:p>
      <w:pPr>
        <w:jc w:val="both"/>
        <w:ind w:left="4" w:firstLine="436"/>
        <w:spacing w:after="0" w:line="266" w:lineRule="auto"/>
        <w:tabs>
          <w:tab w:leader="none" w:pos="6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67" w:lineRule="exact"/>
        <w:rPr>
          <w:rFonts w:ascii="Times New Roman" w:cs="Times New Roman" w:eastAsia="Times New Roman" w:hAnsi="Times New Roman"/>
          <w:sz w:val="18"/>
          <w:szCs w:val="18"/>
          <w:color w:val="auto"/>
        </w:rPr>
      </w:pPr>
    </w:p>
    <w:p>
      <w:pPr>
        <w:ind w:left="4" w:right="100" w:firstLine="436"/>
        <w:spacing w:after="0" w:line="276" w:lineRule="auto"/>
        <w:tabs>
          <w:tab w:leader="none" w:pos="62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w:t>
      </w:r>
    </w:p>
    <w:p>
      <w:pPr>
        <w:ind w:left="4" w:hanging="4"/>
        <w:spacing w:after="0" w:line="265" w:lineRule="auto"/>
        <w:tabs>
          <w:tab w:leader="none" w:pos="21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w:t>
      </w:r>
    </w:p>
    <w:p>
      <w:pPr>
        <w:ind w:left="4" w:right="400" w:hanging="4"/>
        <w:spacing w:after="0" w:line="260"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73"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6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intended to comply with, or be exempt from, Section 409A and shall be interpreted accordingly.</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[Remainder of page intentionally left blank.]</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4"/>
    </w:lvl>
    <w:lvl w:ilvl="1">
      <w:lvlJc w:val="left"/>
      <w:lvlText w:val="(%2)"/>
      <w:numFmt w:val="lowerLetter"/>
      <w:start w:val="1"/>
    </w:lvl>
  </w:abstractNum>
  <w:abstractNum w:abstractNumId="5">
    <w:nsid w:val="4E6AFB6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6">
    <w:nsid w:val="25E45D32"/>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7">
    <w:nsid w:val="519B500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8">
    <w:nsid w:val="431BD7B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9">
    <w:nsid w:val="3F2DBA3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0">
    <w:nsid w:val="7C83E458"/>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11">
    <w:nsid w:val="257130A3"/>
    <w:multiLevelType w:val="hybridMultilevel"/>
    <w:lvl w:ilvl="0">
      <w:lvlJc w:val="left"/>
      <w:lvlText w:val="%1"/>
      <w:numFmt w:val="lowerRoman"/>
      <w:start w:val="1"/>
    </w:lvl>
    <w:lvl w:ilvl="1">
      <w:lvlJc w:val="left"/>
      <w:lvlText w:val="(%2)"/>
      <w:numFmt w:val="lowerLetter"/>
      <w:start w:val="3"/>
    </w:lvl>
  </w:abstractNum>
  <w:abstractNum w:abstractNumId="12">
    <w:nsid w:val="62BBD95A"/>
    <w:multiLevelType w:val="hybridMultilevel"/>
    <w:lvl w:ilvl="0">
      <w:lvlJc w:val="left"/>
      <w:lvlText w:val="%1"/>
      <w:numFmt w:val="lowerRoman"/>
      <w:start w:val="1"/>
    </w:lvl>
    <w:lvl w:ilvl="1">
      <w:lvlJc w:val="left"/>
      <w:lvlText w:val="(%2)"/>
      <w:numFmt w:val="lowerLetter"/>
      <w:start w:val="9"/>
    </w:lvl>
  </w:abstractNum>
  <w:abstractNum w:abstractNumId="13">
    <w:nsid w:val="436C6125"/>
    <w:multiLevelType w:val="hybridMultilevel"/>
    <w:lvl w:ilvl="0">
      <w:lvlJc w:val="left"/>
      <w:lvlText w:val="%1"/>
      <w:numFmt w:val="lowerRoman"/>
      <w:start w:val="1"/>
    </w:lvl>
    <w:lvl w:ilvl="1">
      <w:lvlJc w:val="left"/>
      <w:lvlText w:val="(%2)"/>
      <w:numFmt w:val="lowerLetter"/>
      <w:start w:val="35"/>
    </w:lvl>
  </w:abstractNum>
  <w:abstractNum w:abstractNumId="14">
    <w:nsid w:val="628C895D"/>
    <w:multiLevelType w:val="hybridMultilevel"/>
    <w:lvl w:ilvl="0">
      <w:lvlJc w:val="left"/>
      <w:lvlText w:val="%1"/>
      <w:numFmt w:val="lowerRoman"/>
      <w:start w:val="1"/>
    </w:lvl>
    <w:lvl w:ilvl="1">
      <w:lvlJc w:val="left"/>
      <w:lvlText w:val="(%2)"/>
      <w:numFmt w:val="lowerLetter"/>
      <w:start w:val="61"/>
    </w:lvl>
  </w:abstractNum>
  <w:abstractNum w:abstractNumId="15">
    <w:nsid w:val="333AB105"/>
    <w:multiLevelType w:val="hybridMultilevel"/>
    <w:lvl w:ilvl="0">
      <w:lvlJc w:val="left"/>
      <w:lvlText w:val="%1"/>
      <w:numFmt w:val="lowerRoman"/>
      <w:start w:val="1"/>
    </w:lvl>
    <w:lvl w:ilvl="1">
      <w:lvlJc w:val="left"/>
      <w:lvlText w:val="(%2)"/>
      <w:numFmt w:val="lowerLetter"/>
      <w:start w:val="61"/>
    </w:lvl>
  </w:abstractNum>
  <w:abstractNum w:abstractNumId="16">
    <w:nsid w:val="721DA317"/>
    <w:multiLevelType w:val="hybridMultilevel"/>
    <w:lvl w:ilvl="0">
      <w:lvlJc w:val="left"/>
      <w:lvlText w:val="%1."/>
      <w:numFmt w:val="decimal"/>
      <w:start w:val="8"/>
    </w:lvl>
    <w:lvl w:ilvl="1">
      <w:lvlJc w:val="left"/>
      <w:lvlText w:val="(%2)"/>
      <w:numFmt w:val="lowerLetter"/>
      <w:start w:val="1"/>
    </w:lvl>
  </w:abstractNum>
  <w:abstractNum w:abstractNumId="17">
    <w:nsid w:val="2443A858"/>
    <w:multiLevelType w:val="hybridMultilevel"/>
    <w:lvl w:ilvl="0">
      <w:lvlJc w:val="left"/>
      <w:lvlText w:val="(%1)"/>
      <w:numFmt w:val="lowerLetter"/>
      <w:start w:val="3"/>
    </w:lvl>
  </w:abstractNum>
  <w:abstractNum w:abstractNumId="18">
    <w:nsid w:val="2D1D5AE9"/>
    <w:multiLevelType w:val="hybridMultilevel"/>
    <w:lvl w:ilvl="0">
      <w:lvlJc w:val="left"/>
      <w:lvlText w:val="%1"/>
      <w:numFmt w:val="lowerLetter"/>
      <w:start w:val="1"/>
    </w:lvl>
    <w:lvl w:ilvl="1">
      <w:lvlJc w:val="left"/>
      <w:lvlText w:val="(%2)"/>
      <w:numFmt w:val="lowerLetter"/>
      <w:start w:val="5"/>
    </w:lvl>
  </w:abstractNum>
  <w:abstractNum w:abstractNumId="19">
    <w:nsid w:val="6763845E"/>
    <w:multiLevelType w:val="hybridMultilevel"/>
    <w:lvl w:ilvl="0">
      <w:lvlJc w:val="left"/>
      <w:lvlText w:val="(%1)"/>
      <w:numFmt w:val="lowerLetter"/>
      <w:start w:val="61"/>
    </w:lvl>
    <w:lvl w:ilvl="1">
      <w:lvlJc w:val="left"/>
      <w:lvlText w:val="%2"/>
      <w:numFmt w:val="lowerLetter"/>
      <w:start w:val="1"/>
    </w:lvl>
  </w:abstractNum>
  <w:abstractNum w:abstractNumId="20">
    <w:nsid w:val="75A2A8D4"/>
    <w:multiLevelType w:val="hybridMultilevel"/>
    <w:lvl w:ilvl="0">
      <w:lvlJc w:val="left"/>
      <w:lvlText w:val="%1."/>
      <w:numFmt w:val="decimal"/>
      <w:start w:val="9"/>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3"/>
    </w:lvl>
  </w:abstractNum>
  <w:abstractNum w:abstractNumId="23">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B03E0C6"/>
    <w:multiLevelType w:val="hybridMultilevel"/>
    <w:lvl w:ilvl="0">
      <w:lvlJc w:val="left"/>
      <w:lvlText w:val="%1"/>
      <w:numFmt w:val="lowerRoman"/>
      <w:start w:val="1"/>
    </w:lvl>
    <w:lvl w:ilvl="1">
      <w:lvlJc w:val="left"/>
      <w:lvlText w:val="%2."/>
      <w:numFmt w:val="decimal"/>
      <w:start w:val="2"/>
    </w:lvl>
  </w:abstractNum>
  <w:abstractNum w:abstractNumId="25">
    <w:nsid w:val="189A769B"/>
    <w:multiLevelType w:val="hybridMultilevel"/>
    <w:lvl w:ilvl="0">
      <w:lvlJc w:val="left"/>
      <w:lvlText w:val="(%1)"/>
      <w:numFmt w:val="lowerRoman"/>
      <w:start w:val="1"/>
    </w:lvl>
    <w:lvl w:ilvl="1">
      <w:lvlJc w:val="left"/>
      <w:lvlText w:val="%2"/>
      <w:numFmt w:val="decimal"/>
      <w:start w:val="1"/>
    </w:lvl>
  </w:abstractNum>
  <w:abstractNum w:abstractNumId="26">
    <w:nsid w:val="54E49EB4"/>
    <w:multiLevelType w:val="hybridMultilevel"/>
    <w:lvl w:ilvl="0">
      <w:lvlJc w:val="left"/>
      <w:lvlText w:val="(%1)"/>
      <w:numFmt w:val="lowerRoman"/>
      <w:start w:val="3"/>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2022-08-11T06:11:12Z</dcterms:created>
  <dcterms:modified xsi:type="dcterms:W3CDTF">2022-08-11T06:11:12Z</dcterms:modified>
</cp:coreProperties>
</file>