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RA CAPITAL</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3"/>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09/12/2024</w:t>
            </w: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020" w:type="dxa"/>
            <w:vAlign w:val="bottom"/>
            <w:gridSpan w:val="3"/>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MANAGEMENT, L.P.</w:t>
              </w:r>
            </w:hyperlink>
          </w:p>
        </w:tc>
        <w:tc>
          <w:tcPr>
            <w:tcW w:w="1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Fulcrum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FULC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0"/>
          <w:szCs w:val="20"/>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31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right="1477"/>
        <w:spacing w:after="0" w:line="275" w:lineRule="auto"/>
        <w:rPr>
          <w:sz w:val="20"/>
          <w:szCs w:val="20"/>
          <w:color w:val="auto"/>
        </w:rPr>
      </w:pPr>
      <w:r>
        <w:rPr>
          <w:rFonts w:ascii="Times New Roman" w:cs="Times New Roman" w:eastAsia="Times New Roman" w:hAnsi="Times New Roman"/>
          <w:sz w:val="20"/>
          <w:szCs w:val="20"/>
          <w:color w:val="0000FF"/>
        </w:rPr>
        <w:t>200 BERKELEY STREET, 18TH FLOOR</w:t>
      </w:r>
    </w:p>
    <w:p>
      <w:pPr>
        <w:spacing w:after="0" w:line="329"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BOSTON   MA</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02116</w:t>
            </w: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0"/>
          <w:szCs w:val="20"/>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2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0"/>
          <w:szCs w:val="20"/>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38" w:lineRule="exact"/>
        <w:rPr>
          <w:sz w:val="20"/>
          <w:szCs w:val="20"/>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gridSpan w:val="4"/>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20" w:type="dxa"/>
            <w:vAlign w:val="bottom"/>
          </w:tcPr>
          <w:p>
            <w:pPr>
              <w:ind w:left="120"/>
              <w:spacing w:after="0"/>
              <w:rPr>
                <w:sz w:val="20"/>
                <w:szCs w:val="20"/>
                <w:color w:val="auto"/>
              </w:rPr>
            </w:pPr>
            <w:r>
              <w:rPr>
                <w:rFonts w:ascii="Arial" w:cs="Arial" w:eastAsia="Arial" w:hAnsi="Arial"/>
                <w:sz w:val="15"/>
                <w:szCs w:val="15"/>
                <w:b w:val="1"/>
                <w:bCs w:val="1"/>
                <w:color w:val="auto"/>
              </w:rPr>
              <w:t>2. Amount of Securities</w:t>
            </w:r>
          </w:p>
        </w:tc>
        <w:tc>
          <w:tcPr>
            <w:tcW w:w="1560" w:type="dxa"/>
            <w:vAlign w:val="bottom"/>
            <w:gridSpan w:val="3"/>
          </w:tcPr>
          <w:p>
            <w:pPr>
              <w:ind w:left="3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380" w:type="dxa"/>
            <w:vAlign w:val="bottom"/>
            <w:gridSpan w:val="4"/>
          </w:tcPr>
          <w:p>
            <w:pPr>
              <w:ind w:left="12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4)</w:t>
            </w:r>
          </w:p>
        </w:tc>
        <w:tc>
          <w:tcPr>
            <w:tcW w:w="1560" w:type="dxa"/>
            <w:vAlign w:val="bottom"/>
            <w:gridSpan w:val="3"/>
          </w:tcPr>
          <w:p>
            <w:pPr>
              <w:ind w:left="380"/>
              <w:spacing w:after="0" w:line="165" w:lineRule="exact"/>
              <w:rPr>
                <w:sz w:val="20"/>
                <w:szCs w:val="20"/>
                <w:color w:val="auto"/>
              </w:rPr>
            </w:pPr>
            <w:r>
              <w:rPr>
                <w:rFonts w:ascii="Arial" w:cs="Arial" w:eastAsia="Arial" w:hAnsi="Arial"/>
                <w:sz w:val="15"/>
                <w:szCs w:val="15"/>
                <w:b w:val="1"/>
                <w:bCs w:val="1"/>
                <w:color w:val="auto"/>
              </w:rPr>
              <w:t>(D) or Indirect</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60" w:type="dxa"/>
            <w:vAlign w:val="bottom"/>
            <w:gridSpan w:val="3"/>
          </w:tcPr>
          <w:p>
            <w:pPr>
              <w:ind w:left="380"/>
              <w:spacing w:after="0"/>
              <w:rPr>
                <w:sz w:val="20"/>
                <w:szCs w:val="20"/>
                <w:color w:val="auto"/>
              </w:rPr>
            </w:pPr>
            <w:r>
              <w:rPr>
                <w:rFonts w:ascii="Arial" w:cs="Arial" w:eastAsia="Arial" w:hAnsi="Arial"/>
                <w:sz w:val="15"/>
                <w:szCs w:val="15"/>
                <w:b w:val="1"/>
                <w:bCs w:val="1"/>
                <w:color w:val="auto"/>
              </w:rPr>
              <w:t>(I) (Instr. 5)</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ind w:left="640"/>
              <w:spacing w:after="0"/>
              <w:rPr>
                <w:sz w:val="20"/>
                <w:szCs w:val="20"/>
                <w:color w:val="auto"/>
              </w:rPr>
            </w:pPr>
            <w:r>
              <w:rPr>
                <w:rFonts w:ascii="Times New Roman" w:cs="Times New Roman" w:eastAsia="Times New Roman" w:hAnsi="Times New Roman"/>
                <w:sz w:val="20"/>
                <w:szCs w:val="20"/>
                <w:color w:val="0000FF"/>
              </w:rPr>
              <w:t>10,229,099</w:t>
            </w:r>
          </w:p>
        </w:tc>
        <w:tc>
          <w:tcPr>
            <w:tcW w:w="96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20"/>
                <w:szCs w:val="20"/>
                <w:color w:val="0000FF"/>
              </w:rPr>
              <w:t>I</w:t>
            </w:r>
          </w:p>
        </w:tc>
        <w:tc>
          <w:tcPr>
            <w:tcW w:w="60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20"/>
                <w:szCs w:val="20"/>
                <w:color w:val="0000FF"/>
              </w:rPr>
              <w:t>See footnotes</w:t>
            </w:r>
            <w:r>
              <w:rPr>
                <w:rFonts w:ascii="Times New Roman" w:cs="Times New Roman" w:eastAsia="Times New Roman" w:hAnsi="Times New Roman"/>
                <w:sz w:val="25"/>
                <w:szCs w:val="25"/>
                <w:color w:val="008000"/>
                <w:vertAlign w:val="superscript"/>
              </w:rPr>
              <w:t>(1)(2)</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240" w:type="dxa"/>
            <w:vAlign w:val="bottom"/>
            <w:tcBorders>
              <w:top w:val="single" w:sz="8" w:color="2C2C2C"/>
            </w:tcBorders>
            <w:gridSpan w:val="10"/>
          </w:tcPr>
          <w:p>
            <w:pPr>
              <w:ind w:left="2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2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5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380" w:type="dxa"/>
            <w:vAlign w:val="bottom"/>
            <w:gridSpan w:val="11"/>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4"/>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40" w:type="dxa"/>
            <w:vAlign w:val="bottom"/>
          </w:tcPr>
          <w:p>
            <w:pPr>
              <w:spacing w:after="0"/>
              <w:rPr>
                <w:sz w:val="18"/>
                <w:szCs w:val="18"/>
                <w:color w:val="auto"/>
              </w:rPr>
            </w:pPr>
          </w:p>
        </w:tc>
        <w:tc>
          <w:tcPr>
            <w:tcW w:w="1860" w:type="dxa"/>
            <w:vAlign w:val="bottom"/>
            <w:gridSpan w:val="6"/>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60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3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2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6"/>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6"/>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32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Amount or</w:t>
            </w:r>
          </w:p>
        </w:tc>
        <w:tc>
          <w:tcPr>
            <w:tcW w:w="6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2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Number of</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Arial" w:cs="Arial" w:eastAsia="Arial" w:hAnsi="Arial"/>
                <w:sz w:val="15"/>
                <w:szCs w:val="15"/>
                <w:b w:val="1"/>
                <w:bCs w:val="1"/>
                <w:color w:val="auto"/>
              </w:rPr>
              <w:t>Shares</w:t>
            </w: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20"/>
                <w:szCs w:val="20"/>
                <w:color w:val="0000FF"/>
              </w:rPr>
              <w:t>Warrant (Right to Buy)</w:t>
            </w:r>
          </w:p>
        </w:tc>
        <w:tc>
          <w:tcPr>
            <w:tcW w:w="102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3"/>
                <w:szCs w:val="13"/>
                <w:color w:val="008000"/>
              </w:rPr>
              <w:t>(3)</w:t>
            </w:r>
          </w:p>
        </w:tc>
        <w:tc>
          <w:tcPr>
            <w:tcW w:w="1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jc w:val="right"/>
              <w:ind w:right="360"/>
              <w:spacing w:after="0"/>
              <w:rPr>
                <w:sz w:val="20"/>
                <w:szCs w:val="20"/>
                <w:color w:val="auto"/>
              </w:rPr>
            </w:pPr>
            <w:r>
              <w:rPr>
                <w:rFonts w:ascii="Times New Roman" w:cs="Times New Roman" w:eastAsia="Times New Roman" w:hAnsi="Times New Roman"/>
                <w:sz w:val="13"/>
                <w:szCs w:val="13"/>
                <w:color w:val="008000"/>
              </w:rPr>
              <w:t>(3)</w:t>
            </w:r>
          </w:p>
        </w:tc>
        <w:tc>
          <w:tcPr>
            <w:tcW w:w="18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0"/>
                <w:szCs w:val="20"/>
                <w:color w:val="0000FF"/>
              </w:rPr>
              <w:t>8,500,000</w:t>
            </w:r>
          </w:p>
        </w:tc>
        <w:tc>
          <w:tcPr>
            <w:tcW w:w="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20"/>
                <w:szCs w:val="20"/>
                <w:color w:val="0000FF"/>
              </w:rPr>
              <w:t>0.001</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2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20"/>
                <w:szCs w:val="20"/>
                <w:color w:val="0000FF"/>
                <w:w w:val="96"/>
              </w:rPr>
              <w:t>See footnotes</w:t>
            </w:r>
            <w:r>
              <w:rPr>
                <w:rFonts w:ascii="Times New Roman" w:cs="Times New Roman" w:eastAsia="Times New Roman" w:hAnsi="Times New Roman"/>
                <w:sz w:val="25"/>
                <w:szCs w:val="25"/>
                <w:color w:val="008000"/>
                <w:w w:val="96"/>
                <w:vertAlign w:val="superscript"/>
              </w:rPr>
              <w:t>(1)(2)</w:t>
            </w: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388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4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4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60" w:type="dxa"/>
            <w:vAlign w:val="bottom"/>
            <w:gridSpan w:val="6"/>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RA CAPITAL MANAGEMENT, L.P.</w:t>
              </w:r>
            </w:hyperlink>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140" w:type="dxa"/>
            <w:vAlign w:val="bottom"/>
            <w:tcBorders>
              <w:top w:val="single" w:sz="8" w:color="0000EE"/>
              <w:bottom w:val="single" w:sz="8" w:color="9A9A9A"/>
            </w:tcBorders>
          </w:tcPr>
          <w:p>
            <w:pPr>
              <w:spacing w:after="0"/>
              <w:rPr>
                <w:sz w:val="17"/>
                <w:szCs w:val="17"/>
                <w:color w:val="auto"/>
              </w:rPr>
            </w:pPr>
          </w:p>
        </w:tc>
        <w:tc>
          <w:tcPr>
            <w:tcW w:w="300" w:type="dxa"/>
            <w:vAlign w:val="bottom"/>
            <w:tcBorders>
              <w:top w:val="single" w:sz="8" w:color="0000EE"/>
              <w:bottom w:val="single" w:sz="8" w:color="9A9A9A"/>
            </w:tcBorders>
          </w:tcPr>
          <w:p>
            <w:pPr>
              <w:spacing w:after="0"/>
              <w:rPr>
                <w:sz w:val="17"/>
                <w:szCs w:val="17"/>
                <w:color w:val="auto"/>
              </w:rPr>
            </w:pPr>
          </w:p>
        </w:tc>
        <w:tc>
          <w:tcPr>
            <w:tcW w:w="580" w:type="dxa"/>
            <w:vAlign w:val="bottom"/>
            <w:tcBorders>
              <w:top w:val="single" w:sz="8" w:color="0000EE"/>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tcPr>
          <w:p>
            <w:pPr>
              <w:ind w:left="100"/>
              <w:spacing w:after="0"/>
              <w:rPr>
                <w:sz w:val="20"/>
                <w:szCs w:val="20"/>
                <w:color w:val="auto"/>
              </w:rPr>
            </w:pPr>
            <w:r>
              <w:rPr>
                <w:rFonts w:ascii="Arial" w:cs="Arial" w:eastAsia="Arial" w:hAnsi="Arial"/>
                <w:sz w:val="15"/>
                <w:szCs w:val="15"/>
                <w:color w:val="auto"/>
              </w:rPr>
              <w:t>(First)</w:t>
            </w:r>
          </w:p>
        </w:tc>
        <w:tc>
          <w:tcPr>
            <w:tcW w:w="1120" w:type="dxa"/>
            <w:vAlign w:val="bottom"/>
            <w:gridSpan w:val="4"/>
          </w:tcPr>
          <w:p>
            <w:pPr>
              <w:ind w:left="120"/>
              <w:spacing w:after="0"/>
              <w:rPr>
                <w:sz w:val="20"/>
                <w:szCs w:val="20"/>
                <w:color w:val="auto"/>
              </w:rPr>
            </w:pPr>
            <w:r>
              <w:rPr>
                <w:rFonts w:ascii="Arial" w:cs="Arial" w:eastAsia="Arial" w:hAnsi="Arial"/>
                <w:sz w:val="15"/>
                <w:szCs w:val="15"/>
                <w:color w:val="auto"/>
              </w:rPr>
              <w:t>(Middle)</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6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200 BERKELEY STREET, 18TH FLOOR</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136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58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34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BOSTON</w:t>
            </w:r>
          </w:p>
        </w:tc>
        <w:tc>
          <w:tcPr>
            <w:tcW w:w="136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MA</w:t>
            </w:r>
          </w:p>
        </w:tc>
        <w:tc>
          <w:tcPr>
            <w:tcW w:w="10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0000FF"/>
              </w:rPr>
              <w:t>02116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gridSpan w:val="2"/>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(City)</w:t>
            </w:r>
          </w:p>
        </w:tc>
        <w:tc>
          <w:tcPr>
            <w:tcW w:w="1360" w:type="dxa"/>
            <w:vAlign w:val="bottom"/>
          </w:tcPr>
          <w:p>
            <w:pPr>
              <w:ind w:left="100"/>
              <w:spacing w:after="0"/>
              <w:rPr>
                <w:sz w:val="20"/>
                <w:szCs w:val="20"/>
                <w:color w:val="auto"/>
              </w:rPr>
            </w:pPr>
            <w:r>
              <w:rPr>
                <w:rFonts w:ascii="Arial" w:cs="Arial" w:eastAsia="Arial" w:hAnsi="Arial"/>
                <w:sz w:val="15"/>
                <w:szCs w:val="15"/>
                <w:color w:val="auto"/>
              </w:rPr>
              <w:t>(State)</w:t>
            </w:r>
          </w:p>
        </w:tc>
        <w:tc>
          <w:tcPr>
            <w:tcW w:w="1120" w:type="dxa"/>
            <w:vAlign w:val="bottom"/>
            <w:gridSpan w:val="4"/>
          </w:tcPr>
          <w:p>
            <w:pPr>
              <w:ind w:left="120"/>
              <w:spacing w:after="0"/>
              <w:rPr>
                <w:sz w:val="20"/>
                <w:szCs w:val="20"/>
                <w:color w:val="auto"/>
              </w:rPr>
            </w:pPr>
            <w:r>
              <w:rPr>
                <w:rFonts w:ascii="Arial" w:cs="Arial" w:eastAsia="Arial" w:hAnsi="Arial"/>
                <w:sz w:val="15"/>
                <w:szCs w:val="15"/>
                <w:color w:val="auto"/>
              </w:rPr>
              <w:t>(Zip)</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gridSpan w:val="4"/>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88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60" w:type="dxa"/>
            <w:vAlign w:val="bottom"/>
            <w:gridSpan w:val="6"/>
          </w:tcPr>
          <w:p>
            <w:pPr>
              <w:spacing w:after="0" w:line="255" w:lineRule="exact"/>
              <w:rPr>
                <w:rFonts w:ascii="Times New Roman" w:cs="Times New Roman" w:eastAsia="Times New Roman" w:hAnsi="Times New Roman"/>
                <w:sz w:val="24"/>
                <w:szCs w:val="24"/>
                <w:color w:val="0000EE"/>
              </w:rPr>
            </w:pPr>
            <w:hyperlink r:id="rId13">
              <w:r>
                <w:rPr>
                  <w:rFonts w:ascii="Times New Roman" w:cs="Times New Roman" w:eastAsia="Times New Roman" w:hAnsi="Times New Roman"/>
                  <w:sz w:val="24"/>
                  <w:szCs w:val="24"/>
                  <w:color w:val="0000EE"/>
                </w:rPr>
                <w:t>RA Capital Healthcare Fund LP</w:t>
              </w:r>
            </w:hyperlink>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140" w:type="dxa"/>
            <w:vAlign w:val="bottom"/>
            <w:tcBorders>
              <w:top w:val="single" w:sz="8" w:color="0000EE"/>
              <w:bottom w:val="single" w:sz="8" w:color="9A9A9A"/>
            </w:tcBorders>
          </w:tcPr>
          <w:p>
            <w:pPr>
              <w:spacing w:after="0"/>
              <w:rPr>
                <w:sz w:val="17"/>
                <w:szCs w:val="17"/>
                <w:color w:val="auto"/>
              </w:rPr>
            </w:pPr>
          </w:p>
        </w:tc>
        <w:tc>
          <w:tcPr>
            <w:tcW w:w="300" w:type="dxa"/>
            <w:vAlign w:val="bottom"/>
            <w:tcBorders>
              <w:top w:val="single" w:sz="8" w:color="0000EE"/>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tcPr>
          <w:p>
            <w:pPr>
              <w:ind w:left="100"/>
              <w:spacing w:after="0"/>
              <w:rPr>
                <w:sz w:val="20"/>
                <w:szCs w:val="20"/>
                <w:color w:val="auto"/>
              </w:rPr>
            </w:pPr>
            <w:r>
              <w:rPr>
                <w:rFonts w:ascii="Arial" w:cs="Arial" w:eastAsia="Arial" w:hAnsi="Arial"/>
                <w:sz w:val="15"/>
                <w:szCs w:val="15"/>
                <w:color w:val="auto"/>
              </w:rPr>
              <w:t>(First)</w:t>
            </w:r>
          </w:p>
        </w:tc>
        <w:tc>
          <w:tcPr>
            <w:tcW w:w="1120" w:type="dxa"/>
            <w:vAlign w:val="bottom"/>
            <w:gridSpan w:val="4"/>
          </w:tcPr>
          <w:p>
            <w:pPr>
              <w:ind w:left="120"/>
              <w:spacing w:after="0"/>
              <w:rPr>
                <w:sz w:val="20"/>
                <w:szCs w:val="20"/>
                <w:color w:val="auto"/>
              </w:rPr>
            </w:pPr>
            <w:r>
              <w:rPr>
                <w:rFonts w:ascii="Arial" w:cs="Arial" w:eastAsia="Arial" w:hAnsi="Arial"/>
                <w:sz w:val="15"/>
                <w:szCs w:val="15"/>
                <w:color w:val="auto"/>
              </w:rPr>
              <w:t>(Middle)</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6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200 BERKELEY STREET, 18TH FLOOR</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136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58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34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BOSTON</w:t>
            </w:r>
          </w:p>
        </w:tc>
        <w:tc>
          <w:tcPr>
            <w:tcW w:w="136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MA</w:t>
            </w:r>
          </w:p>
        </w:tc>
        <w:tc>
          <w:tcPr>
            <w:tcW w:w="10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0000FF"/>
              </w:rPr>
              <w:t>02116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gridSpan w:val="2"/>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(City)</w:t>
            </w:r>
          </w:p>
        </w:tc>
        <w:tc>
          <w:tcPr>
            <w:tcW w:w="1360" w:type="dxa"/>
            <w:vAlign w:val="bottom"/>
          </w:tcPr>
          <w:p>
            <w:pPr>
              <w:ind w:left="100"/>
              <w:spacing w:after="0"/>
              <w:rPr>
                <w:sz w:val="20"/>
                <w:szCs w:val="20"/>
                <w:color w:val="auto"/>
              </w:rPr>
            </w:pPr>
            <w:r>
              <w:rPr>
                <w:rFonts w:ascii="Arial" w:cs="Arial" w:eastAsia="Arial" w:hAnsi="Arial"/>
                <w:sz w:val="15"/>
                <w:szCs w:val="15"/>
                <w:color w:val="auto"/>
              </w:rPr>
              <w:t>(State)</w:t>
            </w:r>
          </w:p>
        </w:tc>
        <w:tc>
          <w:tcPr>
            <w:tcW w:w="1120" w:type="dxa"/>
            <w:vAlign w:val="bottom"/>
            <w:gridSpan w:val="4"/>
          </w:tcPr>
          <w:p>
            <w:pPr>
              <w:ind w:left="120"/>
              <w:spacing w:after="0"/>
              <w:rPr>
                <w:sz w:val="20"/>
                <w:szCs w:val="20"/>
                <w:color w:val="auto"/>
              </w:rPr>
            </w:pPr>
            <w:r>
              <w:rPr>
                <w:rFonts w:ascii="Arial" w:cs="Arial" w:eastAsia="Arial" w:hAnsi="Arial"/>
                <w:sz w:val="15"/>
                <w:szCs w:val="15"/>
                <w:color w:val="auto"/>
              </w:rPr>
              <w:t>(Zip)</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ectPr>
          <w:pgSz w:w="11900" w:h="16838" w:orient="portrait"/>
          <w:cols w:equalWidth="0" w:num="1">
            <w:col w:w="10940"/>
          </w:cols>
          <w:pgMar w:left="480" w:top="230" w:right="479" w:bottom="0" w:gutter="0" w:footer="0" w:header="0"/>
          <w:type w:val="continuous"/>
        </w:sectPr>
      </w:pPr>
    </w:p>
    <w:p>
      <w:pPr>
        <w:ind w:left="140"/>
        <w:spacing w:after="0"/>
        <w:rPr>
          <w:rFonts w:ascii="Times New Roman" w:cs="Times New Roman" w:eastAsia="Times New Roman" w:hAnsi="Times New Roman"/>
          <w:sz w:val="23"/>
          <w:szCs w:val="23"/>
          <w:u w:val="single" w:color="auto"/>
          <w:color w:val="0000EE"/>
        </w:rPr>
      </w:pPr>
      <w:hyperlink r:id="rId14">
        <w:r>
          <w:rPr>
            <w:rFonts w:ascii="Times New Roman" w:cs="Times New Roman" w:eastAsia="Times New Roman" w:hAnsi="Times New Roman"/>
            <w:sz w:val="23"/>
            <w:szCs w:val="23"/>
            <w:u w:val="single" w:color="auto"/>
            <w:color w:val="0000EE"/>
          </w:rPr>
          <w:t>Kolchinsky Peter</w:t>
        </w:r>
      </w:hyperlink>
    </w:p>
    <w:p>
      <w:pPr>
        <w:sectPr>
          <w:pgSz w:w="11900" w:h="16838" w:orient="portrait"/>
          <w:cols w:equalWidth="0" w:num="1">
            <w:col w:w="10940"/>
          </w:cols>
          <w:pgMar w:left="480" w:top="230" w:right="479" w:bottom="0" w:gutter="0" w:footer="0" w:header="0"/>
          <w:type w:val="continuous"/>
        </w:sectPr>
      </w:pPr>
    </w:p>
    <w:bookmarkStart w:id="1" w:name="page2"/>
    <w:bookmarkEnd w:id="1"/>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3557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798445" cy="3557270"/>
                    </a:xfrm>
                    <a:prstGeom prst="rect">
                      <a:avLst/>
                    </a:prstGeom>
                    <a:noFill/>
                  </pic:spPr>
                </pic:pic>
              </a:graphicData>
            </a:graphic>
          </wp:anchor>
        </w:drawing>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RA CAPITAL MANAGEMENT, L.P.</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200 BERKELEY STREET, 18TH FLOOR</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2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0"/>
                <w:szCs w:val="20"/>
                <w:color w:val="0000FF"/>
              </w:rPr>
              <w:t>BOSTON</w:t>
            </w: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0000FF"/>
              </w:rPr>
              <w:t>MA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02116</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(City)</w:t>
            </w:r>
          </w:p>
        </w:tc>
        <w:tc>
          <w:tcPr>
            <w:tcW w:w="1220" w:type="dxa"/>
            <w:vAlign w:val="bottom"/>
            <w:gridSpan w:val="2"/>
          </w:tcPr>
          <w:p>
            <w:pPr>
              <w:ind w:left="30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gridSpan w:val="2"/>
          </w:tcPr>
          <w:p>
            <w:pPr>
              <w:spacing w:after="0"/>
              <w:rPr>
                <w:sz w:val="8"/>
                <w:szCs w:val="8"/>
                <w:color w:val="auto"/>
              </w:rPr>
            </w:pPr>
          </w:p>
        </w:tc>
        <w:tc>
          <w:tcPr>
            <w:tcW w:w="256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00" w:type="dxa"/>
            <w:vAlign w:val="bottom"/>
            <w:gridSpan w:val="3"/>
          </w:tcPr>
          <w:p>
            <w:pPr>
              <w:spacing w:after="0" w:line="255" w:lineRule="exact"/>
              <w:rPr>
                <w:rFonts w:ascii="Times New Roman" w:cs="Times New Roman" w:eastAsia="Times New Roman" w:hAnsi="Times New Roman"/>
                <w:sz w:val="24"/>
                <w:szCs w:val="24"/>
                <w:color w:val="0000EE"/>
              </w:rPr>
            </w:pPr>
            <w:hyperlink r:id="rId16">
              <w:r>
                <w:rPr>
                  <w:rFonts w:ascii="Times New Roman" w:cs="Times New Roman" w:eastAsia="Times New Roman" w:hAnsi="Times New Roman"/>
                  <w:sz w:val="24"/>
                  <w:szCs w:val="24"/>
                  <w:color w:val="0000EE"/>
                </w:rPr>
                <w:t>Shah Rajeev M.</w:t>
              </w:r>
            </w:hyperlink>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80" w:type="dxa"/>
            <w:vAlign w:val="bottom"/>
            <w:tcBorders>
              <w:top w:val="single" w:sz="8" w:color="0000EE"/>
              <w:bottom w:val="single" w:sz="8" w:color="9A9A9A"/>
            </w:tcBorders>
          </w:tcPr>
          <w:p>
            <w:pPr>
              <w:spacing w:after="0"/>
              <w:rPr>
                <w:sz w:val="17"/>
                <w:szCs w:val="17"/>
                <w:color w:val="auto"/>
              </w:rPr>
            </w:pPr>
          </w:p>
        </w:tc>
        <w:tc>
          <w:tcPr>
            <w:tcW w:w="460" w:type="dxa"/>
            <w:vAlign w:val="bottom"/>
            <w:tcBorders>
              <w:top w:val="single" w:sz="8" w:color="0000EE"/>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(Last)</w:t>
            </w:r>
          </w:p>
        </w:tc>
        <w:tc>
          <w:tcPr>
            <w:tcW w:w="1220" w:type="dxa"/>
            <w:vAlign w:val="bottom"/>
            <w:gridSpan w:val="2"/>
          </w:tcPr>
          <w:p>
            <w:pPr>
              <w:ind w:left="30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bl>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RA CAPITAL MANAGEMENT, L.P.</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200 BERKELEY STREET, 18TH FLOOR</w:t>
      </w:r>
    </w:p>
    <w:p>
      <w:pPr>
        <w:spacing w:after="0" w:line="326"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BOSTON</w:t>
            </w:r>
          </w:p>
        </w:tc>
        <w:tc>
          <w:tcPr>
            <w:tcW w:w="12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MA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02116</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20" w:type="dxa"/>
            <w:vAlign w:val="bottom"/>
          </w:tcPr>
          <w:p>
            <w:pPr>
              <w:ind w:left="3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180" w:hanging="155"/>
        <w:spacing w:after="0"/>
        <w:tabs>
          <w:tab w:leader="none" w:pos="18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Held directly by RA Capital Healthcare Fund, L.P. (the "Fund").</w:t>
      </w:r>
    </w:p>
    <w:p>
      <w:pPr>
        <w:spacing w:after="0" w:line="52" w:lineRule="exact"/>
        <w:rPr>
          <w:rFonts w:ascii="Times New Roman" w:cs="Times New Roman" w:eastAsia="Times New Roman" w:hAnsi="Times New Roman"/>
          <w:sz w:val="15"/>
          <w:szCs w:val="15"/>
          <w:color w:val="008000"/>
        </w:rPr>
      </w:pPr>
    </w:p>
    <w:p>
      <w:pPr>
        <w:ind w:left="20" w:right="220" w:firstLine="5"/>
        <w:spacing w:after="0" w:line="244"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RA Capital Management, L.P. (the "Adviser") is the investment manager for RA Capital Healthcare Fund, L.P. (the "Fund"). The general partner of the Adviser is RA Capital Management GP, LLC (the "Adviser GP"), of which Dr. Peter Kolchinsky and Mr. Rajeev Shah are the managing members. Each of the Adviser, the Adviser GP, the Fund, Dr. Kolchinsky and Mr. Shah disclaims beneficial ownership of any of the reported securities, except to the extent of its or his respective pecuniary interest therein.</w:t>
      </w:r>
    </w:p>
    <w:p>
      <w:pPr>
        <w:spacing w:after="0" w:line="29" w:lineRule="exact"/>
        <w:rPr>
          <w:rFonts w:ascii="Times New Roman" w:cs="Times New Roman" w:eastAsia="Times New Roman" w:hAnsi="Times New Roman"/>
          <w:sz w:val="15"/>
          <w:szCs w:val="15"/>
          <w:color w:val="008000"/>
        </w:rPr>
      </w:pPr>
    </w:p>
    <w:p>
      <w:pPr>
        <w:ind w:left="20" w:right="20" w:firstLine="5"/>
        <w:spacing w:after="0" w:line="239"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Pre-Funded Warrant has no expiration date and is exercisable immediately. Notwithstanding the foregoing, the Reporting Persons shall not be entitled to exercise the Pre-Funded Warrant if it would cause the aggregate number of shares of Common Stock beneficially owned by the Reporting Persons, their affiliates and any persons who are members of a Section 13(d) group with the Reporting Persons or their affiliates to exceed 9.99% of the total number of issued and outstanding shares of Common Stock of the Issuer following such exercise.</w:t>
      </w:r>
    </w:p>
    <w:p>
      <w:pPr>
        <w:sectPr>
          <w:pgSz w:w="11900" w:h="16838" w:orient="portrait"/>
          <w:cols w:equalWidth="0" w:num="1">
            <w:col w:w="10840"/>
          </w:cols>
          <w:pgMar w:left="500" w:top="320" w:right="559" w:bottom="1440" w:gutter="0" w:footer="0" w:header="0"/>
        </w:sectPr>
      </w:pPr>
    </w:p>
    <w:p>
      <w:pPr>
        <w:spacing w:after="0" w:line="6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02743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1027430"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Manager of RA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6586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16586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0106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901065"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02743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027430"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Manager of RA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6586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16586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8"/>
          <w:szCs w:val="18"/>
          <w:color w:val="0000FF"/>
        </w:rPr>
        <w:t>Healthcare Fund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2461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24610"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the General Partner of 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9984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9984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Capital Healthcare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4206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9240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92405"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02743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027430"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59880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598805"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80137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801370"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59880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59880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09/23/2024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09/23/2024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09/23/2024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09/23/2024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6" w:lineRule="exact"/>
        <w:rPr>
          <w:sz w:val="20"/>
          <w:szCs w:val="20"/>
          <w:color w:val="auto"/>
        </w:rPr>
      </w:pPr>
    </w:p>
    <w:p>
      <w:pPr>
        <w:sectPr>
          <w:pgSz w:w="11900" w:h="16838" w:orient="portrait"/>
          <w:cols w:equalWidth="0" w:num="2">
            <w:col w:w="8640" w:space="100"/>
            <w:col w:w="2100"/>
          </w:cols>
          <w:pgMar w:left="500" w:top="320" w:right="559" w:bottom="1440" w:gutter="0" w:footer="0" w:header="0"/>
          <w:type w:val="continuous"/>
        </w:sectPr>
      </w:pPr>
    </w:p>
    <w:tbl>
      <w:tblPr>
        <w:tblLayout w:type="fixed"/>
        <w:tblInd w:w="2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20" w:right="2160" w:firstLine="5"/>
        <w:spacing w:after="0" w:line="335" w:lineRule="auto"/>
        <w:tabs>
          <w:tab w:leader="none" w:pos="17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2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320"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5"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10" Type="http://schemas.openxmlformats.org/officeDocument/2006/relationships/hyperlink" Target="http://www.sec.gov/cgi-bin/browse-edgar?action=getcompany&amp;CIK=0001346824" TargetMode="External"/><Relationship Id="rId11" Type="http://schemas.openxmlformats.org/officeDocument/2006/relationships/hyperlink" Target="http://www.sec.gov/cgi-bin/browse-edgar?action=getcompany&amp;CIK=0001680581" TargetMode="External"/><Relationship Id="rId13" Type="http://schemas.openxmlformats.org/officeDocument/2006/relationships/hyperlink" Target="http://www.sec.gov/cgi-bin/browse-edgar?action=getcompany&amp;CIK=0001315082" TargetMode="External"/><Relationship Id="rId14" Type="http://schemas.openxmlformats.org/officeDocument/2006/relationships/hyperlink" Target="http://www.sec.gov/cgi-bin/browse-edgar?action=getcompany&amp;CIK=0001384859" TargetMode="External"/><Relationship Id="rId16" Type="http://schemas.openxmlformats.org/officeDocument/2006/relationships/hyperlink" Target="http://www.sec.gov/cgi-bin/browse-edgar?action=getcompany&amp;CIK=00016198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2024-09-23T15:24:02Z</dcterms:created>
  <dcterms:modified xsi:type="dcterms:W3CDTF">2024-09-23T15:24:02Z</dcterms:modified>
</cp:coreProperties>
</file>