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9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13G</w:t>
      </w: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(Amendment No. 1)*</w:t>
      </w:r>
    </w:p>
    <w:p>
      <w:pPr>
        <w:spacing w:after="0" w:line="40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1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359616109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1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1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[_] Rule 13d-1(b)</w:t>
      </w:r>
    </w:p>
    <w:p>
      <w:pPr>
        <w:spacing w:after="0" w:line="225" w:lineRule="exact"/>
        <w:rPr>
          <w:sz w:val="24"/>
          <w:szCs w:val="24"/>
          <w:color w:val="auto"/>
        </w:rPr>
      </w:pPr>
    </w:p>
    <w:p>
      <w:pPr>
        <w:jc w:val="both"/>
        <w:ind w:left="1300" w:right="8560" w:firstLine="4"/>
        <w:spacing w:after="0" w:line="571" w:lineRule="auto"/>
        <w:tabs>
          <w:tab w:leader="none" w:pos="15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[_] Rule 13d-1(d)</w:t>
      </w:r>
    </w:p>
    <w:p>
      <w:pPr>
        <w:spacing w:after="0"/>
        <w:rPr>
          <w:sz w:val="20"/>
          <w:szCs w:val="20"/>
          <w:color w:val="auto"/>
        </w:rPr>
      </w:pPr>
      <w:r>
        <w:rPr>
          <w:rFonts w:ascii="Courier New" w:cs="Courier New" w:eastAsia="Courier New" w:hAnsi="Courier New"/>
          <w:sz w:val="18"/>
          <w:szCs w:val="18"/>
          <w:color w:val="auto"/>
        </w:rPr>
        <w:t>__________</w:t>
      </w:r>
    </w:p>
    <w:p>
      <w:pPr>
        <w:spacing w:after="0" w:line="263"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380" w:firstLine="648"/>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60"/>
          </w:cols>
          <w:pgMar w:left="320" w:top="445" w:right="419" w:bottom="1440" w:gutter="0" w:footer="0" w:header="0"/>
        </w:sectPr>
      </w:pPr>
    </w:p>
    <w:bookmarkStart w:id="1" w:name="page2"/>
    <w:bookmarkEnd w:id="1"/>
    <w:p>
      <w:pPr>
        <w:ind w:left="1240"/>
        <w:spacing w:after="0"/>
        <w:rPr>
          <w:sz w:val="20"/>
          <w:szCs w:val="20"/>
          <w:color w:val="auto"/>
        </w:rPr>
      </w:pPr>
      <w:r>
        <w:rPr>
          <w:rFonts w:ascii="Arial" w:cs="Arial" w:eastAsia="Arial" w:hAnsi="Arial"/>
          <w:sz w:val="18"/>
          <w:szCs w:val="18"/>
          <w:color w:val="auto"/>
        </w:rPr>
        <w:t>359616109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5715</wp:posOffset>
            </wp:positionV>
            <wp:extent cx="1645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240" w:right="6680" w:hanging="1235"/>
        <w:spacing w:after="0" w:line="500"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 Casdin Capital, LLC</w:t>
      </w:r>
    </w:p>
    <w:p>
      <w:pPr>
        <w:spacing w:after="0" w:line="1" w:lineRule="exact"/>
        <w:rPr>
          <w:rFonts w:ascii="Arial" w:cs="Arial" w:eastAsia="Arial" w:hAnsi="Arial"/>
          <w:sz w:val="18"/>
          <w:szCs w:val="18"/>
          <w:color w:val="auto"/>
        </w:rPr>
      </w:pPr>
    </w:p>
    <w:p>
      <w:pPr>
        <w:ind w:left="1240" w:hanging="1235"/>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[_]</w:t>
      </w:r>
    </w:p>
    <w:p>
      <w:pPr>
        <w:spacing w:after="0" w:line="211" w:lineRule="exact"/>
        <w:rPr>
          <w:sz w:val="20"/>
          <w:szCs w:val="20"/>
          <w:color w:val="auto"/>
        </w:rPr>
      </w:pPr>
    </w:p>
    <w:p>
      <w:pPr>
        <w:ind w:left="1240" w:hanging="123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240" w:hanging="123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40" w:right="7520" w:hanging="1235"/>
        <w:spacing w:after="0" w:line="500"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1240" w:right="7240" w:hanging="1235"/>
        <w:spacing w:after="0" w:line="500"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1,241,176</w:t>
      </w:r>
    </w:p>
    <w:p>
      <w:pPr>
        <w:spacing w:after="0" w:line="1" w:lineRule="exact"/>
        <w:rPr>
          <w:rFonts w:ascii="Arial" w:cs="Arial" w:eastAsia="Arial" w:hAnsi="Arial"/>
          <w:sz w:val="18"/>
          <w:szCs w:val="18"/>
          <w:color w:val="auto"/>
        </w:rPr>
      </w:pPr>
    </w:p>
    <w:p>
      <w:pPr>
        <w:ind w:left="1240" w:right="7120" w:hanging="1235"/>
        <w:spacing w:after="0" w:line="500"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1240" w:right="6840" w:hanging="1235"/>
        <w:spacing w:after="0" w:line="500"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1,241,176</w:t>
      </w:r>
    </w:p>
    <w:p>
      <w:pPr>
        <w:spacing w:after="0" w:line="1" w:lineRule="exact"/>
        <w:rPr>
          <w:rFonts w:ascii="Arial" w:cs="Arial" w:eastAsia="Arial" w:hAnsi="Arial"/>
          <w:sz w:val="18"/>
          <w:szCs w:val="18"/>
          <w:color w:val="auto"/>
        </w:rPr>
      </w:pPr>
    </w:p>
    <w:p>
      <w:pPr>
        <w:ind w:left="1240" w:right="2820" w:hanging="1235"/>
        <w:spacing w:after="0" w:line="500"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1,241,176</w:t>
      </w:r>
    </w:p>
    <w:p>
      <w:pPr>
        <w:spacing w:after="0" w:line="1" w:lineRule="exact"/>
        <w:rPr>
          <w:rFonts w:ascii="Arial" w:cs="Arial" w:eastAsia="Arial" w:hAnsi="Arial"/>
          <w:sz w:val="18"/>
          <w:szCs w:val="18"/>
          <w:color w:val="auto"/>
        </w:rPr>
      </w:pPr>
    </w:p>
    <w:p>
      <w:pPr>
        <w:ind w:left="1240" w:right="1880" w:hanging="1235"/>
        <w:spacing w:after="0" w:line="258"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1"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[_]</w:t>
      </w:r>
    </w:p>
    <w:p>
      <w:pPr>
        <w:spacing w:after="0" w:line="9" w:lineRule="exact"/>
        <w:rPr>
          <w:sz w:val="20"/>
          <w:szCs w:val="20"/>
          <w:color w:val="auto"/>
        </w:rPr>
      </w:pPr>
    </w:p>
    <w:p>
      <w:pPr>
        <w:ind w:left="1240" w:right="4320" w:hanging="1235"/>
        <w:spacing w:after="0" w:line="492"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4.52%</w:t>
      </w:r>
    </w:p>
    <w:p>
      <w:pPr>
        <w:spacing w:after="0" w:line="1" w:lineRule="exact"/>
        <w:rPr>
          <w:rFonts w:ascii="Arial" w:cs="Arial" w:eastAsia="Arial" w:hAnsi="Arial"/>
          <w:sz w:val="18"/>
          <w:szCs w:val="18"/>
          <w:color w:val="auto"/>
        </w:rPr>
      </w:pPr>
    </w:p>
    <w:p>
      <w:pPr>
        <w:ind w:left="1240" w:right="5040" w:hanging="1235"/>
        <w:spacing w:after="0" w:line="52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620"/>
          </w:cols>
          <w:pgMar w:left="420" w:top="692" w:right="859" w:bottom="1440" w:gutter="0" w:footer="0" w:header="0"/>
        </w:sectPr>
      </w:pPr>
    </w:p>
    <w:bookmarkStart w:id="2" w:name="page3"/>
    <w:bookmarkEnd w:id="2"/>
    <w:p>
      <w:pPr>
        <w:ind w:left="1240"/>
        <w:spacing w:after="0"/>
        <w:rPr>
          <w:sz w:val="20"/>
          <w:szCs w:val="20"/>
          <w:color w:val="auto"/>
        </w:rPr>
      </w:pPr>
      <w:r>
        <w:rPr>
          <w:rFonts w:ascii="Arial" w:cs="Arial" w:eastAsia="Arial" w:hAnsi="Arial"/>
          <w:sz w:val="18"/>
          <w:szCs w:val="18"/>
          <w:color w:val="auto"/>
        </w:rPr>
        <w:t>359616109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5715</wp:posOffset>
            </wp:positionV>
            <wp:extent cx="16459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240" w:right="6680" w:hanging="1235"/>
        <w:spacing w:after="0" w:line="563" w:lineRule="auto"/>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 OF REPORTING PERSONS Casdin Partners Master Fund, L.P.</w:t>
      </w:r>
    </w:p>
    <w:p>
      <w:pPr>
        <w:ind w:left="1240" w:hanging="1235"/>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[_]</w:t>
      </w:r>
    </w:p>
    <w:p>
      <w:pPr>
        <w:spacing w:after="0" w:line="211" w:lineRule="exact"/>
        <w:rPr>
          <w:sz w:val="20"/>
          <w:szCs w:val="20"/>
          <w:color w:val="auto"/>
        </w:rPr>
      </w:pPr>
    </w:p>
    <w:p>
      <w:pPr>
        <w:ind w:left="1240" w:hanging="123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240" w:hanging="123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40" w:right="7520" w:hanging="1235"/>
        <w:spacing w:after="0" w:line="500"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1240" w:right="7240" w:hanging="1235"/>
        <w:spacing w:after="0" w:line="500"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VOTING POWER 1,241,176</w:t>
      </w:r>
    </w:p>
    <w:p>
      <w:pPr>
        <w:spacing w:after="0" w:line="1" w:lineRule="exact"/>
        <w:rPr>
          <w:rFonts w:ascii="Arial" w:cs="Arial" w:eastAsia="Arial" w:hAnsi="Arial"/>
          <w:sz w:val="18"/>
          <w:szCs w:val="18"/>
          <w:color w:val="auto"/>
        </w:rPr>
      </w:pPr>
    </w:p>
    <w:p>
      <w:pPr>
        <w:ind w:left="1240" w:right="7120" w:hanging="1235"/>
        <w:spacing w:after="0" w:line="500"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1240" w:right="6840" w:hanging="1235"/>
        <w:spacing w:after="0" w:line="500"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DISPOSITIVE POWER 1,241,176</w:t>
      </w:r>
    </w:p>
    <w:p>
      <w:pPr>
        <w:spacing w:after="0" w:line="1" w:lineRule="exact"/>
        <w:rPr>
          <w:rFonts w:ascii="Arial" w:cs="Arial" w:eastAsia="Arial" w:hAnsi="Arial"/>
          <w:sz w:val="18"/>
          <w:szCs w:val="18"/>
          <w:color w:val="auto"/>
        </w:rPr>
      </w:pPr>
    </w:p>
    <w:p>
      <w:pPr>
        <w:ind w:left="1240" w:right="2820" w:hanging="1235"/>
        <w:spacing w:after="0" w:line="500"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1,241,176</w:t>
      </w:r>
    </w:p>
    <w:p>
      <w:pPr>
        <w:spacing w:after="0" w:line="1" w:lineRule="exact"/>
        <w:rPr>
          <w:rFonts w:ascii="Arial" w:cs="Arial" w:eastAsia="Arial" w:hAnsi="Arial"/>
          <w:sz w:val="18"/>
          <w:szCs w:val="18"/>
          <w:color w:val="auto"/>
        </w:rPr>
      </w:pPr>
    </w:p>
    <w:p>
      <w:pPr>
        <w:ind w:left="1240" w:right="1880" w:hanging="1235"/>
        <w:spacing w:after="0" w:line="258"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1"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1240" w:right="4320" w:hanging="1235"/>
        <w:spacing w:after="0" w:line="500"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4.52%</w:t>
      </w:r>
    </w:p>
    <w:p>
      <w:pPr>
        <w:spacing w:after="0" w:line="1" w:lineRule="exact"/>
        <w:rPr>
          <w:rFonts w:ascii="Arial" w:cs="Arial" w:eastAsia="Arial" w:hAnsi="Arial"/>
          <w:sz w:val="18"/>
          <w:szCs w:val="18"/>
          <w:color w:val="auto"/>
        </w:rPr>
      </w:pPr>
    </w:p>
    <w:p>
      <w:pPr>
        <w:ind w:left="1240" w:right="5040" w:hanging="123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134620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620"/>
          </w:cols>
          <w:pgMar w:left="420" w:top="692" w:right="859" w:bottom="1440" w:gutter="0" w:footer="0" w:header="0"/>
        </w:sectPr>
      </w:pPr>
    </w:p>
    <w:bookmarkStart w:id="3" w:name="page4"/>
    <w:bookmarkEnd w:id="3"/>
    <w:p>
      <w:pPr>
        <w:ind w:left="1240"/>
        <w:spacing w:after="0"/>
        <w:rPr>
          <w:sz w:val="20"/>
          <w:szCs w:val="20"/>
          <w:color w:val="auto"/>
        </w:rPr>
      </w:pPr>
      <w:r>
        <w:rPr>
          <w:rFonts w:ascii="Arial" w:cs="Arial" w:eastAsia="Arial" w:hAnsi="Arial"/>
          <w:sz w:val="18"/>
          <w:szCs w:val="18"/>
          <w:color w:val="auto"/>
        </w:rPr>
        <w:t>359616109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5715</wp:posOffset>
            </wp:positionV>
            <wp:extent cx="16459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240" w:right="6680" w:hanging="1235"/>
        <w:spacing w:after="0" w:line="563" w:lineRule="auto"/>
        <w:tabs>
          <w:tab w:leader="none" w:pos="1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NAME OF REPORTING PERSONS Casdin Partners GP, LLC</w:t>
      </w:r>
    </w:p>
    <w:p>
      <w:pPr>
        <w:ind w:left="1240" w:hanging="123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[_]</w:t>
      </w:r>
    </w:p>
    <w:p>
      <w:pPr>
        <w:spacing w:after="0" w:line="211" w:lineRule="exact"/>
        <w:rPr>
          <w:sz w:val="20"/>
          <w:szCs w:val="20"/>
          <w:color w:val="auto"/>
        </w:rPr>
      </w:pPr>
    </w:p>
    <w:p>
      <w:pPr>
        <w:ind w:left="1240" w:hanging="1235"/>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240" w:hanging="1235"/>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40" w:right="7520" w:hanging="1235"/>
        <w:spacing w:after="0" w:line="500"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1240" w:right="7240" w:hanging="1235"/>
        <w:spacing w:after="0" w:line="500"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VOTING POWER 1,241,176</w:t>
      </w:r>
    </w:p>
    <w:p>
      <w:pPr>
        <w:spacing w:after="0" w:line="1" w:lineRule="exact"/>
        <w:rPr>
          <w:rFonts w:ascii="Arial" w:cs="Arial" w:eastAsia="Arial" w:hAnsi="Arial"/>
          <w:sz w:val="18"/>
          <w:szCs w:val="18"/>
          <w:color w:val="auto"/>
        </w:rPr>
      </w:pPr>
    </w:p>
    <w:p>
      <w:pPr>
        <w:ind w:left="1240" w:right="7120" w:hanging="1235"/>
        <w:spacing w:after="0" w:line="500"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1240" w:right="6840" w:hanging="1235"/>
        <w:spacing w:after="0" w:line="500"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DISPOSITIVE POWER 1,241,176</w:t>
      </w:r>
    </w:p>
    <w:p>
      <w:pPr>
        <w:spacing w:after="0" w:line="1" w:lineRule="exact"/>
        <w:rPr>
          <w:rFonts w:ascii="Arial" w:cs="Arial" w:eastAsia="Arial" w:hAnsi="Arial"/>
          <w:sz w:val="18"/>
          <w:szCs w:val="18"/>
          <w:color w:val="auto"/>
        </w:rPr>
      </w:pPr>
    </w:p>
    <w:p>
      <w:pPr>
        <w:ind w:left="1240" w:right="2820" w:hanging="1235"/>
        <w:spacing w:after="0" w:line="500"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1,241,176</w:t>
      </w:r>
    </w:p>
    <w:p>
      <w:pPr>
        <w:spacing w:after="0" w:line="1" w:lineRule="exact"/>
        <w:rPr>
          <w:rFonts w:ascii="Arial" w:cs="Arial" w:eastAsia="Arial" w:hAnsi="Arial"/>
          <w:sz w:val="18"/>
          <w:szCs w:val="18"/>
          <w:color w:val="auto"/>
        </w:rPr>
      </w:pPr>
    </w:p>
    <w:p>
      <w:pPr>
        <w:ind w:left="1240" w:right="1880" w:hanging="1235"/>
        <w:spacing w:after="0" w:line="258"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1"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1240" w:right="4320" w:hanging="1235"/>
        <w:spacing w:after="0" w:line="500"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4.52%</w:t>
      </w:r>
    </w:p>
    <w:p>
      <w:pPr>
        <w:spacing w:after="0" w:line="1" w:lineRule="exact"/>
        <w:rPr>
          <w:rFonts w:ascii="Arial" w:cs="Arial" w:eastAsia="Arial" w:hAnsi="Arial"/>
          <w:sz w:val="18"/>
          <w:szCs w:val="18"/>
          <w:color w:val="auto"/>
        </w:rPr>
      </w:pPr>
    </w:p>
    <w:p>
      <w:pPr>
        <w:ind w:left="1240" w:right="5040" w:hanging="1235"/>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134620</wp:posOffset>
            </wp:positionV>
            <wp:extent cx="71323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620"/>
          </w:cols>
          <w:pgMar w:left="420" w:top="692" w:right="859" w:bottom="1440" w:gutter="0" w:footer="0" w:header="0"/>
        </w:sectPr>
      </w:pPr>
    </w:p>
    <w:bookmarkStart w:id="4" w:name="page5"/>
    <w:bookmarkEnd w:id="4"/>
    <w:p>
      <w:pPr>
        <w:ind w:left="1240"/>
        <w:spacing w:after="0"/>
        <w:rPr>
          <w:sz w:val="20"/>
          <w:szCs w:val="20"/>
          <w:color w:val="auto"/>
        </w:rPr>
      </w:pPr>
      <w:r>
        <w:rPr>
          <w:rFonts w:ascii="Arial" w:cs="Arial" w:eastAsia="Arial" w:hAnsi="Arial"/>
          <w:sz w:val="18"/>
          <w:szCs w:val="18"/>
          <w:color w:val="auto"/>
        </w:rPr>
        <w:t>359616109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5715</wp:posOffset>
            </wp:positionV>
            <wp:extent cx="16459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240" w:right="6680" w:hanging="1235"/>
        <w:spacing w:after="0" w:line="500"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 OF REPORTING PERSONS Eli Casdin</w:t>
      </w:r>
    </w:p>
    <w:p>
      <w:pPr>
        <w:spacing w:after="0" w:line="1" w:lineRule="exact"/>
        <w:rPr>
          <w:rFonts w:ascii="Arial" w:cs="Arial" w:eastAsia="Arial" w:hAnsi="Arial"/>
          <w:sz w:val="18"/>
          <w:szCs w:val="18"/>
          <w:color w:val="auto"/>
        </w:rPr>
      </w:pPr>
    </w:p>
    <w:p>
      <w:pPr>
        <w:ind w:left="1240" w:hanging="1235"/>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[_]</w:t>
      </w:r>
    </w:p>
    <w:p>
      <w:pPr>
        <w:spacing w:after="0" w:line="211" w:lineRule="exact"/>
        <w:rPr>
          <w:sz w:val="20"/>
          <w:szCs w:val="20"/>
          <w:color w:val="auto"/>
        </w:rPr>
      </w:pPr>
    </w:p>
    <w:p>
      <w:pPr>
        <w:ind w:left="1240" w:hanging="1235"/>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240" w:hanging="1235"/>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40" w:right="7520" w:hanging="1235"/>
        <w:spacing w:after="0" w:line="500"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1240" w:right="7240" w:hanging="1235"/>
        <w:spacing w:after="0" w:line="500"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VOTING POWER 1,241,176</w:t>
      </w:r>
    </w:p>
    <w:p>
      <w:pPr>
        <w:spacing w:after="0" w:line="1" w:lineRule="exact"/>
        <w:rPr>
          <w:rFonts w:ascii="Arial" w:cs="Arial" w:eastAsia="Arial" w:hAnsi="Arial"/>
          <w:sz w:val="18"/>
          <w:szCs w:val="18"/>
          <w:color w:val="auto"/>
        </w:rPr>
      </w:pPr>
    </w:p>
    <w:p>
      <w:pPr>
        <w:ind w:left="1240" w:right="7120" w:hanging="1235"/>
        <w:spacing w:after="0" w:line="500"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1240" w:right="6840" w:hanging="1235"/>
        <w:spacing w:after="0" w:line="500"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DISPOSITIVE POWER 1,241,176</w:t>
      </w:r>
    </w:p>
    <w:p>
      <w:pPr>
        <w:spacing w:after="0" w:line="1" w:lineRule="exact"/>
        <w:rPr>
          <w:rFonts w:ascii="Arial" w:cs="Arial" w:eastAsia="Arial" w:hAnsi="Arial"/>
          <w:sz w:val="18"/>
          <w:szCs w:val="18"/>
          <w:color w:val="auto"/>
        </w:rPr>
      </w:pPr>
    </w:p>
    <w:p>
      <w:pPr>
        <w:ind w:left="1240" w:right="2820" w:hanging="1235"/>
        <w:spacing w:after="0" w:line="500"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1,241,176</w:t>
      </w:r>
    </w:p>
    <w:p>
      <w:pPr>
        <w:spacing w:after="0" w:line="1" w:lineRule="exact"/>
        <w:rPr>
          <w:rFonts w:ascii="Arial" w:cs="Arial" w:eastAsia="Arial" w:hAnsi="Arial"/>
          <w:sz w:val="18"/>
          <w:szCs w:val="18"/>
          <w:color w:val="auto"/>
        </w:rPr>
      </w:pPr>
    </w:p>
    <w:p>
      <w:pPr>
        <w:ind w:left="1240" w:right="1880" w:hanging="1235"/>
        <w:spacing w:after="0" w:line="258"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1"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1240" w:right="4320" w:hanging="1235"/>
        <w:spacing w:after="0" w:line="500"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(9) 4.52%</w:t>
      </w:r>
    </w:p>
    <w:p>
      <w:pPr>
        <w:spacing w:after="0" w:line="1" w:lineRule="exact"/>
        <w:rPr>
          <w:rFonts w:ascii="Arial" w:cs="Arial" w:eastAsia="Arial" w:hAnsi="Arial"/>
          <w:sz w:val="18"/>
          <w:szCs w:val="18"/>
          <w:color w:val="auto"/>
        </w:rPr>
      </w:pPr>
    </w:p>
    <w:p>
      <w:pPr>
        <w:ind w:left="1240" w:right="5040" w:hanging="1235"/>
        <w:spacing w:after="0" w:line="277"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134620</wp:posOffset>
            </wp:positionV>
            <wp:extent cx="713232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620"/>
          </w:cols>
          <w:pgMar w:left="420" w:top="692" w:right="859" w:bottom="1440" w:gutter="0" w:footer="0" w:header="0"/>
        </w:sectPr>
      </w:pPr>
    </w:p>
    <w:bookmarkStart w:id="5" w:name="page6"/>
    <w:bookmarkEnd w:id="5"/>
    <w:p>
      <w:pPr>
        <w:ind w:left="1700"/>
        <w:spacing w:after="0"/>
        <w:rPr>
          <w:sz w:val="20"/>
          <w:szCs w:val="20"/>
          <w:color w:val="auto"/>
        </w:rPr>
      </w:pPr>
      <w:r>
        <w:rPr>
          <w:rFonts w:ascii="Arial" w:cs="Arial" w:eastAsia="Arial" w:hAnsi="Arial"/>
          <w:sz w:val="18"/>
          <w:szCs w:val="18"/>
          <w:color w:val="auto"/>
        </w:rPr>
        <w:t>359616109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5715</wp:posOffset>
            </wp:positionV>
            <wp:extent cx="1714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4" w:lineRule="exact"/>
        <w:rPr>
          <w:sz w:val="20"/>
          <w:szCs w:val="20"/>
          <w:color w:val="auto"/>
        </w:rPr>
      </w:pPr>
    </w:p>
    <w:p>
      <w:pPr>
        <w:spacing w:after="0"/>
        <w:tabs>
          <w:tab w:leader="none" w:pos="1120" w:val="left"/>
          <w:tab w:leader="none" w:pos="18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Name of Issuer:</w:t>
      </w:r>
    </w:p>
    <w:p>
      <w:pPr>
        <w:spacing w:after="0" w:line="225"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Fulcrum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14605</wp:posOffset>
            </wp:positionV>
            <wp:extent cx="52717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pacing w:after="0" w:line="219" w:lineRule="exact"/>
        <w:rPr>
          <w:sz w:val="20"/>
          <w:szCs w:val="20"/>
          <w:color w:val="auto"/>
        </w:rPr>
      </w:pPr>
    </w:p>
    <w:p>
      <w:pPr>
        <w:ind w:left="1140"/>
        <w:spacing w:after="0"/>
        <w:tabs>
          <w:tab w:leader="none" w:pos="18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Address of Issuer's Principal Executive Offices:</w:t>
      </w:r>
    </w:p>
    <w:p>
      <w:pPr>
        <w:spacing w:after="0" w:line="225"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26 Landsdowne Street</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Cambridge, Massachusetts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5715</wp:posOffset>
            </wp:positionV>
            <wp:extent cx="52717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pacing w:after="0" w:line="204" w:lineRule="exact"/>
        <w:rPr>
          <w:sz w:val="20"/>
          <w:szCs w:val="20"/>
          <w:color w:val="auto"/>
        </w:rPr>
      </w:pPr>
    </w:p>
    <w:p>
      <w:pPr>
        <w:spacing w:after="0"/>
        <w:tabs>
          <w:tab w:leader="none" w:pos="1220" w:val="left"/>
          <w:tab w:leader="none" w:pos="1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Name of Person Filing:</w:t>
      </w:r>
    </w:p>
    <w:p>
      <w:pPr>
        <w:spacing w:after="0" w:line="22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Casdin Capital, LLC</w:t>
      </w:r>
    </w:p>
    <w:p>
      <w:pPr>
        <w:spacing w:after="0" w:line="2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Casdin Partners Master Fund, L.P.</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Casdin Partners GP, LLC</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1158875</wp:posOffset>
            </wp:positionH>
            <wp:positionV relativeFrom="paragraph">
              <wp:posOffset>5715</wp:posOffset>
            </wp:positionV>
            <wp:extent cx="52031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03190" cy="8255"/>
                    </a:xfrm>
                    <a:prstGeom prst="rect">
                      <a:avLst/>
                    </a:prstGeom>
                    <a:noFill/>
                  </pic:spPr>
                </pic:pic>
              </a:graphicData>
            </a:graphic>
          </wp:anchor>
        </w:drawing>
      </w:r>
    </w:p>
    <w:p>
      <w:pPr>
        <w:spacing w:after="0" w:line="204" w:lineRule="exact"/>
        <w:rPr>
          <w:sz w:val="20"/>
          <w:szCs w:val="20"/>
          <w:color w:val="auto"/>
        </w:rPr>
      </w:pPr>
    </w:p>
    <w:p>
      <w:pPr>
        <w:jc w:val="right"/>
        <w:ind w:right="3739"/>
        <w:spacing w:after="0"/>
        <w:tabs>
          <w:tab w:leader="none" w:pos="43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Address of Principal Business Office, or if None, Residence:</w:t>
      </w:r>
    </w:p>
    <w:p>
      <w:pPr>
        <w:spacing w:after="0" w:line="22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Casdin Capital, LLC</w:t>
      </w:r>
    </w:p>
    <w:p>
      <w:pPr>
        <w:spacing w:after="0" w:line="2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1350 Avenue of the Americas, Suite 2600</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Casdin Partners Master Fund, L.P.</w:t>
      </w:r>
    </w:p>
    <w:p>
      <w:pPr>
        <w:spacing w:after="0" w:line="2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1350 Avenue of the Americas, Suite 2600</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Casdin Partners GP, LLC</w:t>
      </w:r>
    </w:p>
    <w:p>
      <w:pPr>
        <w:spacing w:after="0" w:line="2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1350 Avenue of the Americas, Suite 2600</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Eli Casdin</w:t>
      </w:r>
    </w:p>
    <w:p>
      <w:pPr>
        <w:spacing w:after="0" w:line="2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1350 Avenue of the Americas, Suite 2600</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New York, New York 10019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1158875</wp:posOffset>
            </wp:positionH>
            <wp:positionV relativeFrom="paragraph">
              <wp:posOffset>142875</wp:posOffset>
            </wp:positionV>
            <wp:extent cx="52031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0319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240"/>
        <w:spacing w:after="0"/>
        <w:tabs>
          <w:tab w:leader="none" w:pos="190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7"/>
          <w:szCs w:val="17"/>
          <w:color w:val="auto"/>
        </w:rPr>
        <w:t>Citizenship:</w:t>
      </w:r>
    </w:p>
    <w:p>
      <w:pPr>
        <w:spacing w:after="0" w:line="22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Casdin Capital, LLC - Delaware</w:t>
      </w:r>
    </w:p>
    <w:p>
      <w:pPr>
        <w:spacing w:after="0" w:line="2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Casdin Partners Master Fund, L.P. – Cayman Islands</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Casdin Partners GP, LLC - Delaware</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Eli Casdin–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1158875</wp:posOffset>
            </wp:positionH>
            <wp:positionV relativeFrom="paragraph">
              <wp:posOffset>5715</wp:posOffset>
            </wp:positionV>
            <wp:extent cx="52031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03190" cy="8890"/>
                    </a:xfrm>
                    <a:prstGeom prst="rect">
                      <a:avLst/>
                    </a:prstGeom>
                    <a:noFill/>
                  </pic:spPr>
                </pic:pic>
              </a:graphicData>
            </a:graphic>
          </wp:anchor>
        </w:drawing>
      </w:r>
    </w:p>
    <w:p>
      <w:pPr>
        <w:spacing w:after="0" w:line="204" w:lineRule="exact"/>
        <w:rPr>
          <w:sz w:val="20"/>
          <w:szCs w:val="20"/>
          <w:color w:val="auto"/>
        </w:rPr>
      </w:pPr>
    </w:p>
    <w:p>
      <w:pPr>
        <w:ind w:left="1240"/>
        <w:spacing w:after="0"/>
        <w:tabs>
          <w:tab w:leader="none" w:pos="190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Title of Class of Securities:</w:t>
      </w:r>
    </w:p>
    <w:p>
      <w:pPr>
        <w:spacing w:after="0" w:line="22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Common Stock, $0.001 par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1158875</wp:posOffset>
            </wp:positionH>
            <wp:positionV relativeFrom="paragraph">
              <wp:posOffset>14605</wp:posOffset>
            </wp:positionV>
            <wp:extent cx="52031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03190" cy="8890"/>
                    </a:xfrm>
                    <a:prstGeom prst="rect">
                      <a:avLst/>
                    </a:prstGeom>
                    <a:noFill/>
                  </pic:spPr>
                </pic:pic>
              </a:graphicData>
            </a:graphic>
          </wp:anchor>
        </w:drawing>
      </w:r>
    </w:p>
    <w:p>
      <w:pPr>
        <w:spacing w:after="0" w:line="219" w:lineRule="exact"/>
        <w:rPr>
          <w:sz w:val="20"/>
          <w:szCs w:val="20"/>
          <w:color w:val="auto"/>
        </w:rPr>
      </w:pPr>
    </w:p>
    <w:p>
      <w:pPr>
        <w:ind w:left="1240"/>
        <w:spacing w:after="0"/>
        <w:tabs>
          <w:tab w:leader="none" w:pos="180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CUSIP Number:</w:t>
      </w:r>
    </w:p>
    <w:p>
      <w:pPr>
        <w:spacing w:after="0" w:line="225"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359616109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14605</wp:posOffset>
            </wp:positionV>
            <wp:extent cx="52717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7177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177800</wp:posOffset>
            </wp:positionV>
            <wp:extent cx="71323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039"/>
          </w:cols>
          <w:pgMar w:left="420" w:top="692" w:right="1440" w:bottom="1440" w:gutter="0" w:footer="0" w:header="0"/>
        </w:sectPr>
      </w:pPr>
    </w:p>
    <w:bookmarkStart w:id="6" w:name="page7"/>
    <w:bookmarkEnd w:id="6"/>
    <w:p>
      <w:pPr>
        <w:ind w:left="1340"/>
        <w:spacing w:after="0"/>
        <w:rPr>
          <w:sz w:val="20"/>
          <w:szCs w:val="20"/>
          <w:color w:val="auto"/>
        </w:rPr>
      </w:pPr>
      <w:r>
        <w:rPr>
          <w:rFonts w:ascii="Arial" w:cs="Arial" w:eastAsia="Arial" w:hAnsi="Arial"/>
          <w:sz w:val="18"/>
          <w:szCs w:val="18"/>
          <w:color w:val="auto"/>
        </w:rPr>
        <w:t>If This Statement is filed pursuant to ss.240.13d-1(b) or 240.13d-2(b), or (c), check whether the person filing is a</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Item 3.</w:t>
      </w:r>
    </w:p>
    <w:p>
      <w:pPr>
        <w:spacing w:after="0" w:line="211" w:lineRule="exact"/>
        <w:rPr>
          <w:sz w:val="20"/>
          <w:szCs w:val="20"/>
          <w:color w:val="auto"/>
        </w:rPr>
      </w:pPr>
    </w:p>
    <w:p>
      <w:pPr>
        <w:ind w:left="2260" w:hanging="913"/>
        <w:spacing w:after="0"/>
        <w:tabs>
          <w:tab w:leader="none" w:pos="2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Broker or dealer registered under Section 15 of the Exchange Act (15 U.S.C. 78c).</w:t>
      </w:r>
    </w:p>
    <w:p>
      <w:pPr>
        <w:spacing w:after="0" w:line="225" w:lineRule="exact"/>
        <w:rPr>
          <w:rFonts w:ascii="Arial" w:cs="Arial" w:eastAsia="Arial" w:hAnsi="Arial"/>
          <w:sz w:val="18"/>
          <w:szCs w:val="18"/>
          <w:color w:val="auto"/>
        </w:rPr>
      </w:pPr>
    </w:p>
    <w:p>
      <w:pPr>
        <w:ind w:left="2260" w:hanging="913"/>
        <w:spacing w:after="0"/>
        <w:tabs>
          <w:tab w:leader="none" w:pos="2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Bank as defined in Section 3(a)(6) of the Exchange Act (15 U.S.C. 78c).</w:t>
      </w:r>
    </w:p>
    <w:p>
      <w:pPr>
        <w:spacing w:after="0" w:line="225" w:lineRule="exact"/>
        <w:rPr>
          <w:rFonts w:ascii="Arial" w:cs="Arial" w:eastAsia="Arial" w:hAnsi="Arial"/>
          <w:sz w:val="18"/>
          <w:szCs w:val="18"/>
          <w:color w:val="auto"/>
        </w:rPr>
      </w:pPr>
    </w:p>
    <w:p>
      <w:pPr>
        <w:ind w:left="2260" w:hanging="913"/>
        <w:spacing w:after="0"/>
        <w:tabs>
          <w:tab w:leader="none" w:pos="2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Insurance company as defined in Section 3(a)(19) of the Exchange Act (15 U.S.C. 78c).</w:t>
      </w:r>
    </w:p>
    <w:p>
      <w:pPr>
        <w:spacing w:after="0" w:line="225" w:lineRule="exact"/>
        <w:rPr>
          <w:rFonts w:ascii="Arial" w:cs="Arial" w:eastAsia="Arial" w:hAnsi="Arial"/>
          <w:sz w:val="18"/>
          <w:szCs w:val="18"/>
          <w:color w:val="auto"/>
        </w:rPr>
      </w:pPr>
    </w:p>
    <w:p>
      <w:pPr>
        <w:ind w:left="2260" w:hanging="913"/>
        <w:spacing w:after="0"/>
        <w:tabs>
          <w:tab w:leader="none" w:pos="2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2260" w:hanging="913"/>
        <w:spacing w:after="0"/>
        <w:tabs>
          <w:tab w:leader="none" w:pos="2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investment adviser in accordance with § 240.13d-1(b)(1)(ii)(E);</w:t>
      </w:r>
    </w:p>
    <w:p>
      <w:pPr>
        <w:spacing w:after="0" w:line="225" w:lineRule="exact"/>
        <w:rPr>
          <w:rFonts w:ascii="Arial" w:cs="Arial" w:eastAsia="Arial" w:hAnsi="Arial"/>
          <w:sz w:val="18"/>
          <w:szCs w:val="18"/>
          <w:color w:val="auto"/>
        </w:rPr>
      </w:pPr>
    </w:p>
    <w:p>
      <w:pPr>
        <w:ind w:left="2260" w:hanging="913"/>
        <w:spacing w:after="0"/>
        <w:tabs>
          <w:tab w:leader="none" w:pos="2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employee benefit plan or endowment fund in accordance with § 240.13d-1(b)(1)(ii)(F);</w:t>
      </w:r>
    </w:p>
    <w:p>
      <w:pPr>
        <w:spacing w:after="0" w:line="225" w:lineRule="exact"/>
        <w:rPr>
          <w:rFonts w:ascii="Arial" w:cs="Arial" w:eastAsia="Arial" w:hAnsi="Arial"/>
          <w:sz w:val="18"/>
          <w:szCs w:val="18"/>
          <w:color w:val="auto"/>
        </w:rPr>
      </w:pPr>
    </w:p>
    <w:p>
      <w:pPr>
        <w:ind w:left="2260" w:hanging="913"/>
        <w:spacing w:after="0"/>
        <w:tabs>
          <w:tab w:leader="none" w:pos="2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parent holding company or control person in accordance with Rule 13d-1(b)(1)(ii)(G);</w:t>
      </w:r>
    </w:p>
    <w:p>
      <w:pPr>
        <w:spacing w:after="0" w:line="225" w:lineRule="exact"/>
        <w:rPr>
          <w:rFonts w:ascii="Arial" w:cs="Arial" w:eastAsia="Arial" w:hAnsi="Arial"/>
          <w:sz w:val="18"/>
          <w:szCs w:val="18"/>
          <w:color w:val="auto"/>
        </w:rPr>
      </w:pPr>
    </w:p>
    <w:p>
      <w:pPr>
        <w:ind w:left="2260" w:hanging="913"/>
        <w:spacing w:after="0"/>
        <w:tabs>
          <w:tab w:leader="none" w:pos="2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savings association as defined in Section 3(b) of the Federal Deposit Insurance Act (12 U.S.C.1813);</w:t>
      </w:r>
    </w:p>
    <w:p>
      <w:pPr>
        <w:spacing w:after="0" w:line="225" w:lineRule="exact"/>
        <w:rPr>
          <w:rFonts w:ascii="Arial" w:cs="Arial" w:eastAsia="Arial" w:hAnsi="Arial"/>
          <w:sz w:val="18"/>
          <w:szCs w:val="18"/>
          <w:color w:val="auto"/>
        </w:rPr>
      </w:pPr>
    </w:p>
    <w:p>
      <w:pPr>
        <w:ind w:left="2800" w:right="760" w:hanging="1453"/>
        <w:spacing w:after="0" w:line="277" w:lineRule="auto"/>
        <w:tabs>
          <w:tab w:leader="none" w:pos="2247" w:val="left"/>
        </w:tabs>
        <w:numPr>
          <w:ilvl w:val="0"/>
          <w:numId w:val="18"/>
        </w:numPr>
        <w:rPr>
          <w:rFonts w:ascii="Arial" w:cs="Arial" w:eastAsia="Arial" w:hAnsi="Arial"/>
          <w:sz w:val="18"/>
          <w:szCs w:val="18"/>
          <w:color w:val="auto"/>
        </w:rPr>
      </w:pPr>
      <w:r>
        <w:rPr>
          <w:rFonts w:ascii="Arial" w:cs="Arial" w:eastAsia="Arial" w:hAnsi="Arial"/>
          <w:sz w:val="18"/>
          <w:szCs w:val="18"/>
          <w:color w:val="auto"/>
        </w:rPr>
        <w:t>[_]A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2260" w:hanging="913"/>
        <w:spacing w:after="0"/>
        <w:tabs>
          <w:tab w:leader="none" w:pos="2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Group, in accordance with s.240.13d-1(b)(1)(ii)(J).</w:t>
      </w:r>
    </w:p>
    <w:p>
      <w:pPr>
        <w:spacing w:after="0" w:line="225" w:lineRule="exact"/>
        <w:rPr>
          <w:sz w:val="20"/>
          <w:szCs w:val="20"/>
          <w:color w:val="auto"/>
        </w:rPr>
      </w:pPr>
    </w:p>
    <w:p>
      <w:pPr>
        <w:ind w:left="100"/>
        <w:spacing w:after="0"/>
        <w:tabs>
          <w:tab w:leader="none" w:pos="15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1580" w:right="120"/>
        <w:spacing w:after="0" w:line="277" w:lineRule="auto"/>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0" w:lineRule="exact"/>
        <w:rPr>
          <w:sz w:val="20"/>
          <w:szCs w:val="20"/>
          <w:color w:val="auto"/>
        </w:rPr>
      </w:pPr>
    </w:p>
    <w:p>
      <w:pPr>
        <w:ind w:left="2460" w:hanging="883"/>
        <w:spacing w:after="0"/>
        <w:tabs>
          <w:tab w:leader="none" w:pos="2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2460"/>
        <w:spacing w:after="0"/>
        <w:rPr>
          <w:rFonts w:ascii="Arial" w:cs="Arial" w:eastAsia="Arial" w:hAnsi="Arial"/>
          <w:sz w:val="18"/>
          <w:szCs w:val="18"/>
          <w:color w:val="auto"/>
        </w:rPr>
      </w:pPr>
      <w:r>
        <w:rPr>
          <w:rFonts w:ascii="Arial" w:cs="Arial" w:eastAsia="Arial" w:hAnsi="Arial"/>
          <w:sz w:val="18"/>
          <w:szCs w:val="18"/>
          <w:color w:val="auto"/>
        </w:rPr>
        <w:t>1,241,176 shares deemed beneficially owned by Casdin Capital, LLC</w:t>
      </w:r>
    </w:p>
    <w:p>
      <w:pPr>
        <w:spacing w:after="0" w:line="23" w:lineRule="exact"/>
        <w:rPr>
          <w:rFonts w:ascii="Arial" w:cs="Arial" w:eastAsia="Arial" w:hAnsi="Arial"/>
          <w:sz w:val="18"/>
          <w:szCs w:val="18"/>
          <w:color w:val="auto"/>
        </w:rPr>
      </w:pPr>
    </w:p>
    <w:p>
      <w:pPr>
        <w:ind w:left="2460" w:right="2800"/>
        <w:spacing w:after="0" w:line="277" w:lineRule="auto"/>
        <w:rPr>
          <w:rFonts w:ascii="Arial" w:cs="Arial" w:eastAsia="Arial" w:hAnsi="Arial"/>
          <w:sz w:val="18"/>
          <w:szCs w:val="18"/>
          <w:color w:val="auto"/>
        </w:rPr>
      </w:pPr>
      <w:r>
        <w:rPr>
          <w:rFonts w:ascii="Arial" w:cs="Arial" w:eastAsia="Arial" w:hAnsi="Arial"/>
          <w:sz w:val="17"/>
          <w:szCs w:val="17"/>
          <w:color w:val="auto"/>
        </w:rPr>
        <w:t>1,241,176 shares deemed beneficially owned by Casdin Partners Master Fund, L.P. 1,241,176 shares deemed beneficially owned by Casdin Partners GP, LLC 1,241,176 shares deemed beneficially owned by Eli Casdin</w:t>
      </w:r>
    </w:p>
    <w:p>
      <w:pPr>
        <w:spacing w:after="0" w:line="186" w:lineRule="exact"/>
        <w:rPr>
          <w:rFonts w:ascii="Arial" w:cs="Arial" w:eastAsia="Arial" w:hAnsi="Arial"/>
          <w:sz w:val="18"/>
          <w:szCs w:val="18"/>
          <w:color w:val="auto"/>
        </w:rPr>
      </w:pPr>
    </w:p>
    <w:p>
      <w:pPr>
        <w:ind w:left="2460" w:hanging="883"/>
        <w:spacing w:after="0"/>
        <w:tabs>
          <w:tab w:leader="none" w:pos="2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2460"/>
        <w:spacing w:after="0"/>
        <w:rPr>
          <w:rFonts w:ascii="Arial" w:cs="Arial" w:eastAsia="Arial" w:hAnsi="Arial"/>
          <w:sz w:val="18"/>
          <w:szCs w:val="18"/>
          <w:color w:val="auto"/>
        </w:rPr>
      </w:pPr>
      <w:r>
        <w:rPr>
          <w:rFonts w:ascii="Arial" w:cs="Arial" w:eastAsia="Arial" w:hAnsi="Arial"/>
          <w:sz w:val="18"/>
          <w:szCs w:val="18"/>
          <w:color w:val="auto"/>
        </w:rPr>
        <w:t>4.52% deemed beneficially owned by Casdin Capital, LLC</w:t>
      </w:r>
    </w:p>
    <w:p>
      <w:pPr>
        <w:spacing w:after="0" w:line="23" w:lineRule="exact"/>
        <w:rPr>
          <w:rFonts w:ascii="Arial" w:cs="Arial" w:eastAsia="Arial" w:hAnsi="Arial"/>
          <w:sz w:val="18"/>
          <w:szCs w:val="18"/>
          <w:color w:val="auto"/>
        </w:rPr>
      </w:pPr>
    </w:p>
    <w:p>
      <w:pPr>
        <w:ind w:left="2460"/>
        <w:spacing w:after="0"/>
        <w:rPr>
          <w:rFonts w:ascii="Arial" w:cs="Arial" w:eastAsia="Arial" w:hAnsi="Arial"/>
          <w:sz w:val="18"/>
          <w:szCs w:val="18"/>
          <w:color w:val="auto"/>
        </w:rPr>
      </w:pPr>
      <w:r>
        <w:rPr>
          <w:rFonts w:ascii="Arial" w:cs="Arial" w:eastAsia="Arial" w:hAnsi="Arial"/>
          <w:sz w:val="18"/>
          <w:szCs w:val="18"/>
          <w:color w:val="auto"/>
        </w:rPr>
        <w:t>4.52% deemed beneficially owned by Casdin Partners Master Fund, L.P.</w:t>
      </w:r>
    </w:p>
    <w:p>
      <w:pPr>
        <w:spacing w:after="0" w:line="9" w:lineRule="exact"/>
        <w:rPr>
          <w:rFonts w:ascii="Arial" w:cs="Arial" w:eastAsia="Arial" w:hAnsi="Arial"/>
          <w:sz w:val="18"/>
          <w:szCs w:val="18"/>
          <w:color w:val="auto"/>
        </w:rPr>
      </w:pPr>
    </w:p>
    <w:p>
      <w:pPr>
        <w:ind w:left="2460"/>
        <w:spacing w:after="0"/>
        <w:rPr>
          <w:rFonts w:ascii="Arial" w:cs="Arial" w:eastAsia="Arial" w:hAnsi="Arial"/>
          <w:sz w:val="18"/>
          <w:szCs w:val="18"/>
          <w:color w:val="auto"/>
        </w:rPr>
      </w:pPr>
      <w:r>
        <w:rPr>
          <w:rFonts w:ascii="Arial" w:cs="Arial" w:eastAsia="Arial" w:hAnsi="Arial"/>
          <w:sz w:val="18"/>
          <w:szCs w:val="18"/>
          <w:color w:val="auto"/>
        </w:rPr>
        <w:t>4.52% deemed beneficially owned by Casdin Partners GP, LLC</w:t>
      </w:r>
    </w:p>
    <w:p>
      <w:pPr>
        <w:spacing w:after="0" w:line="9" w:lineRule="exact"/>
        <w:rPr>
          <w:rFonts w:ascii="Arial" w:cs="Arial" w:eastAsia="Arial" w:hAnsi="Arial"/>
          <w:sz w:val="18"/>
          <w:szCs w:val="18"/>
          <w:color w:val="auto"/>
        </w:rPr>
      </w:pPr>
    </w:p>
    <w:p>
      <w:pPr>
        <w:ind w:left="2460"/>
        <w:spacing w:after="0"/>
        <w:rPr>
          <w:rFonts w:ascii="Arial" w:cs="Arial" w:eastAsia="Arial" w:hAnsi="Arial"/>
          <w:sz w:val="18"/>
          <w:szCs w:val="18"/>
          <w:color w:val="auto"/>
        </w:rPr>
      </w:pPr>
      <w:r>
        <w:rPr>
          <w:rFonts w:ascii="Arial" w:cs="Arial" w:eastAsia="Arial" w:hAnsi="Arial"/>
          <w:sz w:val="18"/>
          <w:szCs w:val="18"/>
          <w:color w:val="auto"/>
        </w:rPr>
        <w:t>4.52% deemed beneficially owned by Eli Casdin</w:t>
      </w:r>
    </w:p>
    <w:p>
      <w:pPr>
        <w:spacing w:after="0" w:line="224" w:lineRule="exact"/>
        <w:rPr>
          <w:rFonts w:ascii="Arial" w:cs="Arial" w:eastAsia="Arial" w:hAnsi="Arial"/>
          <w:sz w:val="18"/>
          <w:szCs w:val="18"/>
          <w:color w:val="auto"/>
        </w:rPr>
      </w:pPr>
    </w:p>
    <w:p>
      <w:pPr>
        <w:ind w:left="2460" w:hanging="883"/>
        <w:spacing w:after="0"/>
        <w:tabs>
          <w:tab w:leader="none" w:pos="2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Number of shares as to which Casdin Capital, LLC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-1236345</wp:posOffset>
            </wp:positionV>
            <wp:extent cx="56318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31815" cy="889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-267335</wp:posOffset>
            </wp:positionV>
            <wp:extent cx="56318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31815"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60" w:type="dxa"/>
            <w:vAlign w:val="bottom"/>
          </w:tcPr>
          <w:p>
            <w:pPr>
              <w:ind w:left="2460"/>
              <w:spacing w:after="0"/>
              <w:rPr>
                <w:sz w:val="20"/>
                <w:szCs w:val="20"/>
                <w:color w:val="auto"/>
              </w:rPr>
            </w:pPr>
            <w:r>
              <w:rPr>
                <w:rFonts w:ascii="Arial" w:cs="Arial" w:eastAsia="Arial" w:hAnsi="Arial"/>
                <w:sz w:val="18"/>
                <w:szCs w:val="18"/>
                <w:color w:val="auto"/>
              </w:rPr>
              <w:t>(i)</w:t>
            </w:r>
          </w:p>
        </w:tc>
        <w:tc>
          <w:tcPr>
            <w:tcW w:w="5620" w:type="dxa"/>
            <w:vAlign w:val="bottom"/>
          </w:tcPr>
          <w:p>
            <w:pPr>
              <w:ind w:left="320"/>
              <w:spacing w:after="0"/>
              <w:rPr>
                <w:sz w:val="20"/>
                <w:szCs w:val="20"/>
                <w:color w:val="auto"/>
              </w:rPr>
            </w:pPr>
            <w:r>
              <w:rPr>
                <w:rFonts w:ascii="Arial" w:cs="Arial" w:eastAsia="Arial" w:hAnsi="Arial"/>
                <w:sz w:val="18"/>
                <w:szCs w:val="18"/>
                <w:color w:val="auto"/>
              </w:rPr>
              <w:t>Sole power to vote or to direct the vote</w:t>
            </w:r>
          </w:p>
        </w:tc>
        <w:tc>
          <w:tcPr>
            <w:tcW w:w="2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r>
      <w:tr>
        <w:trPr>
          <w:trHeight w:val="425"/>
        </w:trPr>
        <w:tc>
          <w:tcPr>
            <w:tcW w:w="3060" w:type="dxa"/>
            <w:vAlign w:val="bottom"/>
          </w:tcPr>
          <w:p>
            <w:pPr>
              <w:ind w:left="2460"/>
              <w:spacing w:after="0"/>
              <w:rPr>
                <w:sz w:val="20"/>
                <w:szCs w:val="20"/>
                <w:color w:val="auto"/>
              </w:rPr>
            </w:pPr>
            <w:r>
              <w:rPr>
                <w:rFonts w:ascii="Arial" w:cs="Arial" w:eastAsia="Arial" w:hAnsi="Arial"/>
                <w:sz w:val="18"/>
                <w:szCs w:val="18"/>
                <w:color w:val="auto"/>
              </w:rPr>
              <w:t>(ii)</w:t>
            </w:r>
          </w:p>
        </w:tc>
        <w:tc>
          <w:tcPr>
            <w:tcW w:w="5620" w:type="dxa"/>
            <w:vAlign w:val="bottom"/>
          </w:tcPr>
          <w:p>
            <w:pPr>
              <w:ind w:left="320"/>
              <w:spacing w:after="0"/>
              <w:rPr>
                <w:sz w:val="20"/>
                <w:szCs w:val="20"/>
                <w:color w:val="auto"/>
              </w:rPr>
            </w:pPr>
            <w:r>
              <w:rPr>
                <w:rFonts w:ascii="Arial" w:cs="Arial" w:eastAsia="Arial" w:hAnsi="Arial"/>
                <w:sz w:val="18"/>
                <w:szCs w:val="18"/>
                <w:color w:val="auto"/>
              </w:rPr>
              <w:t>Shared power to vote or to direct the vote</w:t>
            </w:r>
          </w:p>
        </w:tc>
        <w:tc>
          <w:tcPr>
            <w:tcW w:w="2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1,241,176</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r>
      <w:tr>
        <w:trPr>
          <w:trHeight w:val="425"/>
        </w:trPr>
        <w:tc>
          <w:tcPr>
            <w:tcW w:w="3060" w:type="dxa"/>
            <w:vAlign w:val="bottom"/>
          </w:tcPr>
          <w:p>
            <w:pPr>
              <w:ind w:left="2460"/>
              <w:spacing w:after="0"/>
              <w:rPr>
                <w:sz w:val="20"/>
                <w:szCs w:val="20"/>
                <w:color w:val="auto"/>
              </w:rPr>
            </w:pPr>
            <w:r>
              <w:rPr>
                <w:rFonts w:ascii="Arial" w:cs="Arial" w:eastAsia="Arial" w:hAnsi="Arial"/>
                <w:sz w:val="18"/>
                <w:szCs w:val="18"/>
                <w:color w:val="auto"/>
              </w:rPr>
              <w:t>(iii)</w:t>
            </w:r>
          </w:p>
        </w:tc>
        <w:tc>
          <w:tcPr>
            <w:tcW w:w="5620" w:type="dxa"/>
            <w:vAlign w:val="bottom"/>
          </w:tcPr>
          <w:p>
            <w:pPr>
              <w:ind w:left="320"/>
              <w:spacing w:after="0"/>
              <w:rPr>
                <w:sz w:val="20"/>
                <w:szCs w:val="20"/>
                <w:color w:val="auto"/>
              </w:rPr>
            </w:pPr>
            <w:r>
              <w:rPr>
                <w:rFonts w:ascii="Arial" w:cs="Arial" w:eastAsia="Arial" w:hAnsi="Arial"/>
                <w:sz w:val="18"/>
                <w:szCs w:val="18"/>
                <w:color w:val="auto"/>
              </w:rPr>
              <w:t>Sole power to dispose or to direct the disposition of</w:t>
            </w:r>
          </w:p>
        </w:tc>
        <w:tc>
          <w:tcPr>
            <w:tcW w:w="2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r>
      <w:tr>
        <w:trPr>
          <w:trHeight w:val="426"/>
        </w:trPr>
        <w:tc>
          <w:tcPr>
            <w:tcW w:w="3060" w:type="dxa"/>
            <w:vAlign w:val="bottom"/>
          </w:tcPr>
          <w:p>
            <w:pPr>
              <w:ind w:left="2460"/>
              <w:spacing w:after="0"/>
              <w:rPr>
                <w:sz w:val="20"/>
                <w:szCs w:val="20"/>
                <w:color w:val="auto"/>
              </w:rPr>
            </w:pPr>
            <w:r>
              <w:rPr>
                <w:rFonts w:ascii="Arial" w:cs="Arial" w:eastAsia="Arial" w:hAnsi="Arial"/>
                <w:sz w:val="18"/>
                <w:szCs w:val="18"/>
                <w:color w:val="auto"/>
              </w:rPr>
              <w:t>(iv)</w:t>
            </w:r>
          </w:p>
        </w:tc>
        <w:tc>
          <w:tcPr>
            <w:tcW w:w="5620" w:type="dxa"/>
            <w:vAlign w:val="bottom"/>
          </w:tcPr>
          <w:p>
            <w:pPr>
              <w:ind w:left="320"/>
              <w:spacing w:after="0"/>
              <w:rPr>
                <w:sz w:val="20"/>
                <w:szCs w:val="20"/>
                <w:color w:val="auto"/>
              </w:rPr>
            </w:pPr>
            <w:r>
              <w:rPr>
                <w:rFonts w:ascii="Arial" w:cs="Arial" w:eastAsia="Arial" w:hAnsi="Arial"/>
                <w:sz w:val="18"/>
                <w:szCs w:val="18"/>
                <w:color w:val="auto"/>
              </w:rPr>
              <w:t>Shared power to dispose or to direct the disposition of</w:t>
            </w:r>
          </w:p>
        </w:tc>
        <w:tc>
          <w:tcPr>
            <w:tcW w:w="2560" w:type="dxa"/>
            <w:vAlign w:val="bottom"/>
            <w:gridSpan w:val="2"/>
          </w:tcPr>
          <w:p>
            <w:pPr>
              <w:jc w:val="right"/>
              <w:ind w:right="90"/>
              <w:spacing w:after="0"/>
              <w:rPr>
                <w:sz w:val="20"/>
                <w:szCs w:val="20"/>
                <w:color w:val="auto"/>
              </w:rPr>
            </w:pPr>
            <w:r>
              <w:rPr>
                <w:rFonts w:ascii="Arial" w:cs="Arial" w:eastAsia="Arial" w:hAnsi="Arial"/>
                <w:sz w:val="18"/>
                <w:szCs w:val="18"/>
                <w:color w:val="auto"/>
              </w:rPr>
              <w:t>1,241,176  .</w:t>
            </w:r>
          </w:p>
        </w:tc>
      </w:tr>
      <w:tr>
        <w:trPr>
          <w:trHeight w:val="473"/>
        </w:trPr>
        <w:tc>
          <w:tcPr>
            <w:tcW w:w="306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2240" w:type="dxa"/>
            <w:vAlign w:val="bottom"/>
            <w:tcBorders>
              <w:top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7" w:name="page8"/>
    <w:bookmarkEnd w:id="7"/>
    <w:p>
      <w:pPr>
        <w:ind w:left="2360"/>
        <w:spacing w:after="0"/>
        <w:rPr>
          <w:sz w:val="20"/>
          <w:szCs w:val="20"/>
          <w:color w:val="auto"/>
        </w:rPr>
      </w:pPr>
      <w:r>
        <w:rPr>
          <w:rFonts w:ascii="Arial" w:cs="Arial" w:eastAsia="Arial" w:hAnsi="Arial"/>
          <w:sz w:val="18"/>
          <w:szCs w:val="18"/>
          <w:color w:val="auto"/>
        </w:rPr>
        <w:t>Number of shares as to which Casdin Partners Master Fund, L.P. has:</w:t>
      </w:r>
    </w:p>
    <w:p>
      <w:pPr>
        <w:spacing w:after="0" w:line="225" w:lineRule="exact"/>
        <w:rPr>
          <w:sz w:val="20"/>
          <w:szCs w:val="20"/>
          <w:color w:val="auto"/>
        </w:rPr>
      </w:pPr>
    </w:p>
    <w:tbl>
      <w:tblPr>
        <w:tblLayout w:type="fixed"/>
        <w:tblInd w:w="23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(i)</w:t>
            </w:r>
          </w:p>
        </w:tc>
        <w:tc>
          <w:tcPr>
            <w:tcW w:w="5500" w:type="dxa"/>
            <w:vAlign w:val="bottom"/>
          </w:tcPr>
          <w:p>
            <w:pPr>
              <w:ind w:left="320"/>
              <w:spacing w:after="0"/>
              <w:rPr>
                <w:sz w:val="20"/>
                <w:szCs w:val="20"/>
                <w:color w:val="auto"/>
              </w:rPr>
            </w:pPr>
            <w:r>
              <w:rPr>
                <w:rFonts w:ascii="Arial" w:cs="Arial" w:eastAsia="Arial" w:hAnsi="Arial"/>
                <w:sz w:val="18"/>
                <w:szCs w:val="18"/>
                <w:color w:val="auto"/>
              </w:rPr>
              <w:t>Sole power to vote or to direct the vote</w:t>
            </w:r>
          </w:p>
        </w:tc>
        <w:tc>
          <w:tcPr>
            <w:tcW w:w="2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r>
      <w:tr>
        <w:trPr>
          <w:trHeight w:val="426"/>
        </w:trPr>
        <w:tc>
          <w:tcPr>
            <w:tcW w:w="600" w:type="dxa"/>
            <w:vAlign w:val="bottom"/>
          </w:tcPr>
          <w:p>
            <w:pPr>
              <w:spacing w:after="0"/>
              <w:rPr>
                <w:sz w:val="20"/>
                <w:szCs w:val="20"/>
                <w:color w:val="auto"/>
              </w:rPr>
            </w:pPr>
            <w:r>
              <w:rPr>
                <w:rFonts w:ascii="Arial" w:cs="Arial" w:eastAsia="Arial" w:hAnsi="Arial"/>
                <w:sz w:val="18"/>
                <w:szCs w:val="18"/>
                <w:color w:val="auto"/>
              </w:rPr>
              <w:t>(ii)</w:t>
            </w:r>
          </w:p>
        </w:tc>
        <w:tc>
          <w:tcPr>
            <w:tcW w:w="5500" w:type="dxa"/>
            <w:vAlign w:val="bottom"/>
          </w:tcPr>
          <w:p>
            <w:pPr>
              <w:ind w:left="320"/>
              <w:spacing w:after="0"/>
              <w:rPr>
                <w:sz w:val="20"/>
                <w:szCs w:val="20"/>
                <w:color w:val="auto"/>
              </w:rPr>
            </w:pPr>
            <w:r>
              <w:rPr>
                <w:rFonts w:ascii="Arial" w:cs="Arial" w:eastAsia="Arial" w:hAnsi="Arial"/>
                <w:sz w:val="18"/>
                <w:szCs w:val="18"/>
                <w:color w:val="auto"/>
              </w:rPr>
              <w:t>Shared power to vote or to direct the vote</w:t>
            </w:r>
          </w:p>
        </w:tc>
        <w:tc>
          <w:tcPr>
            <w:tcW w:w="2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1,241,176</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r>
      <w:tr>
        <w:trPr>
          <w:trHeight w:val="426"/>
        </w:trPr>
        <w:tc>
          <w:tcPr>
            <w:tcW w:w="600" w:type="dxa"/>
            <w:vAlign w:val="bottom"/>
          </w:tcPr>
          <w:p>
            <w:pPr>
              <w:spacing w:after="0"/>
              <w:rPr>
                <w:sz w:val="20"/>
                <w:szCs w:val="20"/>
                <w:color w:val="auto"/>
              </w:rPr>
            </w:pPr>
            <w:r>
              <w:rPr>
                <w:rFonts w:ascii="Arial" w:cs="Arial" w:eastAsia="Arial" w:hAnsi="Arial"/>
                <w:sz w:val="18"/>
                <w:szCs w:val="18"/>
                <w:color w:val="auto"/>
              </w:rPr>
              <w:t>(iii)</w:t>
            </w:r>
          </w:p>
        </w:tc>
        <w:tc>
          <w:tcPr>
            <w:tcW w:w="5500" w:type="dxa"/>
            <w:vAlign w:val="bottom"/>
          </w:tcPr>
          <w:p>
            <w:pPr>
              <w:ind w:left="320"/>
              <w:spacing w:after="0"/>
              <w:rPr>
                <w:sz w:val="20"/>
                <w:szCs w:val="20"/>
                <w:color w:val="auto"/>
              </w:rPr>
            </w:pPr>
            <w:r>
              <w:rPr>
                <w:rFonts w:ascii="Arial" w:cs="Arial" w:eastAsia="Arial" w:hAnsi="Arial"/>
                <w:sz w:val="18"/>
                <w:szCs w:val="18"/>
                <w:color w:val="auto"/>
              </w:rPr>
              <w:t>Sole power to dispose or to direct the disposition of</w:t>
            </w:r>
          </w:p>
        </w:tc>
        <w:tc>
          <w:tcPr>
            <w:tcW w:w="2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r>
      <w:tr>
        <w:trPr>
          <w:trHeight w:val="425"/>
        </w:trPr>
        <w:tc>
          <w:tcPr>
            <w:tcW w:w="600" w:type="dxa"/>
            <w:vAlign w:val="bottom"/>
          </w:tcPr>
          <w:p>
            <w:pPr>
              <w:spacing w:after="0"/>
              <w:rPr>
                <w:sz w:val="20"/>
                <w:szCs w:val="20"/>
                <w:color w:val="auto"/>
              </w:rPr>
            </w:pPr>
            <w:r>
              <w:rPr>
                <w:rFonts w:ascii="Arial" w:cs="Arial" w:eastAsia="Arial" w:hAnsi="Arial"/>
                <w:sz w:val="18"/>
                <w:szCs w:val="18"/>
                <w:color w:val="auto"/>
              </w:rPr>
              <w:t>(iv)</w:t>
            </w:r>
          </w:p>
        </w:tc>
        <w:tc>
          <w:tcPr>
            <w:tcW w:w="5500" w:type="dxa"/>
            <w:vAlign w:val="bottom"/>
          </w:tcPr>
          <w:p>
            <w:pPr>
              <w:ind w:left="320"/>
              <w:spacing w:after="0"/>
              <w:rPr>
                <w:sz w:val="20"/>
                <w:szCs w:val="20"/>
                <w:color w:val="auto"/>
              </w:rPr>
            </w:pPr>
            <w:r>
              <w:rPr>
                <w:rFonts w:ascii="Arial" w:cs="Arial" w:eastAsia="Arial" w:hAnsi="Arial"/>
                <w:sz w:val="18"/>
                <w:szCs w:val="18"/>
                <w:color w:val="auto"/>
              </w:rPr>
              <w:t>Shared power to dispose or to direct the disposition of</w:t>
            </w:r>
          </w:p>
        </w:tc>
        <w:tc>
          <w:tcPr>
            <w:tcW w:w="2680" w:type="dxa"/>
            <w:vAlign w:val="bottom"/>
            <w:gridSpan w:val="2"/>
          </w:tcPr>
          <w:p>
            <w:pPr>
              <w:jc w:val="right"/>
              <w:ind w:right="90"/>
              <w:spacing w:after="0"/>
              <w:rPr>
                <w:sz w:val="20"/>
                <w:szCs w:val="20"/>
                <w:color w:val="auto"/>
              </w:rPr>
            </w:pPr>
            <w:r>
              <w:rPr>
                <w:rFonts w:ascii="Arial" w:cs="Arial" w:eastAsia="Arial" w:hAnsi="Arial"/>
                <w:sz w:val="18"/>
                <w:szCs w:val="18"/>
                <w:color w:val="auto"/>
              </w:rPr>
              <w:t>1,241,176  .</w:t>
            </w:r>
          </w:p>
        </w:tc>
      </w:tr>
      <w:tr>
        <w:trPr>
          <w:trHeight w:val="20"/>
        </w:trPr>
        <w:tc>
          <w:tcPr>
            <w:tcW w:w="6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2"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Number of shares as to which Casdin Partners GP, LLC has:</w:t>
      </w:r>
    </w:p>
    <w:p>
      <w:pPr>
        <w:spacing w:after="0" w:line="225" w:lineRule="exact"/>
        <w:rPr>
          <w:sz w:val="20"/>
          <w:szCs w:val="20"/>
          <w:color w:val="auto"/>
        </w:rPr>
      </w:pPr>
    </w:p>
    <w:tbl>
      <w:tblPr>
        <w:tblLayout w:type="fixed"/>
        <w:tblInd w:w="23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(i)</w:t>
            </w:r>
          </w:p>
        </w:tc>
        <w:tc>
          <w:tcPr>
            <w:tcW w:w="5500" w:type="dxa"/>
            <w:vAlign w:val="bottom"/>
          </w:tcPr>
          <w:p>
            <w:pPr>
              <w:ind w:left="320"/>
              <w:spacing w:after="0"/>
              <w:rPr>
                <w:sz w:val="20"/>
                <w:szCs w:val="20"/>
                <w:color w:val="auto"/>
              </w:rPr>
            </w:pPr>
            <w:r>
              <w:rPr>
                <w:rFonts w:ascii="Arial" w:cs="Arial" w:eastAsia="Arial" w:hAnsi="Arial"/>
                <w:sz w:val="18"/>
                <w:szCs w:val="18"/>
                <w:color w:val="auto"/>
              </w:rPr>
              <w:t>Sole power to vote or to direct the vote</w:t>
            </w:r>
          </w:p>
        </w:tc>
        <w:tc>
          <w:tcPr>
            <w:tcW w:w="2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r>
      <w:tr>
        <w:trPr>
          <w:trHeight w:val="426"/>
        </w:trPr>
        <w:tc>
          <w:tcPr>
            <w:tcW w:w="600" w:type="dxa"/>
            <w:vAlign w:val="bottom"/>
          </w:tcPr>
          <w:p>
            <w:pPr>
              <w:spacing w:after="0"/>
              <w:rPr>
                <w:sz w:val="20"/>
                <w:szCs w:val="20"/>
                <w:color w:val="auto"/>
              </w:rPr>
            </w:pPr>
            <w:r>
              <w:rPr>
                <w:rFonts w:ascii="Arial" w:cs="Arial" w:eastAsia="Arial" w:hAnsi="Arial"/>
                <w:sz w:val="18"/>
                <w:szCs w:val="18"/>
                <w:color w:val="auto"/>
              </w:rPr>
              <w:t>(ii)</w:t>
            </w:r>
          </w:p>
        </w:tc>
        <w:tc>
          <w:tcPr>
            <w:tcW w:w="5500" w:type="dxa"/>
            <w:vAlign w:val="bottom"/>
          </w:tcPr>
          <w:p>
            <w:pPr>
              <w:ind w:left="320"/>
              <w:spacing w:after="0"/>
              <w:rPr>
                <w:sz w:val="20"/>
                <w:szCs w:val="20"/>
                <w:color w:val="auto"/>
              </w:rPr>
            </w:pPr>
            <w:r>
              <w:rPr>
                <w:rFonts w:ascii="Arial" w:cs="Arial" w:eastAsia="Arial" w:hAnsi="Arial"/>
                <w:sz w:val="18"/>
                <w:szCs w:val="18"/>
                <w:color w:val="auto"/>
              </w:rPr>
              <w:t>Shared power to vote or to direct the vote</w:t>
            </w:r>
          </w:p>
        </w:tc>
        <w:tc>
          <w:tcPr>
            <w:tcW w:w="2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1,241,176</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r>
      <w:tr>
        <w:trPr>
          <w:trHeight w:val="425"/>
        </w:trPr>
        <w:tc>
          <w:tcPr>
            <w:tcW w:w="600" w:type="dxa"/>
            <w:vAlign w:val="bottom"/>
          </w:tcPr>
          <w:p>
            <w:pPr>
              <w:spacing w:after="0"/>
              <w:rPr>
                <w:sz w:val="20"/>
                <w:szCs w:val="20"/>
                <w:color w:val="auto"/>
              </w:rPr>
            </w:pPr>
            <w:r>
              <w:rPr>
                <w:rFonts w:ascii="Arial" w:cs="Arial" w:eastAsia="Arial" w:hAnsi="Arial"/>
                <w:sz w:val="18"/>
                <w:szCs w:val="18"/>
                <w:color w:val="auto"/>
              </w:rPr>
              <w:t>(iii)</w:t>
            </w:r>
          </w:p>
        </w:tc>
        <w:tc>
          <w:tcPr>
            <w:tcW w:w="5500" w:type="dxa"/>
            <w:vAlign w:val="bottom"/>
          </w:tcPr>
          <w:p>
            <w:pPr>
              <w:ind w:left="320"/>
              <w:spacing w:after="0"/>
              <w:rPr>
                <w:sz w:val="20"/>
                <w:szCs w:val="20"/>
                <w:color w:val="auto"/>
              </w:rPr>
            </w:pPr>
            <w:r>
              <w:rPr>
                <w:rFonts w:ascii="Arial" w:cs="Arial" w:eastAsia="Arial" w:hAnsi="Arial"/>
                <w:sz w:val="18"/>
                <w:szCs w:val="18"/>
                <w:color w:val="auto"/>
              </w:rPr>
              <w:t>Sole power to dispose or to direct the disposition of</w:t>
            </w:r>
          </w:p>
        </w:tc>
        <w:tc>
          <w:tcPr>
            <w:tcW w:w="2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r>
      <w:tr>
        <w:trPr>
          <w:trHeight w:val="426"/>
        </w:trPr>
        <w:tc>
          <w:tcPr>
            <w:tcW w:w="600" w:type="dxa"/>
            <w:vAlign w:val="bottom"/>
          </w:tcPr>
          <w:p>
            <w:pPr>
              <w:spacing w:after="0"/>
              <w:rPr>
                <w:sz w:val="20"/>
                <w:szCs w:val="20"/>
                <w:color w:val="auto"/>
              </w:rPr>
            </w:pPr>
            <w:r>
              <w:rPr>
                <w:rFonts w:ascii="Arial" w:cs="Arial" w:eastAsia="Arial" w:hAnsi="Arial"/>
                <w:sz w:val="18"/>
                <w:szCs w:val="18"/>
                <w:color w:val="auto"/>
              </w:rPr>
              <w:t>(iv)</w:t>
            </w:r>
          </w:p>
        </w:tc>
        <w:tc>
          <w:tcPr>
            <w:tcW w:w="5500" w:type="dxa"/>
            <w:vAlign w:val="bottom"/>
          </w:tcPr>
          <w:p>
            <w:pPr>
              <w:ind w:left="320"/>
              <w:spacing w:after="0"/>
              <w:rPr>
                <w:sz w:val="20"/>
                <w:szCs w:val="20"/>
                <w:color w:val="auto"/>
              </w:rPr>
            </w:pPr>
            <w:r>
              <w:rPr>
                <w:rFonts w:ascii="Arial" w:cs="Arial" w:eastAsia="Arial" w:hAnsi="Arial"/>
                <w:sz w:val="18"/>
                <w:szCs w:val="18"/>
                <w:color w:val="auto"/>
              </w:rPr>
              <w:t>Shared power to dispose or to direct the disposition of</w:t>
            </w:r>
          </w:p>
        </w:tc>
        <w:tc>
          <w:tcPr>
            <w:tcW w:w="2680" w:type="dxa"/>
            <w:vAlign w:val="bottom"/>
            <w:gridSpan w:val="2"/>
          </w:tcPr>
          <w:p>
            <w:pPr>
              <w:jc w:val="right"/>
              <w:ind w:right="90"/>
              <w:spacing w:after="0"/>
              <w:rPr>
                <w:sz w:val="20"/>
                <w:szCs w:val="20"/>
                <w:color w:val="auto"/>
              </w:rPr>
            </w:pPr>
            <w:r>
              <w:rPr>
                <w:rFonts w:ascii="Arial" w:cs="Arial" w:eastAsia="Arial" w:hAnsi="Arial"/>
                <w:sz w:val="18"/>
                <w:szCs w:val="18"/>
                <w:color w:val="auto"/>
              </w:rPr>
              <w:t>1,241,176  .</w:t>
            </w:r>
          </w:p>
        </w:tc>
      </w:tr>
      <w:tr>
        <w:trPr>
          <w:trHeight w:val="20"/>
        </w:trPr>
        <w:tc>
          <w:tcPr>
            <w:tcW w:w="6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2"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Number of shares as to which Eli Casdin has:</w:t>
      </w:r>
    </w:p>
    <w:p>
      <w:pPr>
        <w:spacing w:after="0" w:line="225" w:lineRule="exact"/>
        <w:rPr>
          <w:sz w:val="20"/>
          <w:szCs w:val="20"/>
          <w:color w:val="auto"/>
        </w:rPr>
      </w:pPr>
    </w:p>
    <w:tbl>
      <w:tblPr>
        <w:tblLayout w:type="fixed"/>
        <w:tblInd w:w="23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(i)</w:t>
            </w:r>
          </w:p>
        </w:tc>
        <w:tc>
          <w:tcPr>
            <w:tcW w:w="5500" w:type="dxa"/>
            <w:vAlign w:val="bottom"/>
          </w:tcPr>
          <w:p>
            <w:pPr>
              <w:ind w:left="320"/>
              <w:spacing w:after="0"/>
              <w:rPr>
                <w:sz w:val="20"/>
                <w:szCs w:val="20"/>
                <w:color w:val="auto"/>
              </w:rPr>
            </w:pPr>
            <w:r>
              <w:rPr>
                <w:rFonts w:ascii="Arial" w:cs="Arial" w:eastAsia="Arial" w:hAnsi="Arial"/>
                <w:sz w:val="18"/>
                <w:szCs w:val="18"/>
                <w:color w:val="auto"/>
              </w:rPr>
              <w:t>Sole power to vote or to direct the vote</w:t>
            </w:r>
          </w:p>
        </w:tc>
        <w:tc>
          <w:tcPr>
            <w:tcW w:w="2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r>
      <w:tr>
        <w:trPr>
          <w:trHeight w:val="425"/>
        </w:trPr>
        <w:tc>
          <w:tcPr>
            <w:tcW w:w="600" w:type="dxa"/>
            <w:vAlign w:val="bottom"/>
          </w:tcPr>
          <w:p>
            <w:pPr>
              <w:spacing w:after="0"/>
              <w:rPr>
                <w:sz w:val="20"/>
                <w:szCs w:val="20"/>
                <w:color w:val="auto"/>
              </w:rPr>
            </w:pPr>
            <w:r>
              <w:rPr>
                <w:rFonts w:ascii="Arial" w:cs="Arial" w:eastAsia="Arial" w:hAnsi="Arial"/>
                <w:sz w:val="18"/>
                <w:szCs w:val="18"/>
                <w:color w:val="auto"/>
              </w:rPr>
              <w:t>(ii)</w:t>
            </w:r>
          </w:p>
        </w:tc>
        <w:tc>
          <w:tcPr>
            <w:tcW w:w="5500" w:type="dxa"/>
            <w:vAlign w:val="bottom"/>
          </w:tcPr>
          <w:p>
            <w:pPr>
              <w:ind w:left="320"/>
              <w:spacing w:after="0"/>
              <w:rPr>
                <w:sz w:val="20"/>
                <w:szCs w:val="20"/>
                <w:color w:val="auto"/>
              </w:rPr>
            </w:pPr>
            <w:r>
              <w:rPr>
                <w:rFonts w:ascii="Arial" w:cs="Arial" w:eastAsia="Arial" w:hAnsi="Arial"/>
                <w:sz w:val="18"/>
                <w:szCs w:val="18"/>
                <w:color w:val="auto"/>
              </w:rPr>
              <w:t>Shared power to vote or to direct the vote</w:t>
            </w:r>
          </w:p>
        </w:tc>
        <w:tc>
          <w:tcPr>
            <w:tcW w:w="2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1,241,176</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r>
      <w:tr>
        <w:trPr>
          <w:trHeight w:val="425"/>
        </w:trPr>
        <w:tc>
          <w:tcPr>
            <w:tcW w:w="600" w:type="dxa"/>
            <w:vAlign w:val="bottom"/>
          </w:tcPr>
          <w:p>
            <w:pPr>
              <w:spacing w:after="0"/>
              <w:rPr>
                <w:sz w:val="20"/>
                <w:szCs w:val="20"/>
                <w:color w:val="auto"/>
              </w:rPr>
            </w:pPr>
            <w:r>
              <w:rPr>
                <w:rFonts w:ascii="Arial" w:cs="Arial" w:eastAsia="Arial" w:hAnsi="Arial"/>
                <w:sz w:val="18"/>
                <w:szCs w:val="18"/>
                <w:color w:val="auto"/>
              </w:rPr>
              <w:t>(iii)</w:t>
            </w:r>
          </w:p>
        </w:tc>
        <w:tc>
          <w:tcPr>
            <w:tcW w:w="5500" w:type="dxa"/>
            <w:vAlign w:val="bottom"/>
          </w:tcPr>
          <w:p>
            <w:pPr>
              <w:ind w:left="320"/>
              <w:spacing w:after="0"/>
              <w:rPr>
                <w:sz w:val="20"/>
                <w:szCs w:val="20"/>
                <w:color w:val="auto"/>
              </w:rPr>
            </w:pPr>
            <w:r>
              <w:rPr>
                <w:rFonts w:ascii="Arial" w:cs="Arial" w:eastAsia="Arial" w:hAnsi="Arial"/>
                <w:sz w:val="18"/>
                <w:szCs w:val="18"/>
                <w:color w:val="auto"/>
              </w:rPr>
              <w:t>Sole power to dispose or to direct the disposition of</w:t>
            </w:r>
          </w:p>
        </w:tc>
        <w:tc>
          <w:tcPr>
            <w:tcW w:w="2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r>
      <w:tr>
        <w:trPr>
          <w:trHeight w:val="426"/>
        </w:trPr>
        <w:tc>
          <w:tcPr>
            <w:tcW w:w="600" w:type="dxa"/>
            <w:vAlign w:val="bottom"/>
          </w:tcPr>
          <w:p>
            <w:pPr>
              <w:spacing w:after="0"/>
              <w:rPr>
                <w:sz w:val="20"/>
                <w:szCs w:val="20"/>
                <w:color w:val="auto"/>
              </w:rPr>
            </w:pPr>
            <w:r>
              <w:rPr>
                <w:rFonts w:ascii="Arial" w:cs="Arial" w:eastAsia="Arial" w:hAnsi="Arial"/>
                <w:sz w:val="18"/>
                <w:szCs w:val="18"/>
                <w:color w:val="auto"/>
              </w:rPr>
              <w:t>(iv)</w:t>
            </w:r>
          </w:p>
        </w:tc>
        <w:tc>
          <w:tcPr>
            <w:tcW w:w="5500" w:type="dxa"/>
            <w:vAlign w:val="bottom"/>
          </w:tcPr>
          <w:p>
            <w:pPr>
              <w:ind w:left="320"/>
              <w:spacing w:after="0"/>
              <w:rPr>
                <w:sz w:val="20"/>
                <w:szCs w:val="20"/>
                <w:color w:val="auto"/>
              </w:rPr>
            </w:pPr>
            <w:r>
              <w:rPr>
                <w:rFonts w:ascii="Arial" w:cs="Arial" w:eastAsia="Arial" w:hAnsi="Arial"/>
                <w:sz w:val="18"/>
                <w:szCs w:val="18"/>
                <w:color w:val="auto"/>
              </w:rPr>
              <w:t>Shared power to dispose or to direct the disposition of</w:t>
            </w:r>
          </w:p>
        </w:tc>
        <w:tc>
          <w:tcPr>
            <w:tcW w:w="2680" w:type="dxa"/>
            <w:vAlign w:val="bottom"/>
            <w:gridSpan w:val="2"/>
          </w:tcPr>
          <w:p>
            <w:pPr>
              <w:jc w:val="right"/>
              <w:ind w:right="90"/>
              <w:spacing w:after="0"/>
              <w:rPr>
                <w:sz w:val="20"/>
                <w:szCs w:val="20"/>
                <w:color w:val="auto"/>
              </w:rPr>
            </w:pPr>
            <w:r>
              <w:rPr>
                <w:rFonts w:ascii="Arial" w:cs="Arial" w:eastAsia="Arial" w:hAnsi="Arial"/>
                <w:sz w:val="18"/>
                <w:szCs w:val="18"/>
                <w:color w:val="auto"/>
              </w:rPr>
              <w:t>1,241,176  .</w:t>
            </w:r>
          </w:p>
        </w:tc>
      </w:tr>
      <w:tr>
        <w:trPr>
          <w:trHeight w:val="20"/>
        </w:trPr>
        <w:tc>
          <w:tcPr>
            <w:tcW w:w="6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jc w:val="both"/>
        <w:ind w:left="1480" w:right="24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70" w:lineRule="exact"/>
        <w:rPr>
          <w:sz w:val="20"/>
          <w:szCs w:val="20"/>
          <w:color w:val="auto"/>
        </w:rPr>
      </w:pPr>
    </w:p>
    <w:p>
      <w:pPr>
        <w:ind w:left="1480" w:right="480"/>
        <w:spacing w:after="0" w:line="277" w:lineRule="auto"/>
        <w:rPr>
          <w:sz w:val="20"/>
          <w:szCs w:val="20"/>
          <w:color w:val="auto"/>
        </w:rPr>
      </w:pPr>
      <w:r>
        <w:rPr>
          <w:rFonts w:ascii="Arial" w:cs="Arial" w:eastAsia="Arial" w:hAnsi="Arial"/>
          <w:sz w:val="18"/>
          <w:szCs w:val="18"/>
          <w:color w:val="auto"/>
        </w:rPr>
        <w:t>This final amendment reflects that each Reporting Person has ceased to be the beneficial owner of more than five percent of the Common Stock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-19050</wp:posOffset>
            </wp:positionV>
            <wp:extent cx="61976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164"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jc w:val="both"/>
        <w:ind w:left="1480" w:right="240"/>
        <w:spacing w:after="0" w:line="257"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14605</wp:posOffset>
            </wp:positionV>
            <wp:extent cx="61976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314960</wp:posOffset>
            </wp:positionV>
            <wp:extent cx="713232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40"/>
          </w:cols>
          <w:pgMar w:left="420" w:top="692" w:right="339" w:bottom="1440" w:gutter="0" w:footer="0" w:header="0"/>
        </w:sectPr>
      </w:pPr>
    </w:p>
    <w:bookmarkStart w:id="8" w:name="page9"/>
    <w:bookmarkEnd w:id="8"/>
    <w:p>
      <w:pPr>
        <w:spacing w:after="0"/>
        <w:tabs>
          <w:tab w:leader="none" w:pos="146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225" w:lineRule="exact"/>
        <w:rPr>
          <w:sz w:val="20"/>
          <w:szCs w:val="20"/>
          <w:color w:val="auto"/>
        </w:rPr>
      </w:pPr>
    </w:p>
    <w:p>
      <w:pPr>
        <w:ind w:left="1480" w:right="200"/>
        <w:spacing w:after="0" w:line="311" w:lineRule="auto"/>
        <w:rPr>
          <w:sz w:val="20"/>
          <w:szCs w:val="20"/>
          <w:color w:val="auto"/>
        </w:rPr>
      </w:pPr>
      <w:r>
        <w:rPr>
          <w:rFonts w:ascii="Arial" w:cs="Arial" w:eastAsia="Arial" w:hAnsi="Arial"/>
          <w:sz w:val="16"/>
          <w:szCs w:val="16"/>
          <w:color w:val="auto"/>
        </w:rPr>
        <w:t>If a parent holding company has filed this schedule, pursuant to Rule 13d-1(b)(1)(ii)(G),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14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14605</wp:posOffset>
            </wp:positionV>
            <wp:extent cx="61976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21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left="1480" w:right="320"/>
        <w:spacing w:after="0" w:line="263"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184"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14605</wp:posOffset>
            </wp:positionV>
            <wp:extent cx="61976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21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1480" w:right="320"/>
        <w:spacing w:after="0" w:line="263"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84"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14605</wp:posOffset>
            </wp:positionV>
            <wp:extent cx="61976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97600" cy="8890"/>
                    </a:xfrm>
                    <a:prstGeom prst="rect">
                      <a:avLst/>
                    </a:prstGeom>
                    <a:noFill/>
                  </pic:spPr>
                </pic:pic>
              </a:graphicData>
            </a:graphic>
          </wp:anchor>
        </w:drawing>
      </w:r>
    </w:p>
    <w:p>
      <w:pPr>
        <w:spacing w:after="0" w:line="21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25" w:lineRule="exact"/>
        <w:rPr>
          <w:sz w:val="20"/>
          <w:szCs w:val="20"/>
          <w:color w:val="auto"/>
        </w:rPr>
      </w:pPr>
    </w:p>
    <w:p>
      <w:pPr>
        <w:ind w:left="1480" w:right="6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419100</wp:posOffset>
            </wp:positionV>
            <wp:extent cx="713232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020"/>
          </w:cols>
          <w:pgMar w:left="420" w:top="692" w:right="4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27"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February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3488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Casdin Capital, LLC*</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(Name/Title)</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Casdin Partners Master Fund, L.P.*</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Casdin Partners GP, LLC, its general partner</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(Name/Title)</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Casdin Partners GP, LLC*</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Eli Casdin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 The Reporting Persons disclaim beneficial ownership in the Shares reported herein except to the extent of their pecuniary interest therein.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u w:val="single" w:color="auto"/>
          <w:color w:val="auto"/>
        </w:rPr>
        <w:t>Exhibit 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undersigned agree that this Schedule 13G amendment dated February 11, 2021 relating to the Common Stock, $0.001 par value per share of Fulcrum Therapeutics, Inc., shall be filed on behalf of the undersigned.</w:t>
      </w:r>
    </w:p>
    <w:p>
      <w:pPr>
        <w:spacing w:after="0" w:line="1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Casdin Capital, LLC</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(Name/Title)</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Casdin Partners Master Fund, L.P.</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Casdin Partners GP, LLC, its general partner</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(Name/Title)</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Casdin Partners GP, LLC</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Eli Casdin</w:t>
      </w:r>
    </w:p>
    <w:sectPr>
      <w:pgSz w:w="11900" w:h="16838" w:orient="portrait"/>
      <w:cols w:equalWidth="0" w:num="1">
        <w:col w:w="11240"/>
      </w:cols>
      <w:pgMar w:left="320" w:top="4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3"/>
    </w:lvl>
  </w:abstractNum>
  <w:abstractNum w:abstractNumId="3">
    <w:nsid w:val="1190CDE7"/>
    <w:multiLevelType w:val="hybridMultilevel"/>
    <w:lvl w:ilvl="0">
      <w:lvlJc w:val="left"/>
      <w:lvlText w:val="%1."/>
      <w:numFmt w:val="decimal"/>
      <w:start w:val="5"/>
    </w:lvl>
  </w:abstractNum>
  <w:abstractNum w:abstractNumId="4">
    <w:nsid w:val="66EF438D"/>
    <w:multiLevelType w:val="hybridMultilevel"/>
    <w:lvl w:ilvl="0">
      <w:lvlJc w:val="left"/>
      <w:lvlText w:val="%1."/>
      <w:numFmt w:val="decimal"/>
      <w:start w:val="1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3"/>
    </w:lvl>
  </w:abstractNum>
  <w:abstractNum w:abstractNumId="7">
    <w:nsid w:val="109CF92E"/>
    <w:multiLevelType w:val="hybridMultilevel"/>
    <w:lvl w:ilvl="0">
      <w:lvlJc w:val="left"/>
      <w:lvlText w:val="%1."/>
      <w:numFmt w:val="decimal"/>
      <w:start w:val="5"/>
    </w:lvl>
  </w:abstractNum>
  <w:abstractNum w:abstractNumId="8">
    <w:nsid w:val="DED7263"/>
    <w:multiLevelType w:val="hybridMultilevel"/>
    <w:lvl w:ilvl="0">
      <w:lvlJc w:val="left"/>
      <w:lvlText w:val="%1."/>
      <w:numFmt w:val="decimal"/>
      <w:start w:val="1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3"/>
    </w:lvl>
  </w:abstractNum>
  <w:abstractNum w:abstractNumId="11">
    <w:nsid w:val="41A7C4C9"/>
    <w:multiLevelType w:val="hybridMultilevel"/>
    <w:lvl w:ilvl="0">
      <w:lvlJc w:val="left"/>
      <w:lvlText w:val="%1."/>
      <w:numFmt w:val="decimal"/>
      <w:start w:val="5"/>
    </w:lvl>
  </w:abstractNum>
  <w:abstractNum w:abstractNumId="12">
    <w:nsid w:val="6B68079A"/>
    <w:multiLevelType w:val="hybridMultilevel"/>
    <w:lvl w:ilvl="0">
      <w:lvlJc w:val="left"/>
      <w:lvlText w:val="%1."/>
      <w:numFmt w:val="decimal"/>
      <w:start w:val="1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3"/>
    </w:lvl>
  </w:abstractNum>
  <w:abstractNum w:abstractNumId="15">
    <w:nsid w:val="519B500D"/>
    <w:multiLevelType w:val="hybridMultilevel"/>
    <w:lvl w:ilvl="0">
      <w:lvlJc w:val="left"/>
      <w:lvlText w:val="%1."/>
      <w:numFmt w:val="decimal"/>
      <w:start w:val="5"/>
    </w:lvl>
  </w:abstractNum>
  <w:abstractNum w:abstractNumId="16">
    <w:nsid w:val="431BD7B7"/>
    <w:multiLevelType w:val="hybridMultilevel"/>
    <w:lvl w:ilvl="0">
      <w:lvlJc w:val="left"/>
      <w:lvlText w:val="%1."/>
      <w:numFmt w:val="decimal"/>
      <w:start w:val="11"/>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2021-02-11T09:24:47Z</dcterms:created>
  <dcterms:modified xsi:type="dcterms:W3CDTF">2021-02-11T09:24:47Z</dcterms:modified>
</cp:coreProperties>
</file>