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113665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98" w:lineRule="exact"/>
        <w:rPr>
          <w:sz w:val="24"/>
          <w:szCs w:val="24"/>
          <w:color w:val="auto"/>
        </w:rPr>
      </w:pPr>
    </w:p>
    <w:p>
      <w:pPr>
        <w:ind w:left="3740" w:right="1740" w:hanging="3732"/>
        <w:spacing w:after="0" w:line="412" w:lineRule="auto"/>
        <w:tabs>
          <w:tab w:leader="none" w:pos="51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2019</w:t>
      </w:r>
    </w:p>
    <w:p>
      <w:pPr>
        <w:spacing w:after="0" w:line="262"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58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3747770</wp:posOffset>
            </wp:positionH>
            <wp:positionV relativeFrom="paragraph">
              <wp:posOffset>-5080</wp:posOffset>
            </wp:positionV>
            <wp:extent cx="12382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8250"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001-38978</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-289560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2" w:lineRule="exact"/>
        <w:rPr>
          <w:sz w:val="24"/>
          <w:szCs w:val="24"/>
          <w:color w:val="auto"/>
        </w:rPr>
      </w:pPr>
    </w:p>
    <w:tbl>
      <w:tblPr>
        <w:tblLayout w:type="fixed"/>
        <w:tblInd w:w="1680" w:type="dxa"/>
        <w:tblCellMar>
          <w:top w:w="0" w:type="dxa"/>
          <w:left w:w="0" w:type="dxa"/>
          <w:bottom w:w="0" w:type="dxa"/>
          <w:right w:w="0" w:type="dxa"/>
        </w:tblCellMar>
      </w:tblPr>
      <w:tr>
        <w:trPr>
          <w:trHeight w:val="238"/>
        </w:trPr>
        <w:tc>
          <w:tcPr>
            <w:tcW w:w="6220" w:type="dxa"/>
            <w:vAlign w:val="bottom"/>
            <w:gridSpan w:val="3"/>
          </w:tcPr>
          <w:p>
            <w:pPr>
              <w:ind w:left="19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240" w:type="dxa"/>
            <w:vAlign w:val="bottom"/>
          </w:tcPr>
          <w:p>
            <w:pPr>
              <w:spacing w:after="0"/>
              <w:rPr>
                <w:sz w:val="20"/>
                <w:szCs w:val="20"/>
                <w:color w:val="auto"/>
              </w:rPr>
            </w:pPr>
          </w:p>
        </w:tc>
      </w:tr>
      <w:tr>
        <w:trPr>
          <w:trHeight w:val="95"/>
        </w:trPr>
        <w:tc>
          <w:tcPr>
            <w:tcW w:w="2900" w:type="dxa"/>
            <w:vAlign w:val="bottom"/>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306"/>
        </w:trPr>
        <w:tc>
          <w:tcPr>
            <w:tcW w:w="622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47-4839948</w:t>
            </w:r>
          </w:p>
        </w:tc>
      </w:tr>
      <w:tr>
        <w:trPr>
          <w:trHeight w:val="149"/>
        </w:trPr>
        <w:tc>
          <w:tcPr>
            <w:tcW w:w="6220" w:type="dxa"/>
            <w:vAlign w:val="bottom"/>
            <w:gridSpan w:val="3"/>
          </w:tcPr>
          <w:p>
            <w:pPr>
              <w:jc w:val="center"/>
              <w:ind w:right="386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40" w:type="dxa"/>
            <w:vAlign w:val="bottom"/>
          </w:tcPr>
          <w:p>
            <w:pPr>
              <w:jc w:val="center"/>
              <w:ind w:left="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51"/>
        </w:trPr>
        <w:tc>
          <w:tcPr>
            <w:tcW w:w="6220" w:type="dxa"/>
            <w:vAlign w:val="bottom"/>
            <w:gridSpan w:val="3"/>
          </w:tcPr>
          <w:p>
            <w:pPr>
              <w:jc w:val="center"/>
              <w:ind w:right="3860"/>
              <w:spacing w:after="0" w:line="151"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40" w:type="dxa"/>
            <w:vAlign w:val="bottom"/>
          </w:tcPr>
          <w:p>
            <w:pPr>
              <w:jc w:val="center"/>
              <w:ind w:left="21"/>
              <w:spacing w:after="0" w:line="151" w:lineRule="exact"/>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6"/>
        </w:trPr>
        <w:tc>
          <w:tcPr>
            <w:tcW w:w="6220" w:type="dxa"/>
            <w:vAlign w:val="bottom"/>
            <w:gridSpan w:val="3"/>
          </w:tcPr>
          <w:p>
            <w:pPr>
              <w:jc w:val="center"/>
              <w:ind w:right="3840"/>
              <w:spacing w:after="0"/>
              <w:rPr>
                <w:sz w:val="20"/>
                <w:szCs w:val="20"/>
                <w:color w:val="auto"/>
              </w:rPr>
            </w:pPr>
            <w:r>
              <w:rPr>
                <w:rFonts w:ascii="Times New Roman" w:cs="Times New Roman" w:eastAsia="Times New Roman" w:hAnsi="Times New Roman"/>
                <w:sz w:val="18"/>
                <w:szCs w:val="18"/>
                <w:b w:val="1"/>
                <w:bCs w:val="1"/>
                <w:color w:val="auto"/>
                <w:w w:val="99"/>
              </w:rPr>
              <w:t>26 Landsdowne Street</w:t>
            </w:r>
          </w:p>
        </w:tc>
        <w:tc>
          <w:tcPr>
            <w:tcW w:w="1240" w:type="dxa"/>
            <w:vAlign w:val="bottom"/>
          </w:tcPr>
          <w:p>
            <w:pPr>
              <w:spacing w:after="0"/>
              <w:rPr>
                <w:sz w:val="18"/>
                <w:szCs w:val="18"/>
                <w:color w:val="auto"/>
              </w:rPr>
            </w:pPr>
          </w:p>
        </w:tc>
      </w:tr>
      <w:tr>
        <w:trPr>
          <w:trHeight w:val="214"/>
        </w:trPr>
        <w:tc>
          <w:tcPr>
            <w:tcW w:w="6220" w:type="dxa"/>
            <w:vAlign w:val="bottom"/>
            <w:gridSpan w:val="3"/>
          </w:tcPr>
          <w:p>
            <w:pPr>
              <w:jc w:val="center"/>
              <w:ind w:right="3900"/>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12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6220" w:type="dxa"/>
            <w:vAlign w:val="bottom"/>
            <w:gridSpan w:val="3"/>
          </w:tcPr>
          <w:p>
            <w:pPr>
              <w:jc w:val="center"/>
              <w:ind w:right="38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4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88265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9"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16"/>
        </w:trPr>
        <w:tc>
          <w:tcPr>
            <w:tcW w:w="4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par value $0.001 per share</w:t>
            </w:r>
          </w:p>
        </w:tc>
        <w:tc>
          <w:tcPr>
            <w:tcW w:w="120" w:type="dxa"/>
            <w:vAlign w:val="bottom"/>
          </w:tcPr>
          <w:p>
            <w:pPr>
              <w:spacing w:after="0"/>
              <w:rPr>
                <w:sz w:val="18"/>
                <w:szCs w:val="18"/>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FULC</w:t>
            </w:r>
          </w:p>
        </w:tc>
        <w:tc>
          <w:tcPr>
            <w:tcW w:w="120" w:type="dxa"/>
            <w:vAlign w:val="bottom"/>
          </w:tcPr>
          <w:p>
            <w:pPr>
              <w:spacing w:after="0"/>
              <w:rPr>
                <w:sz w:val="18"/>
                <w:szCs w:val="18"/>
                <w:color w:val="auto"/>
              </w:rPr>
            </w:pPr>
          </w:p>
        </w:tc>
        <w:tc>
          <w:tcPr>
            <w:tcW w:w="4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 Global Market</w:t>
            </w:r>
          </w:p>
        </w:tc>
      </w:tr>
    </w:tbl>
    <w:p>
      <w:pPr>
        <w:spacing w:after="0" w:line="80" w:lineRule="exact"/>
        <w:rPr>
          <w:sz w:val="24"/>
          <w:szCs w:val="24"/>
          <w:color w:val="auto"/>
        </w:rPr>
      </w:pPr>
    </w:p>
    <w:p>
      <w:pPr>
        <w:ind w:right="20" w:firstLine="518"/>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72" w:lineRule="exact"/>
        <w:rPr>
          <w:sz w:val="24"/>
          <w:szCs w:val="24"/>
          <w:color w:val="auto"/>
        </w:rPr>
      </w:pPr>
    </w:p>
    <w:p>
      <w:pPr>
        <w:ind w:right="560" w:firstLine="518"/>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80"/>
        <w:spacing w:after="0" w:line="196" w:lineRule="exact"/>
        <w:tabs>
          <w:tab w:leader="none" w:pos="82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109" w:lineRule="exact"/>
        <w:rPr>
          <w:sz w:val="24"/>
          <w:szCs w:val="24"/>
          <w:color w:val="auto"/>
        </w:rPr>
      </w:pPr>
    </w:p>
    <w:p>
      <w:pPr>
        <w:ind w:right="80" w:firstLine="518"/>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269"/>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56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7"/>
                <w:szCs w:val="17"/>
                <w:color w:val="auto"/>
              </w:rPr>
              <w:t>Accelerated filer</w:t>
            </w:r>
          </w:p>
        </w:tc>
        <w:tc>
          <w:tcPr>
            <w:tcW w:w="4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56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4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Emerging growth company</w:t>
            </w:r>
          </w:p>
        </w:tc>
        <w:tc>
          <w:tcPr>
            <w:tcW w:w="356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5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84" w:lineRule="exact"/>
        <w:rPr>
          <w:sz w:val="24"/>
          <w:szCs w:val="24"/>
          <w:color w:val="auto"/>
        </w:rPr>
      </w:pPr>
    </w:p>
    <w:p>
      <w:pPr>
        <w:ind w:right="200" w:firstLine="518"/>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6" w:lineRule="exact"/>
        <w:rPr>
          <w:sz w:val="24"/>
          <w:szCs w:val="24"/>
          <w:color w:val="auto"/>
        </w:rPr>
      </w:pPr>
    </w:p>
    <w:p>
      <w:pPr>
        <w:ind w:left="520" w:right="1720"/>
        <w:spacing w:after="0" w:line="28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November 8, 2019, the registrant had 23,340,544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366395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0" w:right="2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including statements regarding our strategy, future operations, future financial position, future revenue, projected costs, prospects, plans, objectives of management and expected market growth are forward-looking statements. The words "anticipate," "believe," "continue" "could," "estimate," "expect," "intend," "may," "might," “outlook,” "plan," "potential," "predict," "project," "should," "target," "would," and the negative version of these words and other similar expressions are intended to identify forward-looking statements, although not all forward-looking statements contain these identifying words.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the “Risk Factors” section and include, among other things:</w:t>
      </w:r>
    </w:p>
    <w:p>
      <w:pPr>
        <w:spacing w:after="0" w:line="95" w:lineRule="exact"/>
        <w:rPr>
          <w:sz w:val="20"/>
          <w:szCs w:val="20"/>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Phase 1, Phase 2b, and Phase 2 open label clinical trials of losmapimod;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investigational new drug application, or IND, enabling studies and planned Phase 1 clinical trial of FTX-6058;</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drug target discovery screening programs;</w:t>
      </w:r>
    </w:p>
    <w:p>
      <w:pPr>
        <w:spacing w:after="0" w:line="117" w:lineRule="exact"/>
        <w:rPr>
          <w:rFonts w:ascii="Times New Roman" w:cs="Times New Roman" w:eastAsia="Times New Roman" w:hAnsi="Times New Roman"/>
          <w:sz w:val="18"/>
          <w:szCs w:val="18"/>
          <w:color w:val="auto"/>
        </w:rPr>
      </w:pPr>
    </w:p>
    <w:p>
      <w:pPr>
        <w:ind w:left="1040" w:right="400" w:hanging="51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preclinical studies and clinical trials and our research and development programs;</w:t>
      </w:r>
    </w:p>
    <w:p>
      <w:pPr>
        <w:spacing w:after="0" w:line="53" w:lineRule="exact"/>
        <w:rPr>
          <w:rFonts w:ascii="Times New Roman" w:cs="Times New Roman" w:eastAsia="Times New Roman" w:hAnsi="Times New Roman"/>
          <w:sz w:val="18"/>
          <w:szCs w:val="18"/>
          <w:color w:val="auto"/>
        </w:rPr>
      </w:pPr>
    </w:p>
    <w:p>
      <w:pPr>
        <w:ind w:left="1040" w:right="280" w:hanging="51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if approved, subsequently commercialize losmapimod and any other product candidates, including in combination with other drugs and therapies;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submit applications for, obtain and maintain regulatory approvals for losmapimod and other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fund our operating expenses and capital expenditure requirements with our cash and cash equivalents;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17"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product candidates or technologies with significant commercial potential that are consistent with our commercial objectives;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timing of any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or obtain additional funding; and</w:t>
      </w:r>
    </w:p>
    <w:p>
      <w:pPr>
        <w:spacing w:after="0" w:line="117" w:lineRule="exact"/>
        <w:rPr>
          <w:rFonts w:ascii="Times New Roman" w:cs="Times New Roman" w:eastAsia="Times New Roman" w:hAnsi="Times New Roman"/>
          <w:sz w:val="18"/>
          <w:szCs w:val="18"/>
          <w:color w:val="auto"/>
        </w:rPr>
      </w:pPr>
    </w:p>
    <w:p>
      <w:pPr>
        <w:ind w:left="1040" w:right="220" w:hanging="51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under the Jumpstart Our Business Startups Act of 2012.</w:t>
      </w:r>
    </w:p>
    <w:p>
      <w:pPr>
        <w:spacing w:after="0" w:line="162"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section,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spacing w:after="0" w:line="188" w:lineRule="exact"/>
        <w:rPr>
          <w:sz w:val="20"/>
          <w:szCs w:val="20"/>
          <w:color w:val="auto"/>
        </w:rPr>
      </w:pPr>
    </w:p>
    <w:p>
      <w:pPr>
        <w:ind w:right="360" w:firstLine="518"/>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have filed as exhibits to this Quarterly Report on Form 10-Q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gridSpan w:val="6"/>
            <w:vMerge w:val="restart"/>
          </w:tcPr>
          <w:p>
            <w:pPr>
              <w:spacing w:after="0"/>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FINANCIAL INFORMATION</w:t>
              </w:r>
            </w:hyperlink>
          </w:p>
        </w:tc>
        <w:tc>
          <w:tcPr>
            <w:tcW w:w="7760" w:type="dxa"/>
            <w:vAlign w:val="bottom"/>
            <w:gridSpan w:val="10"/>
            <w:vMerge w:val="restart"/>
          </w:tcPr>
          <w:p>
            <w:pPr>
              <w:spacing w:after="0"/>
              <w:rPr>
                <w:sz w:val="15"/>
                <w:szCs w:val="15"/>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900" w:type="dxa"/>
            <w:vAlign w:val="bottom"/>
            <w:gridSpan w:val="2"/>
            <w:vMerge w:val="continue"/>
          </w:tcPr>
          <w:p>
            <w:pPr>
              <w:spacing w:after="0"/>
              <w:rPr>
                <w:sz w:val="15"/>
                <w:szCs w:val="15"/>
                <w:color w:val="auto"/>
              </w:rPr>
            </w:pPr>
          </w:p>
        </w:tc>
        <w:tc>
          <w:tcPr>
            <w:tcW w:w="2260" w:type="dxa"/>
            <w:vAlign w:val="bottom"/>
            <w:tcBorders>
              <w:bottom w:val="single" w:sz="8" w:color="0000EE"/>
            </w:tcBorders>
            <w:gridSpan w:val="6"/>
            <w:vMerge w:val="continue"/>
          </w:tcPr>
          <w:p>
            <w:pPr>
              <w:spacing w:after="0"/>
              <w:rPr>
                <w:sz w:val="15"/>
                <w:szCs w:val="15"/>
                <w:color w:val="auto"/>
              </w:rPr>
            </w:pPr>
          </w:p>
        </w:tc>
        <w:tc>
          <w:tcPr>
            <w:tcW w:w="7760" w:type="dxa"/>
            <w:vAlign w:val="bottom"/>
            <w:gridSpan w:val="10"/>
            <w:vMerge w:val="continue"/>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Financial Statements (Unaudited)</w:t>
              </w:r>
            </w:hyperlink>
          </w:p>
        </w:tc>
        <w:tc>
          <w:tcPr>
            <w:tcW w:w="7600" w:type="dxa"/>
            <w:vAlign w:val="bottom"/>
            <w:gridSpan w:val="9"/>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Consolidated Balance Sheets as of September 30, 2019 and December 31, 2018</w:t>
              </w:r>
            </w:hyperlink>
          </w:p>
        </w:tc>
        <w:tc>
          <w:tcPr>
            <w:tcW w:w="4280" w:type="dxa"/>
            <w:vAlign w:val="bottom"/>
            <w:gridSpan w:val="5"/>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5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Consolidated Statements of Operations and Comprehensive Loss for the three and nine months ended September 30, 2019 and 2018</w:t>
              </w:r>
            </w:hyperlink>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Consolidated Statements of Convertible Preferred Stock and Stockholders’ Equity (Deficit) for the three and nine months ended</w:t>
              </w:r>
            </w:hyperlink>
          </w:p>
        </w:tc>
        <w:tc>
          <w:tcPr>
            <w:tcW w:w="80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September 30, 2019 and 2018</w:t>
              </w:r>
            </w:hyperlink>
          </w:p>
        </w:tc>
        <w:tc>
          <w:tcPr>
            <w:tcW w:w="7860" w:type="dxa"/>
            <w:vAlign w:val="bottom"/>
            <w:gridSpan w:val="1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Consolidated Statements of Cash Flows for the nine months ended September 30, 2019 and 2018</w:t>
              </w:r>
            </w:hyperlink>
          </w:p>
        </w:tc>
        <w:tc>
          <w:tcPr>
            <w:tcW w:w="3020" w:type="dxa"/>
            <w:vAlign w:val="bottom"/>
            <w:gridSpan w:val="3"/>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20" w:type="dxa"/>
            <w:vAlign w:val="bottom"/>
            <w:gridSpan w:val="16"/>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Consolidated Financial Statements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18">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560" w:type="dxa"/>
            <w:vAlign w:val="bottom"/>
            <w:gridSpan w:val="4"/>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Quantitative and Qualitative Disclosures About Market Risk</w:t>
              </w:r>
            </w:hyperlink>
          </w:p>
        </w:tc>
        <w:tc>
          <w:tcPr>
            <w:tcW w:w="5660" w:type="dxa"/>
            <w:vAlign w:val="bottom"/>
            <w:gridSpan w:val="6"/>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0020" w:type="dxa"/>
            <w:vAlign w:val="bottom"/>
            <w:gridSpan w:val="16"/>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Controls and Procedures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568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vMerge w:val="continue"/>
          </w:tcPr>
          <w:p>
            <w:pPr>
              <w:spacing w:after="0"/>
              <w:rPr>
                <w:sz w:val="18"/>
                <w:szCs w:val="18"/>
                <w:color w:val="auto"/>
              </w:rPr>
            </w:pPr>
          </w:p>
        </w:tc>
        <w:tc>
          <w:tcPr>
            <w:tcW w:w="10020" w:type="dxa"/>
            <w:vAlign w:val="bottom"/>
            <w:gridSpan w:val="16"/>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OTHER INFORMATION</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88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Risk Factors</w:t>
              </w:r>
            </w:hyperlink>
          </w:p>
        </w:tc>
        <w:tc>
          <w:tcPr>
            <w:tcW w:w="8140" w:type="dxa"/>
            <w:vAlign w:val="bottom"/>
            <w:gridSpan w:val="12"/>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568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10020" w:type="dxa"/>
            <w:vAlign w:val="bottom"/>
            <w:gridSpan w:val="16"/>
          </w:tcPr>
          <w:p>
            <w:pPr>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Unregistered Sales of Equity Securities and Use of Proceeds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434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Exhibits</w:t>
              </w:r>
            </w:hyperlink>
          </w:p>
        </w:tc>
        <w:tc>
          <w:tcPr>
            <w:tcW w:w="5680" w:type="dxa"/>
            <w:vAlign w:val="bottom"/>
            <w:gridSpan w:val="7"/>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6"/>
        </w:trPr>
        <w:tc>
          <w:tcPr>
            <w:tcW w:w="76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7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101,597</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72,797</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3,625</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105,222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74,095</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9,583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10,546</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1,092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115,956</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85,771</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 (deficit)</w:t>
            </w: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4,533</w:t>
            </w:r>
          </w:p>
        </w:tc>
        <w:tc>
          <w:tcPr>
            <w:tcW w:w="180" w:type="dxa"/>
            <w:vAlign w:val="bottom"/>
          </w:tcPr>
          <w:p>
            <w:pPr>
              <w:spacing w:after="0"/>
              <w:rPr>
                <w:sz w:val="19"/>
                <w:szCs w:val="19"/>
                <w:color w:val="auto"/>
              </w:rPr>
            </w:pP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3,583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Deferred lease incentive, current portion</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469</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8,585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4,229</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 excluding current portion</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1,527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1,402</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lease incentive, excluding current portion</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3,638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3,990</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liabilities, excluding current portion</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13,828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9,771</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convertible preferred stock, $0.001 par value; no shares and 60,000,000 shares authorized, issued</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outstanding as of September 30, 2019 and December 31, 2018, respectively</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59,909</w:t>
            </w:r>
          </w:p>
        </w:tc>
        <w:tc>
          <w:tcPr>
            <w:tcW w:w="0" w:type="dxa"/>
            <w:vAlign w:val="bottom"/>
          </w:tcPr>
          <w:p>
            <w:pPr>
              <w:spacing w:after="0"/>
              <w:rPr>
                <w:sz w:val="1"/>
                <w:szCs w:val="1"/>
                <w:color w:val="auto"/>
              </w:rPr>
            </w:pPr>
          </w:p>
        </w:tc>
      </w:tr>
      <w:tr>
        <w:trPr>
          <w:trHeight w:val="211"/>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 $0.001 par value; no shares and 40,000,000 shares authorized, issued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and outstanding as of September 30, 2019 and December 31, 2018, respectively</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79,761</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no shares issued or outstanding</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$0.001 par value; 200,000,000 and 135,000,000 shares authorized as of September 30,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2019 and December 31, 2018, respectively; 23,340,419 and 2,791,764 shares issued as of September</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30, 2019 and December 31, 2018, respectively; 22,557,871 and 1,587,953 shares outstanding as of</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September 30, 2019 and December 31, 2018, respectively</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1"/>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Treasury stock, at cost; no shares and 67,024 shares as of September 30, 2019 and December 31, 2018,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236,783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4,452</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(134,678)</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(68,124)</w:t>
            </w: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102,128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(63,670)</w:t>
            </w: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equity (deficit)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115,956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85,771</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2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9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13,496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6,963</w:t>
            </w:r>
          </w:p>
        </w:tc>
        <w:tc>
          <w:tcPr>
            <w:tcW w:w="3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58,985</w:t>
            </w: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18,324</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3,510</w:t>
            </w: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2,125</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8,742</w:t>
            </w: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5,923</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17,006</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9,088</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67,727</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24,247</w:t>
            </w: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(17,006)</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(67,727)</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(24,247)</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(16,542)</w:t>
            </w: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(8,943)</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(66,554)</w:t>
            </w: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(23,729)</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Cumulative convertible preferred stock dividends</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tcBorders>
              <w:bottom w:val="single" w:sz="8" w:color="CFF0FC"/>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1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(17,338)</w:t>
            </w: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(10,801)</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(73,682)</w:t>
            </w: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(27,465)</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20" w:type="dxa"/>
            <w:vAlign w:val="bottom"/>
            <w:tcBorders>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Borders>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0" w:type="dxa"/>
            <w:vAlign w:val="bottom"/>
          </w:tcPr>
          <w:p>
            <w:pPr>
              <w:spacing w:after="0"/>
              <w:rPr>
                <w:sz w:val="1"/>
                <w:szCs w:val="1"/>
                <w:color w:val="auto"/>
              </w:rPr>
            </w:pPr>
          </w:p>
        </w:tc>
      </w:tr>
      <w:tr>
        <w:trPr>
          <w:trHeight w:val="192"/>
        </w:trPr>
        <w:tc>
          <w:tcPr>
            <w:tcW w:w="596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Weighted average number of common shares used in net loss per share</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17,785</w:t>
            </w:r>
          </w:p>
        </w:tc>
        <w:tc>
          <w:tcPr>
            <w:tcW w:w="1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7,133</w:t>
            </w:r>
          </w:p>
        </w:tc>
        <w:tc>
          <w:tcPr>
            <w:tcW w:w="1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Convertible Preferred Stock and Stockholders’ Equity (Deficit)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w w:val="87"/>
              </w:rPr>
              <w:t>Total</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1580" w:type="dxa"/>
            <w:vAlign w:val="bottom"/>
            <w:gridSpan w:val="3"/>
          </w:tcPr>
          <w:p>
            <w:pPr>
              <w:jc w:val="right"/>
              <w:ind w:right="322"/>
              <w:spacing w:after="0" w:line="135" w:lineRule="exact"/>
              <w:rPr>
                <w:sz w:val="20"/>
                <w:szCs w:val="20"/>
                <w:color w:val="auto"/>
              </w:rPr>
            </w:pPr>
            <w:r>
              <w:rPr>
                <w:rFonts w:ascii="Times New Roman" w:cs="Times New Roman" w:eastAsia="Times New Roman" w:hAnsi="Times New Roman"/>
                <w:sz w:val="12"/>
                <w:szCs w:val="12"/>
                <w:b w:val="1"/>
                <w:bCs w:val="1"/>
                <w:color w:val="auto"/>
              </w:rPr>
              <w:t>Series A Convertible</w:t>
            </w:r>
          </w:p>
        </w:tc>
        <w:tc>
          <w:tcPr>
            <w:tcW w:w="1660" w:type="dxa"/>
            <w:vAlign w:val="bottom"/>
            <w:tcBorders>
              <w:right w:val="single" w:sz="8" w:color="auto"/>
            </w:tcBorders>
            <w:gridSpan w:val="3"/>
          </w:tcPr>
          <w:p>
            <w:pPr>
              <w:jc w:val="right"/>
              <w:ind w:right="382"/>
              <w:spacing w:after="0" w:line="135" w:lineRule="exact"/>
              <w:rPr>
                <w:sz w:val="20"/>
                <w:szCs w:val="20"/>
                <w:color w:val="auto"/>
              </w:rPr>
            </w:pPr>
            <w:r>
              <w:rPr>
                <w:rFonts w:ascii="Times New Roman" w:cs="Times New Roman" w:eastAsia="Times New Roman" w:hAnsi="Times New Roman"/>
                <w:sz w:val="12"/>
                <w:szCs w:val="12"/>
                <w:b w:val="1"/>
                <w:bCs w:val="1"/>
                <w:color w:val="auto"/>
              </w:rPr>
              <w:t>Series B Convertible</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45"/>
        </w:trPr>
        <w:tc>
          <w:tcPr>
            <w:tcW w:w="2800" w:type="dxa"/>
            <w:vAlign w:val="bottom"/>
          </w:tcPr>
          <w:p>
            <w:pPr>
              <w:spacing w:after="0"/>
              <w:rPr>
                <w:sz w:val="12"/>
                <w:szCs w:val="12"/>
                <w:color w:val="auto"/>
              </w:rPr>
            </w:pPr>
          </w:p>
        </w:tc>
        <w:tc>
          <w:tcPr>
            <w:tcW w:w="1580" w:type="dxa"/>
            <w:vAlign w:val="bottom"/>
            <w:tcBorders>
              <w:bottom w:val="single" w:sz="8" w:color="auto"/>
            </w:tcBorders>
            <w:gridSpan w:val="3"/>
          </w:tcPr>
          <w:p>
            <w:pPr>
              <w:jc w:val="right"/>
              <w:ind w:right="442"/>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1660" w:type="dxa"/>
            <w:vAlign w:val="bottom"/>
            <w:tcBorders>
              <w:bottom w:val="single" w:sz="8" w:color="auto"/>
              <w:right w:val="single" w:sz="8" w:color="auto"/>
            </w:tcBorders>
            <w:gridSpan w:val="3"/>
          </w:tcPr>
          <w:p>
            <w:pPr>
              <w:jc w:val="right"/>
              <w:ind w:right="502"/>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1540" w:type="dxa"/>
            <w:vAlign w:val="bottom"/>
            <w:tcBorders>
              <w:bottom w:val="single" w:sz="8" w:color="auto"/>
            </w:tcBorders>
            <w:gridSpan w:val="4"/>
          </w:tcPr>
          <w:p>
            <w:pPr>
              <w:jc w:val="right"/>
              <w:ind w:right="422"/>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6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8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12"/>
                <w:szCs w:val="12"/>
                <w:color w:val="auto"/>
              </w:rPr>
            </w:pPr>
          </w:p>
        </w:tc>
        <w:tc>
          <w:tcPr>
            <w:tcW w:w="700" w:type="dxa"/>
            <w:vAlign w:val="bottom"/>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w w:val="92"/>
              </w:rPr>
              <w:t>Equity</w:t>
            </w:r>
          </w:p>
        </w:tc>
        <w:tc>
          <w:tcPr>
            <w:tcW w:w="0" w:type="dxa"/>
            <w:vAlign w:val="bottom"/>
          </w:tcPr>
          <w:p>
            <w:pPr>
              <w:spacing w:after="0"/>
              <w:rPr>
                <w:sz w:val="1"/>
                <w:szCs w:val="1"/>
                <w:color w:val="auto"/>
              </w:rPr>
            </w:pPr>
          </w:p>
        </w:tc>
      </w:tr>
      <w:tr>
        <w:trPr>
          <w:trHeight w:val="142"/>
        </w:trPr>
        <w:tc>
          <w:tcPr>
            <w:tcW w:w="280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4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w w:val="90"/>
              </w:rPr>
              <w:t>Amount</w:t>
            </w:r>
          </w:p>
        </w:tc>
        <w:tc>
          <w:tcPr>
            <w:tcW w:w="8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w w:val="90"/>
              </w:rPr>
              <w:t>Amount</w:t>
            </w:r>
          </w:p>
        </w:tc>
        <w:tc>
          <w:tcPr>
            <w:tcW w:w="7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w w:val="90"/>
              </w:rPr>
              <w:t>Amount</w:t>
            </w:r>
          </w:p>
        </w:tc>
        <w:tc>
          <w:tcPr>
            <w:tcW w:w="6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w w:val="95"/>
              </w:rPr>
              <w:t>(Deficit)</w:t>
            </w:r>
          </w:p>
        </w:tc>
        <w:tc>
          <w:tcPr>
            <w:tcW w:w="0" w:type="dxa"/>
            <w:vAlign w:val="bottom"/>
          </w:tcPr>
          <w:p>
            <w:pPr>
              <w:spacing w:after="0"/>
              <w:rPr>
                <w:sz w:val="1"/>
                <w:szCs w:val="1"/>
                <w:color w:val="auto"/>
              </w:rPr>
            </w:pPr>
          </w:p>
        </w:tc>
      </w:tr>
      <w:tr>
        <w:trPr>
          <w:trHeight w:val="142"/>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 at December 31, 2017</w:t>
            </w:r>
          </w:p>
        </w:tc>
        <w:tc>
          <w:tcPr>
            <w:tcW w:w="7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34,666,666</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34,587</w:t>
            </w:r>
          </w:p>
        </w:tc>
        <w:tc>
          <w:tcPr>
            <w:tcW w:w="8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right w:val="single" w:sz="8" w:color="auto"/>
            </w:tcBorders>
            <w:shd w:val="clear" w:color="auto" w:fill="CFF0FC"/>
          </w:tcPr>
          <w:p>
            <w:pPr>
              <w:jc w:val="right"/>
              <w:ind w:right="20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972,266</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1</w:t>
            </w:r>
          </w:p>
        </w:tc>
        <w:tc>
          <w:tcPr>
            <w:tcW w:w="6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8,036</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right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2,270</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right w:val="single" w:sz="8" w:color="CFF0FC"/>
            </w:tcBorders>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(35,536)</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rPr>
              <w:t>(33,265)</w:t>
            </w:r>
          </w:p>
        </w:tc>
        <w:tc>
          <w:tcPr>
            <w:tcW w:w="0" w:type="dxa"/>
            <w:vAlign w:val="bottom"/>
          </w:tcPr>
          <w:p>
            <w:pPr>
              <w:spacing w:after="0"/>
              <w:rPr>
                <w:sz w:val="1"/>
                <w:szCs w:val="1"/>
                <w:color w:val="auto"/>
              </w:rPr>
            </w:pPr>
          </w:p>
        </w:tc>
      </w:tr>
      <w:tr>
        <w:trPr>
          <w:trHeight w:val="140"/>
        </w:trPr>
        <w:tc>
          <w:tcPr>
            <w:tcW w:w="28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Issuance of Series A convertible preferred stock at</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8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$1.00 per share, net of issuance costs of $7</w:t>
            </w: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12,666,667</w:t>
            </w:r>
          </w:p>
        </w:tc>
        <w:tc>
          <w:tcPr>
            <w:tcW w:w="140" w:type="dxa"/>
            <w:vAlign w:val="bottom"/>
          </w:tcPr>
          <w:p>
            <w:pPr>
              <w:spacing w:after="0"/>
              <w:rPr>
                <w:sz w:val="12"/>
                <w:szCs w:val="12"/>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12,659</w:t>
            </w:r>
          </w:p>
        </w:tc>
        <w:tc>
          <w:tcPr>
            <w:tcW w:w="8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20" w:type="dxa"/>
            <w:vAlign w:val="bottom"/>
            <w:tcBorders>
              <w:right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9"/>
        </w:trPr>
        <w:tc>
          <w:tcPr>
            <w:tcW w:w="2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2"/>
                <w:szCs w:val="12"/>
                <w:color w:val="auto"/>
              </w:rPr>
              <w:t>Issuance of common stock</w:t>
            </w:r>
          </w:p>
        </w:tc>
        <w:tc>
          <w:tcPr>
            <w:tcW w:w="7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720" w:type="dxa"/>
            <w:vAlign w:val="bottom"/>
            <w:tcBorders>
              <w:right w:val="single" w:sz="8" w:color="auto"/>
            </w:tcBorders>
            <w:shd w:val="clear" w:color="auto" w:fill="CFF0FC"/>
          </w:tcPr>
          <w:p>
            <w:pPr>
              <w:jc w:val="right"/>
              <w:ind w:right="20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125,123</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49"/>
        </w:trPr>
        <w:tc>
          <w:tcPr>
            <w:tcW w:w="28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Repurchase of unvested restricted stock awards</w:t>
            </w: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20" w:type="dxa"/>
            <w:vAlign w:val="bottom"/>
            <w:tcBorders>
              <w:right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12,599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9"/>
        </w:trPr>
        <w:tc>
          <w:tcPr>
            <w:tcW w:w="2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2"/>
                <w:szCs w:val="12"/>
                <w:color w:val="auto"/>
              </w:rPr>
              <w:t>Retirement of treasury shares</w:t>
            </w:r>
          </w:p>
        </w:tc>
        <w:tc>
          <w:tcPr>
            <w:tcW w:w="7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720" w:type="dxa"/>
            <w:vAlign w:val="bottom"/>
            <w:tcBorders>
              <w:right w:val="single" w:sz="8" w:color="auto"/>
            </w:tcBorders>
            <w:shd w:val="clear" w:color="auto" w:fill="CFF0FC"/>
          </w:tcPr>
          <w:p>
            <w:pPr>
              <w:jc w:val="right"/>
              <w:ind w:right="202"/>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rPr>
              <w:t>(20,635)</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9"/>
        </w:trPr>
        <w:tc>
          <w:tcPr>
            <w:tcW w:w="28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20" w:type="dxa"/>
            <w:vAlign w:val="bottom"/>
            <w:tcBorders>
              <w:right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429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429</w:t>
            </w:r>
          </w:p>
        </w:tc>
        <w:tc>
          <w:tcPr>
            <w:tcW w:w="0" w:type="dxa"/>
            <w:vAlign w:val="bottom"/>
          </w:tcPr>
          <w:p>
            <w:pPr>
              <w:spacing w:after="0"/>
              <w:rPr>
                <w:sz w:val="1"/>
                <w:szCs w:val="1"/>
                <w:color w:val="auto"/>
              </w:rPr>
            </w:pPr>
          </w:p>
        </w:tc>
      </w:tr>
      <w:tr>
        <w:trPr>
          <w:trHeight w:val="149"/>
        </w:trPr>
        <w:tc>
          <w:tcPr>
            <w:tcW w:w="2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2"/>
                <w:szCs w:val="12"/>
                <w:color w:val="auto"/>
              </w:rPr>
              <w:t>Net loss</w:t>
            </w:r>
          </w:p>
        </w:tc>
        <w:tc>
          <w:tcPr>
            <w:tcW w:w="78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660" w:type="dxa"/>
            <w:vAlign w:val="bottom"/>
            <w:tcBorders>
              <w:bottom w:val="single" w:sz="8" w:color="auto"/>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bottom w:val="single" w:sz="8" w:color="auto"/>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right w:val="single" w:sz="8" w:color="auto"/>
            </w:tcBorders>
            <w:shd w:val="clear" w:color="auto" w:fill="CFF0FC"/>
          </w:tcPr>
          <w:p>
            <w:pPr>
              <w:jc w:val="right"/>
              <w:ind w:right="20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right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right w:val="single" w:sz="8" w:color="CFF0FC"/>
            </w:tcBorders>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(6,940)</w:t>
            </w: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rPr>
              <w:t>(6,940)</w:t>
            </w:r>
          </w:p>
        </w:tc>
        <w:tc>
          <w:tcPr>
            <w:tcW w:w="0" w:type="dxa"/>
            <w:vAlign w:val="bottom"/>
          </w:tcPr>
          <w:p>
            <w:pPr>
              <w:spacing w:after="0"/>
              <w:rPr>
                <w:sz w:val="1"/>
                <w:szCs w:val="1"/>
                <w:color w:val="auto"/>
              </w:rPr>
            </w:pPr>
          </w:p>
        </w:tc>
      </w:tr>
      <w:tr>
        <w:trPr>
          <w:trHeight w:val="182"/>
        </w:trPr>
        <w:tc>
          <w:tcPr>
            <w:tcW w:w="2800" w:type="dxa"/>
            <w:vAlign w:val="bottom"/>
          </w:tcPr>
          <w:p>
            <w:pPr>
              <w:spacing w:after="0"/>
              <w:rPr>
                <w:sz w:val="20"/>
                <w:szCs w:val="20"/>
                <w:color w:val="auto"/>
              </w:rPr>
            </w:pPr>
            <w:r>
              <w:rPr>
                <w:rFonts w:ascii="Times New Roman" w:cs="Times New Roman" w:eastAsia="Times New Roman" w:hAnsi="Times New Roman"/>
                <w:sz w:val="12"/>
                <w:szCs w:val="12"/>
                <w:color w:val="auto"/>
              </w:rPr>
              <w:t>Balance at March 31, 2018</w:t>
            </w: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47,333,333</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47,246</w:t>
            </w:r>
          </w:p>
        </w:tc>
        <w:tc>
          <w:tcPr>
            <w:tcW w:w="8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right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1,097,389</w:t>
            </w:r>
          </w:p>
        </w:tc>
        <w:tc>
          <w:tcPr>
            <w:tcW w:w="8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1</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2,703</w:t>
            </w:r>
          </w:p>
        </w:tc>
        <w:tc>
          <w:tcPr>
            <w:tcW w:w="8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(42,476)</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(39,772)</w:t>
            </w:r>
          </w:p>
        </w:tc>
        <w:tc>
          <w:tcPr>
            <w:tcW w:w="0" w:type="dxa"/>
            <w:vAlign w:val="bottom"/>
          </w:tcPr>
          <w:p>
            <w:pPr>
              <w:spacing w:after="0"/>
              <w:rPr>
                <w:sz w:val="1"/>
                <w:szCs w:val="1"/>
                <w:color w:val="auto"/>
              </w:rPr>
            </w:pPr>
          </w:p>
        </w:tc>
      </w:tr>
      <w:tr>
        <w:trPr>
          <w:trHeight w:val="121"/>
        </w:trPr>
        <w:tc>
          <w:tcPr>
            <w:tcW w:w="2800" w:type="dxa"/>
            <w:vAlign w:val="bottom"/>
            <w:tcBorders>
              <w:top w:val="single" w:sz="8" w:color="CFF0FC"/>
            </w:tcBorders>
            <w:shd w:val="clear" w:color="auto" w:fill="CFF0FC"/>
          </w:tcPr>
          <w:p>
            <w:pPr>
              <w:ind w:left="260"/>
              <w:spacing w:after="0" w:line="121" w:lineRule="exact"/>
              <w:rPr>
                <w:sz w:val="20"/>
                <w:szCs w:val="20"/>
                <w:color w:val="auto"/>
              </w:rPr>
            </w:pPr>
            <w:r>
              <w:rPr>
                <w:rFonts w:ascii="Times New Roman" w:cs="Times New Roman" w:eastAsia="Times New Roman" w:hAnsi="Times New Roman"/>
                <w:sz w:val="12"/>
                <w:szCs w:val="12"/>
                <w:color w:val="auto"/>
              </w:rPr>
              <w:t>Issuance of Series A convertible preferred stock at</w:t>
            </w:r>
          </w:p>
        </w:tc>
        <w:tc>
          <w:tcPr>
            <w:tcW w:w="78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right w:val="single" w:sz="8" w:color="CFF0FC"/>
            </w:tcBorders>
            <w:shd w:val="clear" w:color="auto" w:fill="CFF0FC"/>
          </w:tcPr>
          <w:p>
            <w:pPr>
              <w:spacing w:after="0"/>
              <w:rPr>
                <w:sz w:val="10"/>
                <w:szCs w:val="10"/>
                <w:color w:val="auto"/>
              </w:rPr>
            </w:pPr>
          </w:p>
        </w:tc>
        <w:tc>
          <w:tcPr>
            <w:tcW w:w="660" w:type="dxa"/>
            <w:vAlign w:val="bottom"/>
            <w:tcBorders>
              <w:top w:val="single" w:sz="8" w:color="auto"/>
              <w:right w:val="single" w:sz="8" w:color="CFF0FC"/>
            </w:tcBorders>
            <w:shd w:val="clear" w:color="auto" w:fill="CFF0FC"/>
          </w:tcPr>
          <w:p>
            <w:pPr>
              <w:spacing w:after="0"/>
              <w:rPr>
                <w:sz w:val="10"/>
                <w:szCs w:val="10"/>
                <w:color w:val="auto"/>
              </w:rPr>
            </w:pPr>
          </w:p>
        </w:tc>
        <w:tc>
          <w:tcPr>
            <w:tcW w:w="860" w:type="dxa"/>
            <w:vAlign w:val="bottom"/>
            <w:tcBorders>
              <w:top w:val="single" w:sz="8" w:color="auto"/>
              <w:right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right w:val="single" w:sz="8" w:color="auto"/>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right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right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40" w:type="dxa"/>
            <w:vAlign w:val="bottom"/>
            <w:tcBorders>
              <w:top w:val="single" w:sz="8" w:color="auto"/>
              <w:right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2"/>
                <w:szCs w:val="12"/>
                <w:color w:val="auto"/>
              </w:rPr>
              <w:t>$1.00 per share, net of issuance costs of $5</w:t>
            </w:r>
          </w:p>
        </w:tc>
        <w:tc>
          <w:tcPr>
            <w:tcW w:w="7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12,666,667</w:t>
            </w:r>
          </w:p>
        </w:tc>
        <w:tc>
          <w:tcPr>
            <w:tcW w:w="140" w:type="dxa"/>
            <w:vAlign w:val="bottom"/>
            <w:tcBorders>
              <w:right w:val="single" w:sz="8" w:color="CFF0FC"/>
            </w:tcBorders>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12,663</w:t>
            </w:r>
          </w:p>
        </w:tc>
        <w:tc>
          <w:tcPr>
            <w:tcW w:w="8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720" w:type="dxa"/>
            <w:vAlign w:val="bottom"/>
            <w:tcBorders>
              <w:right w:val="single" w:sz="8" w:color="auto"/>
            </w:tcBorders>
            <w:shd w:val="clear" w:color="auto" w:fill="CFF0FC"/>
          </w:tcPr>
          <w:p>
            <w:pPr>
              <w:jc w:val="right"/>
              <w:ind w:right="202"/>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9"/>
        </w:trPr>
        <w:tc>
          <w:tcPr>
            <w:tcW w:w="28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Issuance of common stock</w:t>
            </w: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20" w:type="dxa"/>
            <w:vAlign w:val="bottom"/>
            <w:tcBorders>
              <w:right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187,421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149"/>
        </w:trPr>
        <w:tc>
          <w:tcPr>
            <w:tcW w:w="2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7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720" w:type="dxa"/>
            <w:vAlign w:val="bottom"/>
            <w:tcBorders>
              <w:right w:val="single" w:sz="8" w:color="auto"/>
            </w:tcBorders>
            <w:shd w:val="clear" w:color="auto" w:fill="CFF0FC"/>
          </w:tcPr>
          <w:p>
            <w:pPr>
              <w:jc w:val="right"/>
              <w:ind w:right="202"/>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462</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462</w:t>
            </w:r>
          </w:p>
        </w:tc>
        <w:tc>
          <w:tcPr>
            <w:tcW w:w="0" w:type="dxa"/>
            <w:vAlign w:val="bottom"/>
          </w:tcPr>
          <w:p>
            <w:pPr>
              <w:spacing w:after="0"/>
              <w:rPr>
                <w:sz w:val="1"/>
                <w:szCs w:val="1"/>
                <w:color w:val="auto"/>
              </w:rPr>
            </w:pPr>
          </w:p>
        </w:tc>
      </w:tr>
      <w:tr>
        <w:trPr>
          <w:trHeight w:val="149"/>
        </w:trPr>
        <w:tc>
          <w:tcPr>
            <w:tcW w:w="28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2"/>
                <w:szCs w:val="12"/>
                <w:color w:val="auto"/>
              </w:rPr>
              <w:t>Net loss</w:t>
            </w:r>
          </w:p>
        </w:tc>
        <w:tc>
          <w:tcPr>
            <w:tcW w:w="7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(7,846)</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(7,846)</w:t>
            </w:r>
          </w:p>
        </w:tc>
        <w:tc>
          <w:tcPr>
            <w:tcW w:w="0" w:type="dxa"/>
            <w:vAlign w:val="bottom"/>
          </w:tcPr>
          <w:p>
            <w:pPr>
              <w:spacing w:after="0"/>
              <w:rPr>
                <w:sz w:val="1"/>
                <w:szCs w:val="1"/>
                <w:color w:val="auto"/>
              </w:rPr>
            </w:pPr>
          </w:p>
        </w:tc>
      </w:tr>
      <w:tr>
        <w:trPr>
          <w:trHeight w:val="142"/>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 at June 30, 2018</w:t>
            </w:r>
          </w:p>
        </w:tc>
        <w:tc>
          <w:tcPr>
            <w:tcW w:w="7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60,000,000</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59,909</w:t>
            </w:r>
          </w:p>
        </w:tc>
        <w:tc>
          <w:tcPr>
            <w:tcW w:w="8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right w:val="single" w:sz="8" w:color="auto"/>
            </w:tcBorders>
            <w:shd w:val="clear" w:color="auto" w:fill="CFF0FC"/>
          </w:tcPr>
          <w:p>
            <w:pPr>
              <w:jc w:val="right"/>
              <w:ind w:right="20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1,284,810</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1</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right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3,173</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right w:val="single" w:sz="8" w:color="CFF0FC"/>
            </w:tcBorders>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(50,322)</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rPr>
              <w:t>(47,148)</w:t>
            </w:r>
          </w:p>
        </w:tc>
        <w:tc>
          <w:tcPr>
            <w:tcW w:w="0" w:type="dxa"/>
            <w:vAlign w:val="bottom"/>
          </w:tcPr>
          <w:p>
            <w:pPr>
              <w:spacing w:after="0"/>
              <w:rPr>
                <w:sz w:val="1"/>
                <w:szCs w:val="1"/>
                <w:color w:val="auto"/>
              </w:rPr>
            </w:pPr>
          </w:p>
        </w:tc>
      </w:tr>
      <w:tr>
        <w:trPr>
          <w:trHeight w:val="20"/>
        </w:trPr>
        <w:tc>
          <w:tcPr>
            <w:tcW w:w="2800" w:type="dxa"/>
            <w:vAlign w:val="bottom"/>
            <w:tcBorders>
              <w:top w:val="single" w:sz="8" w:color="CFF0FC"/>
              <w:bottom w:val="single" w:sz="8" w:color="CFF0FC"/>
            </w:tcBorders>
            <w:vMerge w:val="restart"/>
          </w:tcPr>
          <w:p>
            <w:pPr>
              <w:ind w:left="260"/>
              <w:spacing w:after="0"/>
              <w:rPr>
                <w:sz w:val="20"/>
                <w:szCs w:val="20"/>
                <w:color w:val="auto"/>
              </w:rPr>
            </w:pPr>
            <w:r>
              <w:rPr>
                <w:rFonts w:ascii="Times New Roman" w:cs="Times New Roman" w:eastAsia="Times New Roman" w:hAnsi="Times New Roman"/>
                <w:sz w:val="12"/>
                <w:szCs w:val="12"/>
                <w:color w:val="auto"/>
              </w:rPr>
              <w:t>Issuance of Series B convertible preferred stock at</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8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8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$2.00 per share, net of issuance costs of $239</w:t>
            </w: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40,000,000</w:t>
            </w:r>
          </w:p>
        </w:tc>
        <w:tc>
          <w:tcPr>
            <w:tcW w:w="80" w:type="dxa"/>
            <w:vAlign w:val="bottom"/>
          </w:tcPr>
          <w:p>
            <w:pPr>
              <w:spacing w:after="0"/>
              <w:rPr>
                <w:sz w:val="12"/>
                <w:szCs w:val="12"/>
                <w:color w:val="auto"/>
              </w:rPr>
            </w:pPr>
          </w:p>
        </w:tc>
        <w:tc>
          <w:tcPr>
            <w:tcW w:w="720" w:type="dxa"/>
            <w:vAlign w:val="bottom"/>
            <w:tcBorders>
              <w:right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color w:val="auto"/>
              </w:rPr>
              <w:t>79,761</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9"/>
        </w:trPr>
        <w:tc>
          <w:tcPr>
            <w:tcW w:w="2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2"/>
                <w:szCs w:val="12"/>
                <w:color w:val="auto"/>
              </w:rPr>
              <w:t>Issuance of common stock</w:t>
            </w:r>
          </w:p>
        </w:tc>
        <w:tc>
          <w:tcPr>
            <w:tcW w:w="7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720" w:type="dxa"/>
            <w:vAlign w:val="bottom"/>
            <w:tcBorders>
              <w:right w:val="single" w:sz="8" w:color="auto"/>
            </w:tcBorders>
            <w:shd w:val="clear" w:color="auto" w:fill="CFF0FC"/>
          </w:tcPr>
          <w:p>
            <w:pPr>
              <w:jc w:val="right"/>
              <w:ind w:right="20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140,691</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49"/>
        </w:trPr>
        <w:tc>
          <w:tcPr>
            <w:tcW w:w="28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20" w:type="dxa"/>
            <w:vAlign w:val="bottom"/>
            <w:tcBorders>
              <w:right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506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506</w:t>
            </w:r>
          </w:p>
        </w:tc>
        <w:tc>
          <w:tcPr>
            <w:tcW w:w="0" w:type="dxa"/>
            <w:vAlign w:val="bottom"/>
          </w:tcPr>
          <w:p>
            <w:pPr>
              <w:spacing w:after="0"/>
              <w:rPr>
                <w:sz w:val="1"/>
                <w:szCs w:val="1"/>
                <w:color w:val="auto"/>
              </w:rPr>
            </w:pPr>
          </w:p>
        </w:tc>
      </w:tr>
      <w:tr>
        <w:trPr>
          <w:trHeight w:val="149"/>
        </w:trPr>
        <w:tc>
          <w:tcPr>
            <w:tcW w:w="2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2"/>
                <w:szCs w:val="12"/>
                <w:color w:val="auto"/>
              </w:rPr>
              <w:t>Net loss</w:t>
            </w:r>
          </w:p>
        </w:tc>
        <w:tc>
          <w:tcPr>
            <w:tcW w:w="78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660" w:type="dxa"/>
            <w:vAlign w:val="bottom"/>
            <w:tcBorders>
              <w:bottom w:val="single" w:sz="8" w:color="auto"/>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bottom w:val="single" w:sz="8" w:color="auto"/>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right w:val="single" w:sz="8" w:color="auto"/>
            </w:tcBorders>
            <w:shd w:val="clear" w:color="auto" w:fill="CFF0FC"/>
          </w:tcPr>
          <w:p>
            <w:pPr>
              <w:jc w:val="right"/>
              <w:ind w:right="20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right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right w:val="single" w:sz="8" w:color="CFF0FC"/>
            </w:tcBorders>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(8,943)</w:t>
            </w: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rPr>
              <w:t>(8,943)</w:t>
            </w:r>
          </w:p>
        </w:tc>
        <w:tc>
          <w:tcPr>
            <w:tcW w:w="0" w:type="dxa"/>
            <w:vAlign w:val="bottom"/>
          </w:tcPr>
          <w:p>
            <w:pPr>
              <w:spacing w:after="0"/>
              <w:rPr>
                <w:sz w:val="1"/>
                <w:szCs w:val="1"/>
                <w:color w:val="auto"/>
              </w:rPr>
            </w:pPr>
          </w:p>
        </w:tc>
      </w:tr>
      <w:tr>
        <w:trPr>
          <w:trHeight w:val="162"/>
        </w:trPr>
        <w:tc>
          <w:tcPr>
            <w:tcW w:w="2800" w:type="dxa"/>
            <w:vAlign w:val="bottom"/>
          </w:tcPr>
          <w:p>
            <w:pPr>
              <w:spacing w:after="0"/>
              <w:rPr>
                <w:sz w:val="20"/>
                <w:szCs w:val="20"/>
                <w:color w:val="auto"/>
              </w:rPr>
            </w:pPr>
            <w:r>
              <w:rPr>
                <w:rFonts w:ascii="Times New Roman" w:cs="Times New Roman" w:eastAsia="Times New Roman" w:hAnsi="Times New Roman"/>
                <w:sz w:val="12"/>
                <w:szCs w:val="12"/>
                <w:color w:val="auto"/>
              </w:rPr>
              <w:t>Balance at September 30, 2018</w:t>
            </w: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60,000,000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59,909</w:t>
            </w:r>
          </w:p>
        </w:tc>
        <w:tc>
          <w:tcPr>
            <w:tcW w:w="8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40,000,000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right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color w:val="auto"/>
              </w:rPr>
              <w:t>79,761</w:t>
            </w: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1,425,501</w:t>
            </w:r>
          </w:p>
        </w:tc>
        <w:tc>
          <w:tcPr>
            <w:tcW w:w="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1</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3,684</w:t>
            </w:r>
          </w:p>
        </w:tc>
        <w:tc>
          <w:tcPr>
            <w:tcW w:w="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(59,265)</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(55,580)</w:t>
            </w:r>
          </w:p>
        </w:tc>
        <w:tc>
          <w:tcPr>
            <w:tcW w:w="0" w:type="dxa"/>
            <w:vAlign w:val="bottom"/>
          </w:tcPr>
          <w:p>
            <w:pPr>
              <w:spacing w:after="0"/>
              <w:rPr>
                <w:sz w:val="1"/>
                <w:szCs w:val="1"/>
                <w:color w:val="auto"/>
              </w:rPr>
            </w:pPr>
          </w:p>
        </w:tc>
      </w:tr>
      <w:tr>
        <w:trPr>
          <w:trHeight w:val="20"/>
        </w:trPr>
        <w:tc>
          <w:tcPr>
            <w:tcW w:w="28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Balance at December 31, 2018</w:t>
            </w:r>
          </w:p>
        </w:tc>
        <w:tc>
          <w:tcPr>
            <w:tcW w:w="78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60,000,000</w:t>
            </w:r>
          </w:p>
        </w:tc>
        <w:tc>
          <w:tcPr>
            <w:tcW w:w="140" w:type="dxa"/>
            <w:vAlign w:val="bottom"/>
            <w:tcBorders>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right w:val="single" w:sz="8" w:color="CFF0FC"/>
            </w:tcBorders>
            <w:shd w:val="clear" w:color="auto" w:fill="CFF0FC"/>
          </w:tcPr>
          <w:p>
            <w:pPr>
              <w:jc w:val="right"/>
              <w:ind w:right="122"/>
              <w:spacing w:after="0" w:line="129" w:lineRule="exact"/>
              <w:rPr>
                <w:sz w:val="20"/>
                <w:szCs w:val="20"/>
                <w:color w:val="auto"/>
              </w:rPr>
            </w:pPr>
            <w:r>
              <w:rPr>
                <w:rFonts w:ascii="Times New Roman" w:cs="Times New Roman" w:eastAsia="Times New Roman" w:hAnsi="Times New Roman"/>
                <w:sz w:val="12"/>
                <w:szCs w:val="12"/>
                <w:color w:val="auto"/>
              </w:rPr>
              <w:t>59,909</w:t>
            </w:r>
          </w:p>
        </w:tc>
        <w:tc>
          <w:tcPr>
            <w:tcW w:w="860" w:type="dxa"/>
            <w:vAlign w:val="bottom"/>
            <w:tcBorders>
              <w:right w:val="single" w:sz="8" w:color="CFF0FC"/>
            </w:tcBorders>
            <w:shd w:val="clear" w:color="auto" w:fill="CFF0FC"/>
          </w:tcPr>
          <w:p>
            <w:pPr>
              <w:jc w:val="right"/>
              <w:ind w:right="122"/>
              <w:spacing w:after="0" w:line="129" w:lineRule="exact"/>
              <w:rPr>
                <w:sz w:val="20"/>
                <w:szCs w:val="20"/>
                <w:color w:val="auto"/>
              </w:rPr>
            </w:pPr>
            <w:r>
              <w:rPr>
                <w:rFonts w:ascii="Times New Roman" w:cs="Times New Roman" w:eastAsia="Times New Roman" w:hAnsi="Times New Roman"/>
                <w:sz w:val="12"/>
                <w:szCs w:val="12"/>
                <w:color w:val="auto"/>
              </w:rPr>
              <w:t>40,000,000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right w:val="single" w:sz="8" w:color="auto"/>
            </w:tcBorders>
            <w:shd w:val="clear" w:color="auto" w:fill="CFF0FC"/>
          </w:tcPr>
          <w:p>
            <w:pPr>
              <w:jc w:val="right"/>
              <w:ind w:right="202"/>
              <w:spacing w:after="0" w:line="129" w:lineRule="exact"/>
              <w:rPr>
                <w:sz w:val="20"/>
                <w:szCs w:val="20"/>
                <w:color w:val="auto"/>
              </w:rPr>
            </w:pPr>
            <w:r>
              <w:rPr>
                <w:rFonts w:ascii="Times New Roman" w:cs="Times New Roman" w:eastAsia="Times New Roman" w:hAnsi="Times New Roman"/>
                <w:sz w:val="12"/>
                <w:szCs w:val="12"/>
                <w:color w:val="auto"/>
              </w:rPr>
              <w:t>79,761</w:t>
            </w:r>
          </w:p>
        </w:tc>
        <w:tc>
          <w:tcPr>
            <w:tcW w:w="74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1,587,953</w:t>
            </w: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right w:val="single" w:sz="8" w:color="CFF0FC"/>
            </w:tcBorders>
            <w:shd w:val="clear" w:color="auto" w:fill="CFF0FC"/>
          </w:tcPr>
          <w:p>
            <w:pPr>
              <w:jc w:val="right"/>
              <w:ind w:right="122"/>
              <w:spacing w:after="0" w:line="129" w:lineRule="exact"/>
              <w:rPr>
                <w:sz w:val="20"/>
                <w:szCs w:val="20"/>
                <w:color w:val="auto"/>
              </w:rPr>
            </w:pPr>
            <w:r>
              <w:rPr>
                <w:rFonts w:ascii="Times New Roman" w:cs="Times New Roman" w:eastAsia="Times New Roman" w:hAnsi="Times New Roman"/>
                <w:sz w:val="12"/>
                <w:szCs w:val="12"/>
                <w:color w:val="auto"/>
              </w:rPr>
              <w:t>2</w:t>
            </w:r>
          </w:p>
        </w:tc>
        <w:tc>
          <w:tcPr>
            <w:tcW w:w="66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67,024</w:t>
            </w: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right w:val="single" w:sz="8" w:color="CFF0FC"/>
            </w:tcBorders>
            <w:shd w:val="clear" w:color="auto" w:fill="CFF0FC"/>
          </w:tcPr>
          <w:p>
            <w:pPr>
              <w:ind w:left="3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4,452</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right w:val="single" w:sz="8" w:color="CFF0FC"/>
            </w:tcBorders>
            <w:shd w:val="clear" w:color="auto" w:fill="CFF0FC"/>
          </w:tcPr>
          <w:p>
            <w:pPr>
              <w:jc w:val="right"/>
              <w:ind w:right="82"/>
              <w:spacing w:after="0" w:line="129" w:lineRule="exact"/>
              <w:rPr>
                <w:sz w:val="20"/>
                <w:szCs w:val="20"/>
                <w:color w:val="auto"/>
              </w:rPr>
            </w:pPr>
            <w:r>
              <w:rPr>
                <w:rFonts w:ascii="Times New Roman" w:cs="Times New Roman" w:eastAsia="Times New Roman" w:hAnsi="Times New Roman"/>
                <w:sz w:val="12"/>
                <w:szCs w:val="12"/>
                <w:color w:val="auto"/>
              </w:rPr>
              <w:t>(68,124)</w:t>
            </w:r>
          </w:p>
        </w:tc>
        <w:tc>
          <w:tcPr>
            <w:tcW w:w="1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(63,670)</w:t>
            </w:r>
          </w:p>
        </w:tc>
        <w:tc>
          <w:tcPr>
            <w:tcW w:w="0" w:type="dxa"/>
            <w:vAlign w:val="bottom"/>
          </w:tcPr>
          <w:p>
            <w:pPr>
              <w:spacing w:after="0"/>
              <w:rPr>
                <w:sz w:val="1"/>
                <w:szCs w:val="1"/>
                <w:color w:val="auto"/>
              </w:rPr>
            </w:pPr>
          </w:p>
        </w:tc>
      </w:tr>
      <w:tr>
        <w:trPr>
          <w:trHeight w:val="140"/>
        </w:trPr>
        <w:tc>
          <w:tcPr>
            <w:tcW w:w="28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Issuance of Series B convertible preferred stock in</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00" w:type="dxa"/>
            <w:vAlign w:val="bottom"/>
          </w:tcPr>
          <w:p>
            <w:pPr>
              <w:ind w:left="260"/>
              <w:spacing w:after="0" w:line="135" w:lineRule="exact"/>
              <w:rPr>
                <w:sz w:val="20"/>
                <w:szCs w:val="20"/>
                <w:color w:val="auto"/>
              </w:rPr>
            </w:pPr>
            <w:r>
              <w:rPr>
                <w:rFonts w:ascii="Times New Roman" w:cs="Times New Roman" w:eastAsia="Times New Roman" w:hAnsi="Times New Roman"/>
                <w:sz w:val="12"/>
                <w:szCs w:val="12"/>
                <w:color w:val="auto"/>
              </w:rPr>
              <w:t>connection with asset acquisition, net of issuance</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costs of $34</w:t>
            </w: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12,500,000</w:t>
            </w:r>
          </w:p>
        </w:tc>
        <w:tc>
          <w:tcPr>
            <w:tcW w:w="80" w:type="dxa"/>
            <w:vAlign w:val="bottom"/>
          </w:tcPr>
          <w:p>
            <w:pPr>
              <w:spacing w:after="0"/>
              <w:rPr>
                <w:sz w:val="12"/>
                <w:szCs w:val="12"/>
                <w:color w:val="auto"/>
              </w:rPr>
            </w:pPr>
          </w:p>
        </w:tc>
        <w:tc>
          <w:tcPr>
            <w:tcW w:w="720" w:type="dxa"/>
            <w:vAlign w:val="bottom"/>
            <w:tcBorders>
              <w:right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color w:val="auto"/>
              </w:rPr>
              <w:t>25,466</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9"/>
        </w:trPr>
        <w:tc>
          <w:tcPr>
            <w:tcW w:w="2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2"/>
                <w:szCs w:val="12"/>
                <w:color w:val="auto"/>
              </w:rPr>
              <w:t>Issuance of common stock</w:t>
            </w:r>
          </w:p>
        </w:tc>
        <w:tc>
          <w:tcPr>
            <w:tcW w:w="7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720" w:type="dxa"/>
            <w:vAlign w:val="bottom"/>
            <w:tcBorders>
              <w:right w:val="single" w:sz="8" w:color="auto"/>
            </w:tcBorders>
            <w:shd w:val="clear" w:color="auto" w:fill="CFF0FC"/>
          </w:tcPr>
          <w:p>
            <w:pPr>
              <w:jc w:val="right"/>
              <w:ind w:right="20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134,013</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49"/>
        </w:trPr>
        <w:tc>
          <w:tcPr>
            <w:tcW w:w="28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Repurchase of unvested restricted stock awards</w:t>
            </w: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20" w:type="dxa"/>
            <w:vAlign w:val="bottom"/>
            <w:tcBorders>
              <w:right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43,922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9"/>
        </w:trPr>
        <w:tc>
          <w:tcPr>
            <w:tcW w:w="2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2"/>
                <w:szCs w:val="12"/>
                <w:color w:val="auto"/>
              </w:rPr>
              <w:t>Retirement of treasury shares</w:t>
            </w:r>
          </w:p>
        </w:tc>
        <w:tc>
          <w:tcPr>
            <w:tcW w:w="7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720" w:type="dxa"/>
            <w:vAlign w:val="bottom"/>
            <w:tcBorders>
              <w:right w:val="single" w:sz="8" w:color="auto"/>
            </w:tcBorders>
            <w:shd w:val="clear" w:color="auto" w:fill="CFF0FC"/>
          </w:tcPr>
          <w:p>
            <w:pPr>
              <w:jc w:val="right"/>
              <w:ind w:right="202"/>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rPr>
              <w:t>(110,946)</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9"/>
        </w:trPr>
        <w:tc>
          <w:tcPr>
            <w:tcW w:w="28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20" w:type="dxa"/>
            <w:vAlign w:val="bottom"/>
            <w:tcBorders>
              <w:right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821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821</w:t>
            </w:r>
          </w:p>
        </w:tc>
        <w:tc>
          <w:tcPr>
            <w:tcW w:w="0" w:type="dxa"/>
            <w:vAlign w:val="bottom"/>
          </w:tcPr>
          <w:p>
            <w:pPr>
              <w:spacing w:after="0"/>
              <w:rPr>
                <w:sz w:val="1"/>
                <w:szCs w:val="1"/>
                <w:color w:val="auto"/>
              </w:rPr>
            </w:pPr>
          </w:p>
        </w:tc>
      </w:tr>
      <w:tr>
        <w:trPr>
          <w:trHeight w:val="149"/>
        </w:trPr>
        <w:tc>
          <w:tcPr>
            <w:tcW w:w="2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2"/>
                <w:szCs w:val="12"/>
                <w:color w:val="auto"/>
              </w:rPr>
              <w:t>Net loss</w:t>
            </w:r>
          </w:p>
        </w:tc>
        <w:tc>
          <w:tcPr>
            <w:tcW w:w="78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660" w:type="dxa"/>
            <w:vAlign w:val="bottom"/>
            <w:tcBorders>
              <w:bottom w:val="single" w:sz="8" w:color="auto"/>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bottom w:val="single" w:sz="8" w:color="auto"/>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right w:val="single" w:sz="8" w:color="auto"/>
            </w:tcBorders>
            <w:shd w:val="clear" w:color="auto" w:fill="CFF0FC"/>
          </w:tcPr>
          <w:p>
            <w:pPr>
              <w:jc w:val="right"/>
              <w:ind w:right="20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right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right w:val="single" w:sz="8" w:color="CFF0FC"/>
            </w:tcBorders>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(36,843)</w:t>
            </w: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rPr>
              <w:t>(36,843)</w:t>
            </w:r>
          </w:p>
        </w:tc>
        <w:tc>
          <w:tcPr>
            <w:tcW w:w="0" w:type="dxa"/>
            <w:vAlign w:val="bottom"/>
          </w:tcPr>
          <w:p>
            <w:pPr>
              <w:spacing w:after="0"/>
              <w:rPr>
                <w:sz w:val="1"/>
                <w:szCs w:val="1"/>
                <w:color w:val="auto"/>
              </w:rPr>
            </w:pPr>
          </w:p>
        </w:tc>
      </w:tr>
      <w:tr>
        <w:trPr>
          <w:trHeight w:val="182"/>
        </w:trPr>
        <w:tc>
          <w:tcPr>
            <w:tcW w:w="2800" w:type="dxa"/>
            <w:vAlign w:val="bottom"/>
          </w:tcPr>
          <w:p>
            <w:pPr>
              <w:spacing w:after="0"/>
              <w:rPr>
                <w:sz w:val="20"/>
                <w:szCs w:val="20"/>
                <w:color w:val="auto"/>
              </w:rPr>
            </w:pPr>
            <w:r>
              <w:rPr>
                <w:rFonts w:ascii="Times New Roman" w:cs="Times New Roman" w:eastAsia="Times New Roman" w:hAnsi="Times New Roman"/>
                <w:sz w:val="12"/>
                <w:szCs w:val="12"/>
                <w:color w:val="auto"/>
              </w:rPr>
              <w:t>Balance at March 31, 2019</w:t>
            </w: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60,000,000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59,909</w:t>
            </w:r>
          </w:p>
        </w:tc>
        <w:tc>
          <w:tcPr>
            <w:tcW w:w="8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52,500,000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right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color w:val="auto"/>
              </w:rPr>
              <w:t>105,227</w:t>
            </w: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1,721,966</w:t>
            </w:r>
          </w:p>
        </w:tc>
        <w:tc>
          <w:tcPr>
            <w:tcW w:w="8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2</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5,278</w:t>
            </w:r>
          </w:p>
        </w:tc>
        <w:tc>
          <w:tcPr>
            <w:tcW w:w="8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(104,967)</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(99,687)</w:t>
            </w:r>
          </w:p>
        </w:tc>
        <w:tc>
          <w:tcPr>
            <w:tcW w:w="0" w:type="dxa"/>
            <w:vAlign w:val="bottom"/>
          </w:tcPr>
          <w:p>
            <w:pPr>
              <w:spacing w:after="0"/>
              <w:rPr>
                <w:sz w:val="1"/>
                <w:szCs w:val="1"/>
                <w:color w:val="auto"/>
              </w:rPr>
            </w:pPr>
          </w:p>
        </w:tc>
      </w:tr>
      <w:tr>
        <w:trPr>
          <w:trHeight w:val="129"/>
        </w:trPr>
        <w:tc>
          <w:tcPr>
            <w:tcW w:w="2800" w:type="dxa"/>
            <w:vAlign w:val="bottom"/>
            <w:tcBorders>
              <w:top w:val="single" w:sz="8" w:color="CFF0FC"/>
            </w:tcBorders>
            <w:shd w:val="clear" w:color="auto" w:fill="CFF0FC"/>
          </w:tcPr>
          <w:p>
            <w:pPr>
              <w:ind w:left="260"/>
              <w:spacing w:after="0" w:line="129" w:lineRule="exact"/>
              <w:rPr>
                <w:sz w:val="20"/>
                <w:szCs w:val="20"/>
                <w:color w:val="auto"/>
              </w:rPr>
            </w:pPr>
            <w:r>
              <w:rPr>
                <w:rFonts w:ascii="Times New Roman" w:cs="Times New Roman" w:eastAsia="Times New Roman" w:hAnsi="Times New Roman"/>
                <w:sz w:val="12"/>
                <w:szCs w:val="12"/>
                <w:color w:val="auto"/>
              </w:rPr>
              <w:t>Issuance of common stock</w:t>
            </w:r>
          </w:p>
        </w:tc>
        <w:tc>
          <w:tcPr>
            <w:tcW w:w="780" w:type="dxa"/>
            <w:vAlign w:val="bottom"/>
            <w:tcBorders>
              <w:top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FF0FC"/>
              <w:right w:val="single" w:sz="8" w:color="CFF0FC"/>
            </w:tcBorders>
            <w:shd w:val="clear" w:color="auto" w:fill="CFF0FC"/>
          </w:tcPr>
          <w:p>
            <w:pPr>
              <w:spacing w:after="0"/>
              <w:rPr>
                <w:sz w:val="11"/>
                <w:szCs w:val="11"/>
                <w:color w:val="auto"/>
              </w:rPr>
            </w:pPr>
          </w:p>
        </w:tc>
        <w:tc>
          <w:tcPr>
            <w:tcW w:w="660" w:type="dxa"/>
            <w:vAlign w:val="bottom"/>
            <w:tcBorders>
              <w:top w:val="single" w:sz="8" w:color="auto"/>
              <w:right w:val="single" w:sz="8" w:color="CFF0FC"/>
            </w:tcBorders>
            <w:shd w:val="clear" w:color="auto" w:fill="CFF0FC"/>
          </w:tcPr>
          <w:p>
            <w:pPr>
              <w:jc w:val="right"/>
              <w:ind w:right="122"/>
              <w:spacing w:after="0" w:line="129"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top w:val="single" w:sz="8" w:color="auto"/>
              <w:right w:val="single" w:sz="8" w:color="CFF0FC"/>
            </w:tcBorders>
            <w:shd w:val="clear" w:color="auto" w:fill="CFF0FC"/>
          </w:tcPr>
          <w:p>
            <w:pPr>
              <w:jc w:val="right"/>
              <w:ind w:right="122"/>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right w:val="single" w:sz="8" w:color="auto"/>
            </w:tcBorders>
            <w:shd w:val="clear" w:color="auto" w:fill="CFF0FC"/>
          </w:tcPr>
          <w:p>
            <w:pPr>
              <w:jc w:val="right"/>
              <w:ind w:right="202"/>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top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148,320</w:t>
            </w:r>
          </w:p>
        </w:tc>
        <w:tc>
          <w:tcPr>
            <w:tcW w:w="8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right w:val="single" w:sz="8" w:color="CFF0FC"/>
            </w:tcBorders>
            <w:shd w:val="clear" w:color="auto" w:fill="CFF0FC"/>
          </w:tcPr>
          <w:p>
            <w:pPr>
              <w:jc w:val="right"/>
              <w:ind w:right="122"/>
              <w:spacing w:after="0" w:line="129"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top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right w:val="single" w:sz="8" w:color="CFF0FC"/>
            </w:tcBorders>
            <w:shd w:val="clear" w:color="auto" w:fill="CFF0FC"/>
          </w:tcPr>
          <w:p>
            <w:pPr>
              <w:ind w:left="3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225</w:t>
            </w: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right w:val="single" w:sz="8" w:color="CFF0FC"/>
            </w:tcBorders>
            <w:shd w:val="clear" w:color="auto" w:fill="CFF0FC"/>
          </w:tcPr>
          <w:p>
            <w:pPr>
              <w:jc w:val="right"/>
              <w:ind w:right="122"/>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225</w:t>
            </w:r>
          </w:p>
        </w:tc>
        <w:tc>
          <w:tcPr>
            <w:tcW w:w="0" w:type="dxa"/>
            <w:vAlign w:val="bottom"/>
          </w:tcPr>
          <w:p>
            <w:pPr>
              <w:spacing w:after="0"/>
              <w:rPr>
                <w:sz w:val="1"/>
                <w:szCs w:val="1"/>
                <w:color w:val="auto"/>
              </w:rPr>
            </w:pPr>
          </w:p>
        </w:tc>
      </w:tr>
      <w:tr>
        <w:trPr>
          <w:trHeight w:val="149"/>
        </w:trPr>
        <w:tc>
          <w:tcPr>
            <w:tcW w:w="28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Repurchase of unvested restricted stock awards</w:t>
            </w: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20" w:type="dxa"/>
            <w:vAlign w:val="bottom"/>
            <w:tcBorders>
              <w:right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7,451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9"/>
        </w:trPr>
        <w:tc>
          <w:tcPr>
            <w:tcW w:w="2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2"/>
                <w:szCs w:val="12"/>
                <w:color w:val="auto"/>
              </w:rPr>
              <w:t>Retirement of treasury shares</w:t>
            </w:r>
          </w:p>
        </w:tc>
        <w:tc>
          <w:tcPr>
            <w:tcW w:w="7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720" w:type="dxa"/>
            <w:vAlign w:val="bottom"/>
            <w:tcBorders>
              <w:right w:val="single" w:sz="8" w:color="auto"/>
            </w:tcBorders>
            <w:shd w:val="clear" w:color="auto" w:fill="CFF0FC"/>
          </w:tcPr>
          <w:p>
            <w:pPr>
              <w:jc w:val="right"/>
              <w:ind w:right="202"/>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rPr>
              <w:t>(6,019)</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9"/>
        </w:trPr>
        <w:tc>
          <w:tcPr>
            <w:tcW w:w="28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20" w:type="dxa"/>
            <w:vAlign w:val="bottom"/>
            <w:tcBorders>
              <w:right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950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950</w:t>
            </w:r>
          </w:p>
        </w:tc>
        <w:tc>
          <w:tcPr>
            <w:tcW w:w="0" w:type="dxa"/>
            <w:vAlign w:val="bottom"/>
          </w:tcPr>
          <w:p>
            <w:pPr>
              <w:spacing w:after="0"/>
              <w:rPr>
                <w:sz w:val="1"/>
                <w:szCs w:val="1"/>
                <w:color w:val="auto"/>
              </w:rPr>
            </w:pPr>
          </w:p>
        </w:tc>
      </w:tr>
      <w:tr>
        <w:trPr>
          <w:trHeight w:val="149"/>
        </w:trPr>
        <w:tc>
          <w:tcPr>
            <w:tcW w:w="2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2"/>
                <w:szCs w:val="12"/>
                <w:color w:val="auto"/>
              </w:rPr>
              <w:t>Net loss</w:t>
            </w:r>
          </w:p>
        </w:tc>
        <w:tc>
          <w:tcPr>
            <w:tcW w:w="78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660" w:type="dxa"/>
            <w:vAlign w:val="bottom"/>
            <w:tcBorders>
              <w:bottom w:val="single" w:sz="8" w:color="auto"/>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bottom w:val="single" w:sz="8" w:color="auto"/>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right w:val="single" w:sz="8" w:color="auto"/>
            </w:tcBorders>
            <w:shd w:val="clear" w:color="auto" w:fill="CFF0FC"/>
          </w:tcPr>
          <w:p>
            <w:pPr>
              <w:jc w:val="right"/>
              <w:ind w:right="20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right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right w:val="single" w:sz="8" w:color="CFF0FC"/>
            </w:tcBorders>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(13,169)</w:t>
            </w: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rPr>
              <w:t>(13,169)</w:t>
            </w:r>
          </w:p>
        </w:tc>
        <w:tc>
          <w:tcPr>
            <w:tcW w:w="0" w:type="dxa"/>
            <w:vAlign w:val="bottom"/>
          </w:tcPr>
          <w:p>
            <w:pPr>
              <w:spacing w:after="0"/>
              <w:rPr>
                <w:sz w:val="1"/>
                <w:szCs w:val="1"/>
                <w:color w:val="auto"/>
              </w:rPr>
            </w:pPr>
          </w:p>
        </w:tc>
      </w:tr>
      <w:tr>
        <w:trPr>
          <w:trHeight w:val="182"/>
        </w:trPr>
        <w:tc>
          <w:tcPr>
            <w:tcW w:w="2800" w:type="dxa"/>
            <w:vAlign w:val="bottom"/>
          </w:tcPr>
          <w:p>
            <w:pPr>
              <w:spacing w:after="0"/>
              <w:rPr>
                <w:sz w:val="20"/>
                <w:szCs w:val="20"/>
                <w:color w:val="auto"/>
              </w:rPr>
            </w:pPr>
            <w:r>
              <w:rPr>
                <w:rFonts w:ascii="Times New Roman" w:cs="Times New Roman" w:eastAsia="Times New Roman" w:hAnsi="Times New Roman"/>
                <w:sz w:val="12"/>
                <w:szCs w:val="12"/>
                <w:color w:val="auto"/>
              </w:rPr>
              <w:t>Balance at June 30, 2019</w:t>
            </w: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60,000,000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59,909</w:t>
            </w:r>
          </w:p>
        </w:tc>
        <w:tc>
          <w:tcPr>
            <w:tcW w:w="8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52,500,000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right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color w:val="auto"/>
              </w:rPr>
              <w:t>105,227</w:t>
            </w: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1,870,286</w:t>
            </w:r>
          </w:p>
        </w:tc>
        <w:tc>
          <w:tcPr>
            <w:tcW w:w="8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2</w:t>
            </w:r>
          </w:p>
        </w:tc>
        <w:tc>
          <w:tcPr>
            <w:tcW w:w="6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1,432</w:t>
            </w:r>
          </w:p>
        </w:tc>
        <w:tc>
          <w:tcPr>
            <w:tcW w:w="8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6,453</w:t>
            </w:r>
          </w:p>
        </w:tc>
        <w:tc>
          <w:tcPr>
            <w:tcW w:w="8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(118,136)</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(111,681)</w:t>
            </w:r>
          </w:p>
        </w:tc>
        <w:tc>
          <w:tcPr>
            <w:tcW w:w="0" w:type="dxa"/>
            <w:vAlign w:val="bottom"/>
          </w:tcPr>
          <w:p>
            <w:pPr>
              <w:spacing w:after="0"/>
              <w:rPr>
                <w:sz w:val="1"/>
                <w:szCs w:val="1"/>
                <w:color w:val="auto"/>
              </w:rPr>
            </w:pPr>
          </w:p>
        </w:tc>
      </w:tr>
      <w:tr>
        <w:trPr>
          <w:trHeight w:val="129"/>
        </w:trPr>
        <w:tc>
          <w:tcPr>
            <w:tcW w:w="2800" w:type="dxa"/>
            <w:vAlign w:val="bottom"/>
            <w:tcBorders>
              <w:top w:val="single" w:sz="8" w:color="CFF0FC"/>
            </w:tcBorders>
            <w:shd w:val="clear" w:color="auto" w:fill="CFF0FC"/>
          </w:tcPr>
          <w:p>
            <w:pPr>
              <w:ind w:left="260"/>
              <w:spacing w:after="0" w:line="129" w:lineRule="exact"/>
              <w:rPr>
                <w:sz w:val="20"/>
                <w:szCs w:val="20"/>
                <w:color w:val="auto"/>
              </w:rPr>
            </w:pPr>
            <w:r>
              <w:rPr>
                <w:rFonts w:ascii="Times New Roman" w:cs="Times New Roman" w:eastAsia="Times New Roman" w:hAnsi="Times New Roman"/>
                <w:sz w:val="12"/>
                <w:szCs w:val="12"/>
                <w:color w:val="auto"/>
              </w:rPr>
              <w:t>Issuance of common stock</w:t>
            </w:r>
          </w:p>
        </w:tc>
        <w:tc>
          <w:tcPr>
            <w:tcW w:w="780" w:type="dxa"/>
            <w:vAlign w:val="bottom"/>
            <w:tcBorders>
              <w:top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FF0FC"/>
              <w:right w:val="single" w:sz="8" w:color="CFF0FC"/>
            </w:tcBorders>
            <w:shd w:val="clear" w:color="auto" w:fill="CFF0FC"/>
          </w:tcPr>
          <w:p>
            <w:pPr>
              <w:spacing w:after="0"/>
              <w:rPr>
                <w:sz w:val="11"/>
                <w:szCs w:val="11"/>
                <w:color w:val="auto"/>
              </w:rPr>
            </w:pPr>
          </w:p>
        </w:tc>
        <w:tc>
          <w:tcPr>
            <w:tcW w:w="660" w:type="dxa"/>
            <w:vAlign w:val="bottom"/>
            <w:tcBorders>
              <w:top w:val="single" w:sz="8" w:color="auto"/>
              <w:right w:val="single" w:sz="8" w:color="CFF0FC"/>
            </w:tcBorders>
            <w:shd w:val="clear" w:color="auto" w:fill="CFF0FC"/>
          </w:tcPr>
          <w:p>
            <w:pPr>
              <w:jc w:val="right"/>
              <w:ind w:right="122"/>
              <w:spacing w:after="0" w:line="129"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top w:val="single" w:sz="8" w:color="auto"/>
              <w:right w:val="single" w:sz="8" w:color="CFF0FC"/>
            </w:tcBorders>
            <w:shd w:val="clear" w:color="auto" w:fill="CFF0FC"/>
          </w:tcPr>
          <w:p>
            <w:pPr>
              <w:jc w:val="right"/>
              <w:ind w:right="122"/>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right w:val="single" w:sz="8" w:color="auto"/>
            </w:tcBorders>
            <w:shd w:val="clear" w:color="auto" w:fill="CFF0FC"/>
          </w:tcPr>
          <w:p>
            <w:pPr>
              <w:jc w:val="right"/>
              <w:ind w:right="202"/>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top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116,167</w:t>
            </w:r>
          </w:p>
        </w:tc>
        <w:tc>
          <w:tcPr>
            <w:tcW w:w="8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right w:val="single" w:sz="8" w:color="CFF0FC"/>
            </w:tcBorders>
            <w:shd w:val="clear" w:color="auto" w:fill="CFF0FC"/>
          </w:tcPr>
          <w:p>
            <w:pPr>
              <w:jc w:val="right"/>
              <w:ind w:right="122"/>
              <w:spacing w:after="0" w:line="129"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top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right w:val="single" w:sz="8" w:color="CFF0FC"/>
            </w:tcBorders>
            <w:shd w:val="clear" w:color="auto" w:fill="CFF0FC"/>
          </w:tcPr>
          <w:p>
            <w:pPr>
              <w:ind w:left="3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35</w:t>
            </w: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right w:val="single" w:sz="8" w:color="CFF0FC"/>
            </w:tcBorders>
            <w:shd w:val="clear" w:color="auto" w:fill="CFF0FC"/>
          </w:tcPr>
          <w:p>
            <w:pPr>
              <w:jc w:val="right"/>
              <w:ind w:right="122"/>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35</w:t>
            </w:r>
          </w:p>
        </w:tc>
        <w:tc>
          <w:tcPr>
            <w:tcW w:w="0" w:type="dxa"/>
            <w:vAlign w:val="bottom"/>
          </w:tcPr>
          <w:p>
            <w:pPr>
              <w:spacing w:after="0"/>
              <w:rPr>
                <w:sz w:val="1"/>
                <w:szCs w:val="1"/>
                <w:color w:val="auto"/>
              </w:rPr>
            </w:pPr>
          </w:p>
        </w:tc>
      </w:tr>
      <w:tr>
        <w:trPr>
          <w:trHeight w:val="140"/>
        </w:trPr>
        <w:tc>
          <w:tcPr>
            <w:tcW w:w="28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Conversion of convertible preferred stock into</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8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common stock</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(60,000,000)</w:t>
            </w:r>
          </w:p>
        </w:tc>
        <w:tc>
          <w:tcPr>
            <w:tcW w:w="140" w:type="dxa"/>
            <w:vAlign w:val="bottom"/>
          </w:tcPr>
          <w:p>
            <w:pPr>
              <w:spacing w:after="0"/>
              <w:rPr>
                <w:sz w:val="12"/>
                <w:szCs w:val="12"/>
                <w:color w:val="auto"/>
              </w:rPr>
            </w:pP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(59,909)</w:t>
            </w: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(52,500,000)</w:t>
            </w:r>
          </w:p>
        </w:tc>
        <w:tc>
          <w:tcPr>
            <w:tcW w:w="80" w:type="dxa"/>
            <w:vAlign w:val="bottom"/>
          </w:tcPr>
          <w:p>
            <w:pPr>
              <w:spacing w:after="0"/>
              <w:rPr>
                <w:sz w:val="12"/>
                <w:szCs w:val="12"/>
                <w:color w:val="auto"/>
              </w:rPr>
            </w:pPr>
          </w:p>
        </w:tc>
        <w:tc>
          <w:tcPr>
            <w:tcW w:w="720" w:type="dxa"/>
            <w:vAlign w:val="bottom"/>
            <w:tcBorders>
              <w:right w:val="single" w:sz="8" w:color="auto"/>
            </w:tcBorders>
          </w:tcPr>
          <w:p>
            <w:pPr>
              <w:jc w:val="right"/>
              <w:ind w:right="142"/>
              <w:spacing w:after="0"/>
              <w:rPr>
                <w:sz w:val="20"/>
                <w:szCs w:val="20"/>
                <w:color w:val="auto"/>
              </w:rPr>
            </w:pPr>
            <w:r>
              <w:rPr>
                <w:rFonts w:ascii="Times New Roman" w:cs="Times New Roman" w:eastAsia="Times New Roman" w:hAnsi="Times New Roman"/>
                <w:sz w:val="12"/>
                <w:szCs w:val="12"/>
                <w:color w:val="auto"/>
              </w:rPr>
              <w:t>(105,227)</w:t>
            </w: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16,071,418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16</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165,120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165,136</w:t>
            </w:r>
          </w:p>
        </w:tc>
        <w:tc>
          <w:tcPr>
            <w:tcW w:w="0" w:type="dxa"/>
            <w:vAlign w:val="bottom"/>
          </w:tcPr>
          <w:p>
            <w:pPr>
              <w:spacing w:after="0"/>
              <w:rPr>
                <w:sz w:val="1"/>
                <w:szCs w:val="1"/>
                <w:color w:val="auto"/>
              </w:rPr>
            </w:pPr>
          </w:p>
        </w:tc>
      </w:tr>
      <w:tr>
        <w:trPr>
          <w:trHeight w:val="140"/>
        </w:trPr>
        <w:tc>
          <w:tcPr>
            <w:tcW w:w="2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2"/>
                <w:szCs w:val="12"/>
                <w:color w:val="auto"/>
              </w:rPr>
              <w:t>Initial public offering, net of underwriting</w:t>
            </w:r>
          </w:p>
        </w:tc>
        <w:tc>
          <w:tcPr>
            <w:tcW w:w="7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spacing w:after="0"/>
              <w:rPr>
                <w:sz w:val="12"/>
                <w:szCs w:val="12"/>
                <w:color w:val="auto"/>
              </w:rPr>
            </w:pPr>
          </w:p>
        </w:tc>
        <w:tc>
          <w:tcPr>
            <w:tcW w:w="8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2"/>
                <w:szCs w:val="12"/>
                <w:color w:val="auto"/>
              </w:rPr>
              <w:t>discounts, commissions and offering costs</w:t>
            </w:r>
          </w:p>
        </w:tc>
        <w:tc>
          <w:tcPr>
            <w:tcW w:w="7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720" w:type="dxa"/>
            <w:vAlign w:val="bottom"/>
            <w:tcBorders>
              <w:right w:val="single" w:sz="8" w:color="auto"/>
            </w:tcBorders>
            <w:shd w:val="clear" w:color="auto" w:fill="CFF0FC"/>
          </w:tcPr>
          <w:p>
            <w:pPr>
              <w:jc w:val="right"/>
              <w:ind w:right="20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4,500,000</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5</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63,996</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64,001</w:t>
            </w:r>
          </w:p>
        </w:tc>
        <w:tc>
          <w:tcPr>
            <w:tcW w:w="0" w:type="dxa"/>
            <w:vAlign w:val="bottom"/>
          </w:tcPr>
          <w:p>
            <w:pPr>
              <w:spacing w:after="0"/>
              <w:rPr>
                <w:sz w:val="1"/>
                <w:szCs w:val="1"/>
                <w:color w:val="auto"/>
              </w:rPr>
            </w:pPr>
          </w:p>
        </w:tc>
      </w:tr>
      <w:tr>
        <w:trPr>
          <w:trHeight w:val="149"/>
        </w:trPr>
        <w:tc>
          <w:tcPr>
            <w:tcW w:w="28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Repurchase of unvested restricted stock awards</w:t>
            </w: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20" w:type="dxa"/>
            <w:vAlign w:val="bottom"/>
            <w:tcBorders>
              <w:right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4,951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9"/>
        </w:trPr>
        <w:tc>
          <w:tcPr>
            <w:tcW w:w="2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2"/>
                <w:szCs w:val="12"/>
                <w:color w:val="auto"/>
              </w:rPr>
              <w:t>Retirement of treasury shares</w:t>
            </w:r>
          </w:p>
        </w:tc>
        <w:tc>
          <w:tcPr>
            <w:tcW w:w="7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720" w:type="dxa"/>
            <w:vAlign w:val="bottom"/>
            <w:tcBorders>
              <w:right w:val="single" w:sz="8" w:color="auto"/>
            </w:tcBorders>
            <w:shd w:val="clear" w:color="auto" w:fill="CFF0FC"/>
          </w:tcPr>
          <w:p>
            <w:pPr>
              <w:jc w:val="right"/>
              <w:ind w:right="202"/>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rPr>
              <w:t>(6,383)</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tcBorders>
              <w:right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9"/>
        </w:trPr>
        <w:tc>
          <w:tcPr>
            <w:tcW w:w="28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20" w:type="dxa"/>
            <w:vAlign w:val="bottom"/>
            <w:tcBorders>
              <w:right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1,179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1,179</w:t>
            </w:r>
          </w:p>
        </w:tc>
        <w:tc>
          <w:tcPr>
            <w:tcW w:w="0" w:type="dxa"/>
            <w:vAlign w:val="bottom"/>
          </w:tcPr>
          <w:p>
            <w:pPr>
              <w:spacing w:after="0"/>
              <w:rPr>
                <w:sz w:val="1"/>
                <w:szCs w:val="1"/>
                <w:color w:val="auto"/>
              </w:rPr>
            </w:pPr>
          </w:p>
        </w:tc>
      </w:tr>
      <w:tr>
        <w:trPr>
          <w:trHeight w:val="149"/>
        </w:trPr>
        <w:tc>
          <w:tcPr>
            <w:tcW w:w="2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2"/>
                <w:szCs w:val="12"/>
                <w:color w:val="auto"/>
              </w:rPr>
              <w:t>Net loss</w:t>
            </w:r>
          </w:p>
        </w:tc>
        <w:tc>
          <w:tcPr>
            <w:tcW w:w="78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660" w:type="dxa"/>
            <w:vAlign w:val="bottom"/>
            <w:tcBorders>
              <w:bottom w:val="single" w:sz="8" w:color="auto"/>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bottom w:val="single" w:sz="8" w:color="auto"/>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right w:val="single" w:sz="8" w:color="auto"/>
            </w:tcBorders>
            <w:shd w:val="clear" w:color="auto" w:fill="CFF0FC"/>
          </w:tcPr>
          <w:p>
            <w:pPr>
              <w:jc w:val="right"/>
              <w:ind w:right="20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right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right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right w:val="single" w:sz="8" w:color="CFF0FC"/>
            </w:tcBorders>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(16,542)</w:t>
            </w: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rPr>
              <w:t>(16,542)</w:t>
            </w:r>
          </w:p>
        </w:tc>
        <w:tc>
          <w:tcPr>
            <w:tcW w:w="0" w:type="dxa"/>
            <w:vAlign w:val="bottom"/>
          </w:tcPr>
          <w:p>
            <w:pPr>
              <w:spacing w:after="0"/>
              <w:rPr>
                <w:sz w:val="1"/>
                <w:szCs w:val="1"/>
                <w:color w:val="auto"/>
              </w:rPr>
            </w:pPr>
          </w:p>
        </w:tc>
      </w:tr>
      <w:tr>
        <w:trPr>
          <w:trHeight w:val="142"/>
        </w:trPr>
        <w:tc>
          <w:tcPr>
            <w:tcW w:w="2800" w:type="dxa"/>
            <w:vAlign w:val="bottom"/>
          </w:tcPr>
          <w:p>
            <w:pPr>
              <w:spacing w:after="0"/>
              <w:rPr>
                <w:sz w:val="20"/>
                <w:szCs w:val="20"/>
                <w:color w:val="auto"/>
              </w:rPr>
            </w:pPr>
            <w:r>
              <w:rPr>
                <w:rFonts w:ascii="Times New Roman" w:cs="Times New Roman" w:eastAsia="Times New Roman" w:hAnsi="Times New Roman"/>
                <w:sz w:val="12"/>
                <w:szCs w:val="12"/>
                <w:color w:val="auto"/>
              </w:rPr>
              <w:t>Balance at September 30, 2019</w:t>
            </w: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right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22,557,871</w:t>
            </w:r>
          </w:p>
        </w:tc>
        <w:tc>
          <w:tcPr>
            <w:tcW w:w="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23</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236,783</w:t>
            </w:r>
          </w:p>
        </w:tc>
        <w:tc>
          <w:tcPr>
            <w:tcW w:w="8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(134,678)</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102,128</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3"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55"/>
        </w:trPr>
        <w:tc>
          <w:tcPr>
            <w:tcW w:w="764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9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2"/>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(66,554)</w:t>
            </w:r>
          </w:p>
        </w:tc>
        <w:tc>
          <w:tcPr>
            <w:tcW w:w="54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(23,729)</w:t>
            </w: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expense</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2,950</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In-process research and development expenses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25,591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7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2,849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1,237</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Deferred rent and deferred lease incentive</w:t>
            </w:r>
          </w:p>
        </w:tc>
        <w:tc>
          <w:tcPr>
            <w:tcW w:w="2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4,152</w:t>
            </w:r>
          </w:p>
        </w:tc>
        <w:tc>
          <w:tcPr>
            <w:tcW w:w="0" w:type="dxa"/>
            <w:vAlign w:val="bottom"/>
          </w:tcPr>
          <w:p>
            <w:pPr>
              <w:spacing w:after="0"/>
              <w:rPr>
                <w:sz w:val="1"/>
                <w:szCs w:val="1"/>
                <w:color w:val="auto"/>
              </w:rPr>
            </w:pPr>
          </w:p>
        </w:tc>
      </w:tr>
      <w:tr>
        <w:trPr>
          <w:trHeight w:val="22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(34,988)</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(16,159)</w:t>
            </w: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Transaction costs associated with asset acquisition</w:t>
            </w:r>
          </w:p>
        </w:tc>
        <w:tc>
          <w:tcPr>
            <w:tcW w:w="2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issuance of Series A convertible preferred stock, net of issuance costs</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25,322</w:t>
            </w: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Series B convertible preferred stock, net of issuance costs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79,834</w:t>
            </w: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initial public offering of common stock, net of underwriting discounts and commissions</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64,443</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capital lease obligations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issuance of common stock under benefit plans</w:t>
            </w:r>
          </w:p>
        </w:tc>
        <w:tc>
          <w:tcPr>
            <w:tcW w:w="2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64,624</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105,115</w:t>
            </w:r>
          </w:p>
        </w:tc>
        <w:tc>
          <w:tcPr>
            <w:tcW w:w="0" w:type="dxa"/>
            <w:vAlign w:val="bottom"/>
          </w:tcPr>
          <w:p>
            <w:pPr>
              <w:spacing w:after="0"/>
              <w:rPr>
                <w:sz w:val="1"/>
                <w:szCs w:val="1"/>
                <w:color w:val="auto"/>
              </w:rPr>
            </w:pPr>
          </w:p>
        </w:tc>
      </w:tr>
      <w:tr>
        <w:trPr>
          <w:trHeight w:val="22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28,800</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83,441</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73,889</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102,689</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83,848</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180" w:type="dxa"/>
            <w:vAlign w:val="bottom"/>
            <w:gridSpan w:val="2"/>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54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of in process research and development through issuance of stock</w:t>
            </w:r>
          </w:p>
        </w:tc>
        <w:tc>
          <w:tcPr>
            <w:tcW w:w="1180" w:type="dxa"/>
            <w:vAlign w:val="bottom"/>
            <w:gridSpan w:val="2"/>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25,500</w:t>
            </w:r>
          </w:p>
        </w:tc>
        <w:tc>
          <w:tcPr>
            <w:tcW w:w="54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convertible preferred stock into common stock</w:t>
            </w:r>
          </w:p>
        </w:tc>
        <w:tc>
          <w:tcPr>
            <w:tcW w:w="1180" w:type="dxa"/>
            <w:vAlign w:val="bottom"/>
            <w:gridSpan w:val="2"/>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165,136</w:t>
            </w:r>
          </w:p>
        </w:tc>
        <w:tc>
          <w:tcPr>
            <w:tcW w:w="54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purchases unpaid at end of period</w:t>
            </w:r>
          </w:p>
        </w:tc>
        <w:tc>
          <w:tcPr>
            <w:tcW w:w="1180" w:type="dxa"/>
            <w:vAlign w:val="bottom"/>
            <w:gridSpan w:val="2"/>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2,976</w:t>
            </w:r>
          </w:p>
        </w:tc>
        <w:tc>
          <w:tcPr>
            <w:tcW w:w="0" w:type="dxa"/>
            <w:vAlign w:val="bottom"/>
          </w:tcPr>
          <w:p>
            <w:pPr>
              <w:spacing w:after="0"/>
              <w:rPr>
                <w:sz w:val="1"/>
                <w:szCs w:val="1"/>
                <w:color w:val="auto"/>
              </w:rPr>
            </w:pPr>
          </w:p>
        </w:tc>
      </w:tr>
      <w:tr>
        <w:trPr>
          <w:trHeight w:val="234"/>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 costs unpaid at end of period</w:t>
            </w:r>
          </w:p>
        </w:tc>
        <w:tc>
          <w:tcPr>
            <w:tcW w:w="1180" w:type="dxa"/>
            <w:vAlign w:val="bottom"/>
            <w:gridSpan w:val="2"/>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442</w:t>
            </w:r>
          </w:p>
        </w:tc>
        <w:tc>
          <w:tcPr>
            <w:tcW w:w="54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reconciliation of the cash, cash equivalents, and restricted cash balances as of each of the periods shown above: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78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101,597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82,756</w:t>
            </w:r>
          </w:p>
        </w:tc>
      </w:tr>
      <w:tr>
        <w:trPr>
          <w:trHeight w:val="230"/>
        </w:trPr>
        <w:tc>
          <w:tcPr>
            <w:tcW w:w="7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1,092</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1,092</w:t>
            </w: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102,689</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83,848</w:t>
            </w: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Fulcrum Therapeutics, Inc. (the “Company” or “Fulcrum”) was incorporated in Delaware on August 18, 2015. The Company is focused on improving the lives of patients with genetically defined diseases in areas of high unmet medical need, with an initial focus on rare diseases.</w:t>
      </w:r>
    </w:p>
    <w:p>
      <w:pPr>
        <w:spacing w:after="0" w:line="162"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right="280" w:firstLine="518"/>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76"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and footnotes to the financial statements have been prepared on the same basis as the most recently audited annual financial statements and, in the opinion of management, reflect all normal recurring adjustments necessary for the fair presentation of the Company’s financial position as of September 30, 2019 and the results of its operations and its cash flows for the three and nine months ended September 30, 2019 and 2018. The results for the three and nine months ended September 30, 2019 are not necessarily indicative of results to be expected for the year ending December 31, 2019, any other interim periods, or any future year or period. These consolidated financial statements should be read in conjunction with the Company’s audited consolidated financial statements and the notes thereto for the year ended December 31, 2018 included in the Company’s final prospectus for its initial public offering (“IPO”) filed pursuant to Rule 424(b)(4) under the Securities Act of 1933, as amended (the “Securities Act”), with the Securities and Exchange Commission (the “SEC”) on July 18, 2019.</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21" w:lineRule="exact"/>
        <w:rPr>
          <w:sz w:val="20"/>
          <w:szCs w:val="20"/>
          <w:color w:val="auto"/>
        </w:rPr>
      </w:pPr>
    </w:p>
    <w:p>
      <w:pPr>
        <w:ind w:right="40" w:firstLine="518"/>
        <w:spacing w:after="0" w:line="289" w:lineRule="auto"/>
        <w:rPr>
          <w:sz w:val="20"/>
          <w:szCs w:val="20"/>
          <w:color w:val="auto"/>
        </w:rPr>
      </w:pPr>
      <w:r>
        <w:rPr>
          <w:rFonts w:ascii="Times New Roman" w:cs="Times New Roman" w:eastAsia="Times New Roman" w:hAnsi="Times New Roman"/>
          <w:sz w:val="17"/>
          <w:szCs w:val="17"/>
          <w:color w:val="auto"/>
        </w:rPr>
        <w:t>On July 22, 2019, the Company completed an IPO of its common stock and issued and sold 4,500,000 shares of common stock at a public offering price of $16.00 per share, resulting in net proceeds of $64.0 million after deducting underwriting discounts and commissions and estimated offering expenses. Upon the closing of the IPO, all 112,500,000 shares of outstanding preferred stock automatically converted into 16,071,418 shares of common stock.</w:t>
      </w:r>
    </w:p>
    <w:p>
      <w:pPr>
        <w:spacing w:after="0" w:line="158"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In July 2019, the Company effected a one-for-seven reverse stock split of the Company’s issued and outstanding shares of common stock and a proportional adjustment to the existing conversion ratios for each of the Company’s outstanding series of preferred stock. All share and per share amounts in the accompanying consolidated financial statements and notes thereto have been retroactively adjusted for all periods presented to give effect to this reverse stock split, including reclassifying an amount equal to the reduction in par value of common stock to additional paid-in capital.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Company has incurred recurring losses and negative cash flows from operations since inception and has primarily funded its operations with proceeds from the IPO and issuances of convertible notes and convertible preferred stock. As of September 30, 2019, the Company had an accumulated deficit of $134.7 million. The Company expects its operating losses and negative operating cash flows to continue into the foreseeable future as it continues to expand its research and development efforts.</w:t>
      </w:r>
    </w:p>
    <w:p>
      <w:pPr>
        <w:spacing w:after="0" w:line="18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Company believes that its cash and cash equivalents as of September 30, 2019 will be sufficient to fund its operating expenses and capital expenditure requirements for at least twelve months from the date of filing this Quarterly Report on Form 10-Q. The Company will need additional funding to support its planned operating activities. If the Company is unable to obtain additional funding, it would be forced to delay, reduce or eliminate some or all of its research and development programs, product portfolio expansion, or commercialization efforts, which could adversely affect its business prospects.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300" w:firstLine="518"/>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21"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The significant accounting policies and estimates used in the preparation of the accompanying consolidated financial statements are described in the Company’s audited consolidated financial statements for the year ended December 31, 2018 included in the Company’s final prospectus for its IPO filed pursuant to Rule 424(b)(4) under the Securities Act with the SEC on July 18, 2019. There have been no material changes in the Company’s significant accounting policies during the three months ended September 30, 2019.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accrued expenses, stock-based compensation expense, the fair value of the common stock (for periods prior to the completion of the IPO of the Company’s common stock) and convertible preferred stock,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Issuance Costs</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issuances as deferred issuance costs until such equity issuances are consummated. After consummation of the equity issuance, these costs are recorded as a reduction in the capitalized amount associated with the equity issuance. Should the planned financing be abandoned, the deferred issuance costs will be expensed immediately as a charge to operating expenses in the consolidated statement of operations and comprehensive loss.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include costs directly attributable to the conduct of research and development programs, including personnel-related expenses such as salaries, payroll taxes, benefits, and stock-based compensation expense, manufacturing and external costs related to outside vendors engaged to conduct both preclinical studies and clinical trials, laboratory supplies, depreciation on and maintenance of research equipment, and the allocable portions of facility costs, such as rent, utilities, repairs and maintenance, depreciation, and general support services. Expenditures relating to research and development are expensed in the period incurred.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88"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also include in-process research and development (“IPR&amp;D”) expenses, which relate to IPR&amp;D acquired as part of an asset acquisition for which there is no alternative future use. Research and development with no alternative future use is expensed as incurred.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Risk and Concentrations of Credit Risk</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Pronouncements—To Be Adopted</w:t>
      </w:r>
    </w:p>
    <w:p>
      <w:pPr>
        <w:spacing w:after="0" w:line="119" w:lineRule="exact"/>
        <w:rPr>
          <w:sz w:val="20"/>
          <w:szCs w:val="20"/>
          <w:color w:val="auto"/>
        </w:rPr>
      </w:pPr>
    </w:p>
    <w:p>
      <w:pPr>
        <w:ind w:right="40" w:firstLine="518"/>
        <w:spacing w:after="0" w:line="252"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as amended by various subsequently issued ASUs. The standard requires lessees to recognize an operating lease with a term greater than one year on their balance sheets as a right-of-use asset and corresponding lease liability, measured at the present value of the lease payments. Lessees are required to classify leases as either finance or operating leases. If the lease is effectively a financed-purchase by the lessee, it is classified as a financing lease, otherwise it is classified as an operating lease. This classification will determine whether lease expense is recognized based on an effective interest method or on a straight-line basis over the term of the lease. In July 2018, the FASB also issued ASU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xml:space="preserve"> (“ASU 2018-11”), which permits entities to continue applying legacy guidance in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including its disclosure requirements, in the comparative periods presented in the year that the entity adopts the new leasing standard. In October 2019, the FASB tentatively deferred the effective date of the new standard for private companies to fiscal years beginning after December 15, 2020. The final ASU is expected to be issued in November 2019. If the effective date of the standard is deferred, the new standard may become effective for the Company on January 1, 2021. The Company is currently evaluating the impact of the potential deferral of the effective date of the standard with respect to the timing that the standard will become effective for the Company. If the effective date of the standard is not deferred, the new standard will be effective for the Company on January 1, 2020. The Company will apply the transition method permitted by ASU 2018-11. The Company is currently evaluating the effect that adoption of the standard is expected to have on the Company’s consolidated financial statements and related disclosures. The Company expects to take advantage of certain available expedients by electing the transition package of practical expedients permitted within ASU 2016-02, which allows the Company to not reassess previous accounting conclusions around whether arrangements are, or contain, leases, the classification of leases, and the treatment of initial direct costs. The Company also expects to make an accounting policy election to exclude leases with an initial term of twelve months or less from the balance sheet.</w:t>
      </w:r>
    </w:p>
    <w:p>
      <w:pPr>
        <w:spacing w:after="0" w:line="195" w:lineRule="exact"/>
        <w:rPr>
          <w:sz w:val="20"/>
          <w:szCs w:val="20"/>
          <w:color w:val="auto"/>
        </w:rPr>
      </w:pPr>
    </w:p>
    <w:p>
      <w:pPr>
        <w:ind w:right="180" w:firstLine="518"/>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2016-13”). The standard requires that credit losses be reported using an expected losses model rather than the incurred losses model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currently used, and establishes additional disclosures related to credit risks. For available-for-sale debt securities with unrealized losses, this standard requires allowances to be recorded instead of reducing the amortized cost of the investment. The new standard will be effective for the Company on January 1, 2021. The Company is currently evaluating the potential impact that this standard may have on its consolidated financial position and results of operations.</w:t>
      </w:r>
    </w:p>
    <w:p>
      <w:pPr>
        <w:spacing w:after="0" w:line="183"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 xml:space="preserve">In July 2017, the FASB issued ASU No. 2017-11, </w:t>
      </w:r>
      <w:r>
        <w:rPr>
          <w:rFonts w:ascii="Times New Roman" w:cs="Times New Roman" w:eastAsia="Times New Roman" w:hAnsi="Times New Roman"/>
          <w:sz w:val="18"/>
          <w:szCs w:val="18"/>
          <w:i w:val="1"/>
          <w:iCs w:val="1"/>
          <w:color w:val="auto"/>
        </w:rPr>
        <w:t>Earnings Per Share (Topic 260), Distinguishing Liabilities from Equity (Topic 480),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 </w:t>
      </w:r>
      <w:r>
        <w:rPr>
          <w:rFonts w:ascii="Times New Roman" w:cs="Times New Roman" w:eastAsia="Times New Roman" w:hAnsi="Times New Roman"/>
          <w:sz w:val="18"/>
          <w:szCs w:val="18"/>
          <w:color w:val="auto"/>
        </w:rPr>
        <w:t>(“ASU 2017-11”). Part I of the standard applies to entities that issue financial instruments such as warrants, convertible debt or convertible preferred stock that contain down-round features. Part II of the standard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The new standard will be effective for the Company on January 1, 2020. The Company is currently evaluating the impact that the adoption of ASU 2017-11 may have on its consolidated financial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and indicate the level of the fair value hierarchy utilized to determine such fair values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420" w:type="dxa"/>
            <w:vAlign w:val="bottom"/>
            <w:tcBorders>
              <w:bottom w:val="single" w:sz="8" w:color="CFF0FC"/>
            </w:tcBorders>
          </w:tcPr>
          <w:p>
            <w:pPr>
              <w:spacing w:after="0"/>
              <w:rPr>
                <w:sz w:val="13"/>
                <w:szCs w:val="13"/>
                <w:color w:val="auto"/>
              </w:rPr>
            </w:pPr>
          </w:p>
        </w:tc>
        <w:tc>
          <w:tcPr>
            <w:tcW w:w="19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6"/>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1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101,597</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101,597</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101,597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101,597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420" w:type="dxa"/>
            <w:vAlign w:val="bottom"/>
            <w:tcBorders>
              <w:bottom w:val="single" w:sz="8" w:color="CFF0FC"/>
            </w:tcBorders>
          </w:tcPr>
          <w:p>
            <w:pPr>
              <w:spacing w:after="0"/>
              <w:rPr>
                <w:sz w:val="13"/>
                <w:szCs w:val="13"/>
                <w:color w:val="auto"/>
              </w:rPr>
            </w:pPr>
          </w:p>
        </w:tc>
        <w:tc>
          <w:tcPr>
            <w:tcW w:w="19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6"/>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1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72,797</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72,797</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72,797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72,797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9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8"/>
          <w:szCs w:val="18"/>
          <w:color w:val="auto"/>
        </w:rPr>
        <w:t>There have been no transfers between fair value levels during the three or nine months ended September 30, 2019 and 2018.</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1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4,847</w:t>
            </w: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6,174</w:t>
            </w: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13,010</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12,504</w:t>
            </w:r>
          </w:p>
        </w:tc>
      </w:tr>
      <w:tr>
        <w:trPr>
          <w:trHeight w:val="230"/>
        </w:trPr>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w:t>
            </w:r>
          </w:p>
        </w:tc>
      </w:tr>
      <w:tr>
        <w:trPr>
          <w:trHeight w:val="223"/>
        </w:trPr>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9,583</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10,546</w:t>
            </w: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September 30, 2019 and 2018 was $0.5 million and $0.4 million, respectively. Depreciation expense for the nine months ended September 30, 2019 and 2018 was $1.5 million and $0.8 million,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Additional Balance Sheet Detail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47"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120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54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Prepaid sign-on bonuses subject to vesting provisions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 allowance receivable</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receivable</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3"/>
        </w:trPr>
        <w:tc>
          <w:tcPr>
            <w:tcW w:w="66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6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2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54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40" w:type="dxa"/>
            <w:vAlign w:val="bottom"/>
            <w:gridSpan w:val="2"/>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Payroll and benefits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 current portion</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liability, current portion</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purchases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3"/>
        </w:trPr>
        <w:tc>
          <w:tcPr>
            <w:tcW w:w="66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4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Preferred Stock</w:t>
      </w:r>
    </w:p>
    <w:p>
      <w:pPr>
        <w:spacing w:after="0" w:line="121" w:lineRule="exact"/>
        <w:rPr>
          <w:sz w:val="20"/>
          <w:szCs w:val="20"/>
          <w:color w:val="auto"/>
        </w:rPr>
      </w:pPr>
    </w:p>
    <w:p>
      <w:pPr>
        <w:ind w:right="260" w:firstLine="518"/>
        <w:spacing w:after="0" w:line="258" w:lineRule="auto"/>
        <w:rPr>
          <w:sz w:val="20"/>
          <w:szCs w:val="20"/>
          <w:color w:val="auto"/>
        </w:rPr>
      </w:pPr>
      <w:r>
        <w:rPr>
          <w:rFonts w:ascii="Times New Roman" w:cs="Times New Roman" w:eastAsia="Times New Roman" w:hAnsi="Times New Roman"/>
          <w:sz w:val="18"/>
          <w:szCs w:val="18"/>
          <w:color w:val="auto"/>
        </w:rPr>
        <w:t>As of September 30, 2019, 5,000,000 shares of preferred stock were authorized. No shares of preferred stock were issued or outstanding as of September 30, 2019. As of December 31, 2018, 100,000,000 shares of convertible preferred stock were authorized, issued, and outstanding, of which 60,000,000 shares were designated as $0.001 par value Series A convertible preferred stock (the “Series A Preferred Stock”), and 40,000,000 shares were designated as $0.001 par value Series B convertible preferred stock (the “Series B Preferred Stock”, and together with the Series A Preferred Stock, the “Preferred Stock”).</w:t>
      </w:r>
    </w:p>
    <w:p>
      <w:pPr>
        <w:spacing w:after="0" w:line="1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11" w:name="page12"/>
    <w:bookmarkEnd w:id="11"/>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2019, the Company issued 12,500,000 shares of Series B Preferred Stock in connection with the GSK Agreement (Note 9). The rights, privileges, and preferences of the Series B Preferred Stock issued in connection with the GSK Agreement are consistent with the rights, privileges, and preferences of the Series B Preferred Stock issued during the year ended December 31, 2018.</w:t>
      </w:r>
    </w:p>
    <w:p>
      <w:pPr>
        <w:spacing w:after="0" w:line="176"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On July 5, 2019, the Company eliminated the gross proceeds threshold of $45.0 million for a firm-commitment underwritten public offering that would result in the automatic conversion of all outstanding shares of Preferred Stock into common stock.</w:t>
      </w:r>
    </w:p>
    <w:p>
      <w:pPr>
        <w:spacing w:after="0" w:line="162" w:lineRule="exact"/>
        <w:rPr>
          <w:sz w:val="20"/>
          <w:szCs w:val="20"/>
          <w:color w:val="auto"/>
        </w:rPr>
      </w:pPr>
    </w:p>
    <w:p>
      <w:pPr>
        <w:ind w:right="420" w:firstLine="518"/>
        <w:spacing w:after="0" w:line="266" w:lineRule="auto"/>
        <w:rPr>
          <w:sz w:val="20"/>
          <w:szCs w:val="20"/>
          <w:color w:val="auto"/>
        </w:rPr>
      </w:pPr>
      <w:r>
        <w:rPr>
          <w:rFonts w:ascii="Times New Roman" w:cs="Times New Roman" w:eastAsia="Times New Roman" w:hAnsi="Times New Roman"/>
          <w:sz w:val="18"/>
          <w:szCs w:val="18"/>
          <w:color w:val="auto"/>
        </w:rPr>
        <w:t>Upon the completion of the IPO on July 22, 2019, all 112,500,000 shares of outstanding Preferred Stock automatically converted into 16,071,418 shares of common stock. In addition, upon the completion of the IPO, the Company amended and restated its certificate of incorporation to authorize 5,000,000 shares of preferred stock, which shares of preferred stock are currently undesignated.</w:t>
      </w:r>
    </w:p>
    <w:p>
      <w:pPr>
        <w:spacing w:after="0" w:line="176" w:lineRule="exact"/>
        <w:rPr>
          <w:sz w:val="20"/>
          <w:szCs w:val="20"/>
          <w:color w:val="auto"/>
        </w:rPr>
      </w:pPr>
    </w:p>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No dividends have been declared since inception. Aggregate cumulative dividends associated with the Series A Preferred Stock and the Series B Preferred Stock as of December 31, 2018 were $7.2 million and $2.3 million,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12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Common stockholders are entitled to receive dividends, as may be declared by the Company’s board of directors, if any, subject to the preferential dividend rights of any preferred stock then outstanding. No dividends have been declared or paid during the three and nine months ended September 30, 2019 and 2018.</w:t>
      </w:r>
    </w:p>
    <w:p>
      <w:pPr>
        <w:spacing w:after="0" w:line="176"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the Company’s Certificate of Incorporation was amended to increase the number of authorized shares of common stock from 135,000,000 to 200,000,000 shares.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2019 and December 31, 2018 the Company has reserved for future issuance the following number of shares of common stock:</w:t>
      </w: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660" w:type="dxa"/>
            <w:vAlign w:val="bottom"/>
            <w:tcBorders>
              <w:bottom w:val="single" w:sz="8" w:color="CFF0FC"/>
            </w:tcBorders>
          </w:tcPr>
          <w:p>
            <w:pPr>
              <w:spacing w:after="0"/>
              <w:rPr>
                <w:sz w:val="15"/>
                <w:szCs w:val="15"/>
                <w:color w:val="auto"/>
              </w:rPr>
            </w:pPr>
          </w:p>
        </w:tc>
        <w:tc>
          <w:tcPr>
            <w:tcW w:w="1860" w:type="dxa"/>
            <w:vAlign w:val="bottom"/>
            <w:tcBorders>
              <w:bottom w:val="single" w:sz="8" w:color="CFF0FC"/>
            </w:tcBorders>
          </w:tcPr>
          <w:p>
            <w:pPr>
              <w:spacing w:after="0"/>
              <w:rPr>
                <w:sz w:val="15"/>
                <w:szCs w:val="15"/>
                <w:color w:val="auto"/>
              </w:rPr>
            </w:pPr>
          </w:p>
        </w:tc>
        <w:tc>
          <w:tcPr>
            <w:tcW w:w="11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11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conversion of outstanding Series A Preferred Stock</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8,571,427</w:t>
            </w:r>
          </w:p>
        </w:tc>
      </w:tr>
      <w:tr>
        <w:trPr>
          <w:trHeight w:val="23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reserved for conversion of outstanding Series B Preferred Stock</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5,714,277</w:t>
            </w: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Shares reserved for future issuance under the 2016</w:t>
            </w:r>
          </w:p>
        </w:tc>
        <w:tc>
          <w:tcPr>
            <w:tcW w:w="18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Stock Incentive Plan</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919,030</w:t>
            </w:r>
          </w:p>
        </w:tc>
      </w:tr>
      <w:tr>
        <w:trPr>
          <w:trHeight w:val="23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reserved for exercises of outstanding stock options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1,981,457</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507,891</w:t>
            </w: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Shares reserved for future issuance under the 2019</w:t>
            </w:r>
          </w:p>
        </w:tc>
        <w:tc>
          <w:tcPr>
            <w:tcW w:w="18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Stock Incentive Plan</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2,398,391</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w w:val="99"/>
              </w:rPr>
              <w:t>Shares reserved for future issuance under the 2019</w:t>
            </w:r>
          </w:p>
        </w:tc>
        <w:tc>
          <w:tcPr>
            <w:tcW w:w="1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Stock</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3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Purchase Plan</w:t>
            </w:r>
          </w:p>
        </w:tc>
        <w:tc>
          <w:tcPr>
            <w:tcW w:w="1860" w:type="dxa"/>
            <w:vAlign w:val="bottom"/>
            <w:tcBorders>
              <w:bottom w:val="single" w:sz="8" w:color="CFF0FC"/>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252,142</w:t>
            </w:r>
          </w:p>
        </w:tc>
        <w:tc>
          <w:tcPr>
            <w:tcW w:w="120" w:type="dxa"/>
            <w:vAlign w:val="bottom"/>
            <w:tcBorders>
              <w:bottom w:val="single" w:sz="8" w:color="CFF0FC"/>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660" w:type="dxa"/>
            <w:vAlign w:val="bottom"/>
            <w:tcBorders>
              <w:bottom w:val="single" w:sz="8" w:color="CFF0FC"/>
            </w:tcBorders>
            <w:shd w:val="clear" w:color="auto" w:fill="CFF0FC"/>
          </w:tcPr>
          <w:p>
            <w:pPr>
              <w:spacing w:after="0"/>
              <w:rPr>
                <w:sz w:val="19"/>
                <w:szCs w:val="19"/>
                <w:color w:val="auto"/>
              </w:rPr>
            </w:pPr>
          </w:p>
        </w:tc>
        <w:tc>
          <w:tcPr>
            <w:tcW w:w="18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4,631,990</w:t>
            </w:r>
          </w:p>
        </w:tc>
        <w:tc>
          <w:tcPr>
            <w:tcW w:w="1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15,712,625</w:t>
            </w:r>
          </w:p>
        </w:tc>
      </w:tr>
      <w:tr>
        <w:trPr>
          <w:trHeight w:val="20"/>
        </w:trPr>
        <w:tc>
          <w:tcPr>
            <w:tcW w:w="3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Stock Incentive Plan</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The total number of shares of common stock that were authorized for issuance under the 2016 Plan as of December 31, 2018 was 3,209,285. As of the effective date of the 2019 Stock Incentive Plan (the “2019 Plan”), and as of September 30, 2019, no shares remained available for future issuance under the 2016 Plan. Any options or awards outstanding under the 2016 Plan remain outstanding and effective.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2019 Stock Incentive Plan</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is 2,017,142 shares, plus the shares of common stock remaining available for issuance under the 2016 Plan as of July 17, 2019. The number of shares reserved shall be annually increased on January 1, 2020 and each January 1 thereafter through January 1, 2029 by the least of (i) 2,000,000 shares, (ii) 4% of the number of shares of the Company’s common stock outstanding on the first day of the such year or (iii) an amount determined by the Company’s board of directors. As of September 30, 2019, there were 2,398,391 shares available for future issuance under the 2019 Plan.</w:t>
      </w:r>
    </w:p>
    <w:p>
      <w:pPr>
        <w:spacing w:after="0" w:line="189"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w:t>
      </w:r>
    </w:p>
    <w:p>
      <w:pPr>
        <w:spacing w:after="0" w:line="176"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For financial reporting purposes, the Company performed common stock valuations with the assistance of a third-party specialist as of May 10, 2019, March 15, 2019, November 30, 2018, August 24, 2018, June 1, 2018, December 31, 2017, and December 31, 2016 to determine stock-based compensation expense for restricted stock awards and stock options. Upon completion of the IPO, the fair value of the common stock on the grant date was based on the closing price of the stock on the date of grant.</w:t>
      </w:r>
    </w:p>
    <w:p>
      <w:pPr>
        <w:spacing w:after="0" w:line="180"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Shares of common stock repurchased from employees and non-employees are shares held in the Company’s treasury (“Treasury Shares”). The board of directors may, at its discretion, authorize that the Treasury Shares be returned to the pool of authorized but unissued common stock.</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activity under the 2019 Plan and 2016 Plan since December 31, 2018:</w:t>
      </w: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12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548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12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2018</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757,022</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(280,833)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Repurchased</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(56,324)</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September 30, 2019</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419,865</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under the 2019 Plan and 2016 Plan since December 31, 2018:</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2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4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1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12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507,891</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367,427</w:t>
            </w: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1,516,294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(33,561)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Cancelled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ind w:right="14"/>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September 30, 2019</w:t>
            </w: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1,981,457</w:t>
            </w:r>
          </w:p>
        </w:tc>
        <w:tc>
          <w:tcPr>
            <w:tcW w:w="280" w:type="dxa"/>
            <w:vAlign w:val="bottom"/>
            <w:tcBorders>
              <w:bottom w:val="single" w:sz="8" w:color="CFF0FC"/>
            </w:tcBorders>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9.38</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202,742</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September 30, 2019</w:t>
            </w: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Pr>
          <w:p>
            <w:pPr>
              <w:spacing w:after="0" w:line="20" w:lineRule="exact"/>
              <w:rPr>
                <w:sz w:val="1"/>
                <w:szCs w:val="1"/>
                <w:color w:val="auto"/>
              </w:rPr>
            </w:pPr>
          </w:p>
        </w:tc>
        <w:tc>
          <w:tcPr>
            <w:tcW w:w="1140" w:type="dxa"/>
            <w:vAlign w:val="bottom"/>
            <w:vMerge w:val="restart"/>
          </w:tcPr>
          <w:p>
            <w:pPr>
              <w:jc w:val="right"/>
              <w:ind w:right="42"/>
              <w:spacing w:after="0"/>
              <w:rPr>
                <w:sz w:val="20"/>
                <w:szCs w:val="20"/>
                <w:color w:val="auto"/>
              </w:rPr>
            </w:pPr>
            <w:r>
              <w:rPr>
                <w:rFonts w:ascii="Times New Roman" w:cs="Times New Roman" w:eastAsia="Times New Roman" w:hAnsi="Times New Roman"/>
                <w:sz w:val="18"/>
                <w:szCs w:val="18"/>
                <w:color w:val="auto"/>
              </w:rPr>
              <w:t>9.23</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ind w:right="39"/>
              <w:spacing w:after="0"/>
              <w:rPr>
                <w:sz w:val="20"/>
                <w:szCs w:val="20"/>
                <w:color w:val="auto"/>
              </w:rPr>
            </w:pPr>
            <w:r>
              <w:rPr>
                <w:rFonts w:ascii="Times New Roman" w:cs="Times New Roman" w:eastAsia="Times New Roman" w:hAnsi="Times New Roman"/>
                <w:sz w:val="18"/>
                <w:szCs w:val="18"/>
                <w:color w:val="auto"/>
              </w:rPr>
              <w:t>72,559</w:t>
            </w: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193,292</w:t>
            </w:r>
          </w:p>
        </w:tc>
        <w:tc>
          <w:tcPr>
            <w:tcW w:w="28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20" w:firstLine="518"/>
        <w:spacing w:after="0" w:line="313" w:lineRule="auto"/>
        <w:rPr>
          <w:sz w:val="20"/>
          <w:szCs w:val="20"/>
          <w:color w:val="auto"/>
        </w:rPr>
      </w:pPr>
      <w:r>
        <w:rPr>
          <w:rFonts w:ascii="Times New Roman" w:cs="Times New Roman" w:eastAsia="Times New Roman" w:hAnsi="Times New Roman"/>
          <w:sz w:val="17"/>
          <w:szCs w:val="17"/>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3" w:name="page14"/>
    <w:bookmarkEnd w:id="13"/>
    <w:p>
      <w:pPr>
        <w:ind w:firstLine="518"/>
        <w:spacing w:after="0" w:line="256"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during the three and nine months ended September 30, 2019 was $10.36 per share and $6.97 per share, respectively. The weighted average grant date fair value of stock options granted during the three and nine months ended September 30, 2018 was $3.49 per share and $3.47 per share, respectively. The aggregate intrinsic value of stock options exercised during the three and nine months ended September 30, 2019 was less than $0.1 million and $0.2 million, respectively. No stock options were exercised during the three and nine months ended September 30, 2018. The fair value of stock options granted during the three and nine months ended September 30, 2019 and 2018 under the 2019 Plan and the 2016 Plan has been calculated on the date of grant using the following weighted average assumptions:</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49"/>
        </w:trPr>
        <w:tc>
          <w:tcPr>
            <w:tcW w:w="510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510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5100" w:type="dxa"/>
            <w:vAlign w:val="bottom"/>
            <w:tcBorders>
              <w:bottom w:val="single" w:sz="8" w:color="CFF0FC"/>
            </w:tcBorders>
          </w:tcPr>
          <w:p>
            <w:pPr>
              <w:spacing w:after="0"/>
              <w:rPr>
                <w:sz w:val="15"/>
                <w:szCs w:val="15"/>
                <w:color w:val="auto"/>
              </w:rPr>
            </w:pPr>
          </w:p>
        </w:tc>
        <w:tc>
          <w:tcPr>
            <w:tcW w:w="12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FF0FC"/>
            </w:tcBorders>
          </w:tcPr>
          <w:p>
            <w:pPr>
              <w:spacing w:after="0"/>
              <w:rPr>
                <w:sz w:val="15"/>
                <w:szCs w:val="15"/>
                <w:color w:val="auto"/>
              </w:rPr>
            </w:pPr>
          </w:p>
        </w:tc>
        <w:tc>
          <w:tcPr>
            <w:tcW w:w="12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Borders>
              <w:bottom w:val="single" w:sz="8" w:color="CFF0FC"/>
            </w:tcBorders>
          </w:tcPr>
          <w:p>
            <w:pPr>
              <w:spacing w:after="0"/>
              <w:rPr>
                <w:sz w:val="15"/>
                <w:szCs w:val="15"/>
                <w:color w:val="auto"/>
              </w:rPr>
            </w:pPr>
          </w:p>
        </w:tc>
        <w:tc>
          <w:tcPr>
            <w:tcW w:w="12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5"/>
                <w:szCs w:val="15"/>
                <w:color w:val="auto"/>
              </w:rPr>
            </w:pPr>
          </w:p>
        </w:tc>
        <w:tc>
          <w:tcPr>
            <w:tcW w:w="12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43"/>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2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Grants Outside of Stock Incentive Plans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activity outside of the 2019 Plan and 2016 Plan since December 31, 2018:</w:t>
      </w: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12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548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12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2018</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446,789</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(84,106)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Repurchased</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September 30, 2019</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362,683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all restricted stock awards that vested during the three and nine months ended September 30, 2019 was $0.6 million and $3.0 million,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The total compensation cost recognized in the statements of operations associated with all stock-based compensation awards granted by the Company is as follows (in thousands):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3"/>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0" w:type="dxa"/>
            <w:vAlign w:val="bottom"/>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r>
      <w:tr>
        <w:trPr>
          <w:trHeight w:val="156"/>
        </w:trPr>
        <w:tc>
          <w:tcPr>
            <w:tcW w:w="5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39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39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1,398</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808</w:t>
            </w:r>
          </w:p>
        </w:tc>
      </w:tr>
      <w:tr>
        <w:trPr>
          <w:trHeight w:val="230"/>
        </w:trPr>
        <w:tc>
          <w:tcPr>
            <w:tcW w:w="5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589</w:t>
            </w:r>
          </w:p>
        </w:tc>
      </w:tr>
      <w:tr>
        <w:trPr>
          <w:trHeight w:val="223"/>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1,179</w:t>
            </w:r>
          </w:p>
        </w:tc>
        <w:tc>
          <w:tcPr>
            <w:tcW w:w="1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2,950</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1,397</w:t>
            </w: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As of September 30, 2019, the Company had an aggregate of $13.1 million of unrecognized stock-based compensation expense, which is expected to be recognized over a weighted average period of 3.32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12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On July 2, 2019, the Company’s stockholders approved the 2019 Employee Stock Purchase Plan (the “ESPP”), which became effective on July 17, 2019. A total of 252,142 shares of common stock were reserved for issuance under the ESPP. In addition, the number of shares of common stock reserved under the ESPP shall be annually increased on January 1, 2020, and each January 1 thereafter through January 1, 2029, by the least of (i) 428,571 shares of common stock, (ii) 1% of the number of shares of the Company’s common stock outstanding on the first day of each such year or (iii) an amount determined by the Company’s board of directors.</w:t>
      </w:r>
    </w:p>
    <w:p>
      <w:pPr>
        <w:spacing w:after="0" w:line="1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3"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9. Asset Acquisition</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In February 2019, the Company entered into a right of reference and license agreement (the “GSK Agreement”) with subsidiaries of GlaxoSmithKline plc (collectively referred to as “GSK”), pursuant to which the Company has been granted an exclusive worldwide license to develop and commercialize losmapimod. Under the GSK Agreement, the Company also acquired reference rights to relevant regulatory and manufacturing documents 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GSK Agreement, the Company issued 12,500,000 million shares of Series B Preferred Stock to GSK with an estimated fair value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$25.5 million, or $2.04 per share, which was determined with the assistance of a third-party specialist contemporaneously with the issuance of the Series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to GSK. In addition, the Company may owe GSK up to $37.5 million in certain specified clinical and regulatory milestones, of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million is due upon the initiation of a Phase 2 clinical trial, and up to $60.0 million in certain specified sales milestones. The Company has agreed to pay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tiered royalties on annual net sales of losmapimod that range from mid single-digit percentages to a low double-digit, but less than teens, percentage.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royalties are payable on a product-by-product and country-by-country basis, and may be reduced in specified circumstances. The Company also incurred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 million of direct expenses related to the transaction, which the Company included in the total consideration for the transaction. In August 2019,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million milestone due upon the initiation of a Phase 2 clinical trial was achieved and became payable. The Company recorded the $2.5 million milestone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upon the initiation of a Phase 2 clinical trial as research and development expense in the Company’s consolidated statement of operations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loss for the three and nine months ended September 30, 2019.</w:t>
      </w:r>
    </w:p>
    <w:p>
      <w:pPr>
        <w:spacing w:after="0" w:line="207"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 regulatory agency.</w:t>
      </w:r>
    </w:p>
    <w:p>
      <w:pPr>
        <w:spacing w:after="0" w:line="180"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The Company concluded the arrangement did not result in the acquisition of a business, as substantially all of the fair value of the gross assets acquired was concentrated in a single in-process research and development asset, losmapimod. In addition, the Company did not obtain any substantive processes in connection to the GSK Agreement and losmapimod was not generating revenue at the time the GSK Agreement was executed. Therefore, the Company accounted for the arrangement as an asset acquisition. The Company also concluded that the acquired assets do not have an alternative future use, and therefore the fair value attributable to the GSK Agreement of $25.6 million, inclusive of transaction costs, was recorded as in-process research and development expense (a component of research and development expenses) in the Company’s consolidated statement of operations and comprehensive loss for the nine months ended September 30, 2019, which is the period in which the Company obtained (i) the license to losmapimod, (ii) the right to reference relevant regulatory and manufacturing documents, and (iii) GSK’s existing supply of losmapimod drug substance and product. Additionally, the Company will recognize clinical and regulatory milestone payments when the underlying contingency is resolved and the consideration is paid or becomes payable. The milestone payments will be capitalized or expensed depending on the nature of the associated asset as of the date of recognition. The Company will record sales milestone payments and royalties as additional expense of the related product sales in the period in which the corresponding sales occur.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jc w:val="both"/>
        <w:ind w:right="100" w:firstLine="518"/>
        <w:spacing w:after="0" w:line="266" w:lineRule="auto"/>
        <w:rPr>
          <w:sz w:val="20"/>
          <w:szCs w:val="20"/>
          <w:color w:val="auto"/>
        </w:rPr>
      </w:pPr>
      <w:r>
        <w:rPr>
          <w:rFonts w:ascii="Times New Roman" w:cs="Times New Roman" w:eastAsia="Times New Roman" w:hAnsi="Times New Roman"/>
          <w:sz w:val="18"/>
          <w:szCs w:val="18"/>
          <w:color w:val="auto"/>
        </w:rPr>
        <w:t>In May 2016, the Company entered into a sublease agreement for approximately 8,143 square feet of office and laboratory space at its prior corporate headquarters in Cambridge, Massachusetts. The sublease for this space terminated on June 30, 2018. Rent expense associated with this sublease for the nine months ended September 30, 2018 was $0.1 million.</w:t>
      </w:r>
    </w:p>
    <w:p>
      <w:pPr>
        <w:spacing w:after="0" w:line="176"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In November 2017, the Company entered into a lease agreement for its current corporate headquarters for approximately 28,731 square feet of office and laboratory space in Cambridge, Massachusetts. The lease has a total commitment of $25.1 million over the ten year term, and includes escalating rent payments.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w:t>
      </w:r>
    </w:p>
    <w:p>
      <w:pPr>
        <w:spacing w:after="0" w:line="3"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September 30, 2019 and December 31, 2018. Rent expense associated with this lease for each of the three months ended September 30, 2019 and 2018 was approximately $0.5 million. Rent expense associated with this lease for each of the nine months ended September 30, 2019 and 2018 was approximately $1.4 million.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15" w:name="page16"/>
    <w:bookmarkEnd w:id="15"/>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The future minimum lease payments associated with the lease for the Company’s current headquarters as of September 30, 2019, are as follows (in thousands):</w:t>
      </w:r>
    </w:p>
    <w:p>
      <w:pPr>
        <w:spacing w:after="0" w:line="207"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r>
              <w:rPr>
                <w:rFonts w:ascii="Times New Roman" w:cs="Times New Roman" w:eastAsia="Times New Roman" w:hAnsi="Times New Roman"/>
                <w:sz w:val="15"/>
                <w:szCs w:val="15"/>
                <w:color w:val="auto"/>
              </w:rPr>
              <w:t>(1)</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w:t>
            </w: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w:t>
            </w:r>
          </w:p>
        </w:tc>
      </w:tr>
      <w:tr>
        <w:trPr>
          <w:trHeight w:val="230"/>
        </w:trPr>
        <w:tc>
          <w:tcPr>
            <w:tcW w:w="5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12,187</w:t>
            </w:r>
          </w:p>
        </w:tc>
      </w:tr>
      <w:tr>
        <w:trPr>
          <w:trHeight w:val="223"/>
        </w:trPr>
        <w:tc>
          <w:tcPr>
            <w:tcW w:w="5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22,309</w:t>
            </w:r>
          </w:p>
        </w:tc>
      </w:tr>
      <w:tr>
        <w:trPr>
          <w:trHeight w:val="20"/>
        </w:trPr>
        <w:tc>
          <w:tcPr>
            <w:tcW w:w="5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8750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164"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for the three months ending December 31, 2019.</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121"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The Company has agreements with third parties in the normal course of business under which it can license certain developed technologies. If the Company exercises its rights to license the technologies it may be subject to additional fees and milestone payments. As of September 30, 2019, the Company has not exercised its rights to license such technologies.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right="160" w:firstLine="518"/>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September 30, 2019 or December 31, 2018.</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during the three or nine months ended September 30, 2019 and 2018.</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Defined Contribution Plan</w:t>
      </w:r>
    </w:p>
    <w:p>
      <w:pPr>
        <w:spacing w:after="0" w:line="121"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and has not made any contributions to the 401(k)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calculation of diluted net loss per share attributable to common stockholders for the periods indicated because including them would have had an anti-dilutive effect:</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24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20" w:type="dxa"/>
            <w:vAlign w:val="bottom"/>
            <w:gridSpan w:val="3"/>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100" w:type="dxa"/>
            <w:vAlign w:val="bottom"/>
          </w:tcPr>
          <w:p>
            <w:pPr>
              <w:spacing w:after="0"/>
              <w:rPr>
                <w:sz w:val="15"/>
                <w:szCs w:val="15"/>
                <w:color w:val="auto"/>
              </w:rPr>
            </w:pPr>
          </w:p>
        </w:tc>
        <w:tc>
          <w:tcPr>
            <w:tcW w:w="24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20" w:type="dxa"/>
            <w:vAlign w:val="bottom"/>
            <w:gridSpan w:val="3"/>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56"/>
        </w:trPr>
        <w:tc>
          <w:tcPr>
            <w:tcW w:w="310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7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bottom w:val="single" w:sz="8" w:color="CFF0FC"/>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7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bottom w:val="single" w:sz="8" w:color="CFF0FC"/>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8,571,427</w:t>
            </w: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8,571,427</w:t>
            </w:r>
          </w:p>
        </w:tc>
      </w:tr>
      <w:tr>
        <w:trPr>
          <w:trHeight w:val="23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5,714,277</w:t>
            </w:r>
          </w:p>
        </w:tc>
        <w:tc>
          <w:tcPr>
            <w:tcW w:w="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5,714,277</w:t>
            </w:r>
          </w:p>
        </w:tc>
      </w:tr>
      <w:tr>
        <w:trPr>
          <w:trHeight w:val="230"/>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1,981,457</w:t>
            </w: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117,056</w:t>
            </w: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1,981,457</w:t>
            </w: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117,056</w:t>
            </w:r>
          </w:p>
        </w:tc>
      </w:tr>
      <w:tr>
        <w:trPr>
          <w:trHeight w:val="230"/>
        </w:trPr>
        <w:tc>
          <w:tcPr>
            <w:tcW w:w="3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782,548</w:t>
            </w:r>
          </w:p>
        </w:tc>
        <w:tc>
          <w:tcPr>
            <w:tcW w:w="8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1,447,349</w:t>
            </w:r>
          </w:p>
        </w:tc>
        <w:tc>
          <w:tcPr>
            <w:tcW w:w="8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782,548</w:t>
            </w:r>
          </w:p>
        </w:tc>
        <w:tc>
          <w:tcPr>
            <w:tcW w:w="8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1,447,349</w:t>
            </w:r>
          </w:p>
        </w:tc>
      </w:tr>
      <w:tr>
        <w:trPr>
          <w:trHeight w:val="223"/>
        </w:trPr>
        <w:tc>
          <w:tcPr>
            <w:tcW w:w="3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2,764,005</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15,850,109</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2,764,005</w:t>
            </w:r>
          </w:p>
        </w:tc>
        <w:tc>
          <w:tcPr>
            <w:tcW w:w="8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15,850,109</w:t>
            </w:r>
          </w:p>
        </w:tc>
      </w:tr>
      <w:tr>
        <w:trPr>
          <w:trHeight w:val="20"/>
        </w:trPr>
        <w:tc>
          <w:tcPr>
            <w:tcW w:w="3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Related-Party Transactions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2019 and 2018, the Company paid fees to Third Rock Ventures, LLC (“TRV”), an affiliate of one of the Company’s principal stockholders, in exchange for consulting services. The Company recorded expenses related to such fees of less than $0.1 million during each of the nine months ended September 30, 2019 and 2018, and less than $0.1 million during the three months ended September 30, 2018. The Company did not record expenses related to such fees during the three months ended September 30, 2019. As of December 31, 2018, there was less than $0.1 million of amounts due to TRV for such services that were included in accounts payable and accrued expenses. As of September 30, 2019, there were no amounts due to TRV for such services that were included in accounts payable and accrued expenses. Additionally, consultants that provide services to the Company are employees of TRV. The Company has issued an aggregate of 142,284 shares of common stock to these consultants in exchange for their continuing consulting services.</w:t>
      </w:r>
    </w:p>
    <w:p>
      <w:pPr>
        <w:spacing w:after="0" w:line="185"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2018, the Company recorded other income of $0.4 million related to the sale of drug material to an entity affiliated with TRV.</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related notes appearing elsewhere in this Quarterly Report on Form 10-Q and our final prospectus for our initial public offering filed pursuant to Rule 424(b)(4) under the Securities Act of 1933, as amended, or the Securities Act, with the Securities and Exchange Commission, or SEC, on July 18, 2019.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improving the lives of patients with genetically defined diseases in areas of high unmet medical need, with an initial focus on rare diseases.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 We have identified drug targets to treat the root causes of facioscapulohumeral muscular dystrophy, or FSHD, and certain hemoglobinopathies, namely sickle cell disease, or SCD, and ß-thalassemia. In August 2019, we initiated a Phase 2b clinical trial and a Phase 2 open label clinical trial of losmapimod, our product candidate for FSHD, to evaluate the efficacy and safety of losmapimod in addressing the underlying cause of FSHD.</w:t>
      </w:r>
    </w:p>
    <w:p>
      <w:pPr>
        <w:spacing w:after="0" w:line="189"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We commenced a Phase 1 clinical trial in February 2019 to obtain safety and tolerability data for losmapimod in patients with FSHD and announced preliminary results from this Phase 1 clinical trial in October 2019. The primary objective of the trial was to investigate the safety and tolerability of losmapimod in healthy volunteers and in FSHD patients. The secondary objective was to evaluate repeated dose pharmacokinetics, or PK, and target engagement, or TE, in FSHD patients. In the first cohort, 10 healthy volunteers were randomized to a single oral dose of losmapimod 7.5 mg (n=8) followed by a single oral dose of 15 mg after a wash out period or to single oral dose placebo (n=2) in both dosing periods. In the second cohort, 15 FSHD patients were randomized and treated with placebo (n=3) or losmapimod 7.5 mg (n=6) or 15 mg (n=6) taken orally twice daily for 14 days. Losmapimod was well tolerated with no serious adverse events reported. Similar tolerability, safety and PK were observed in healthy volunteers and patients with FSHD. Treatment with losmapimod demonstrated dose-dependent PK and TE in blood. FSHD patients treated with losmapimod also achieved dose-dependent concentrations in skeletal muscle, with a muscle to plasma exposure ratio of approximately 1:1. The losmapimod 15 mg dose taken orally twice daily demonstrated sustained drug concentrations that in preclinical models with human FSHD myotubes resulted in a robust reduction of DUX4-driven gene expression. Analysis of target engagement in muscle is ongoing. These data support the selection of the 15 mg dose of losmapimod taken orally twice daily in our ongoing Phase 2b placebo-controlled clinical trial and Phase 2 open label clinical trial of losmapimod.</w:t>
      </w:r>
    </w:p>
    <w:p>
      <w:pPr>
        <w:spacing w:after="0" w:line="19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plan to submit an investigational new drug application, or IND, for FTX-6058, our product candidate for certain hemoglobinopathies, in mid-2020. FTX-6058 is a novel upregulator of fetal hemoglobin. In pre-clinical research, treatment with FTX-6058 was shown to increase HbF levels to ~30% of total hemoglobin as measured by HPLC and mass spectrometry methods in human erythroid progenitor cells from multiple donors. FTX-6058 also elevated HbF in vivo in animal models at plasma concentrations reasonably expected to be achieved in humans.</w:t>
      </w:r>
    </w:p>
    <w:p>
      <w:pPr>
        <w:spacing w:after="0" w:line="180"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Since inception, our operations have focused on organizing and staffing our company, business planning, raising capital, establishing our intellectual property, building our discovery platform, including our proprietary compound library and product engine, identifying drug targets and potential product candidates, in-licensing assets, producing drug substance and drug product material for use in clinical trials and conducting pre-clinical studies and early clinical trials. To date, we have funded our operations primarily through the issuance of common stock in our initial public offering, or IPO, convertible notes, and convertible preferred stock. On July 22, 2019, we completed an IPO of our common stock and issued and sold 4,500,000 shares of common stock at a public offering price of $16.00 per share, resulting in net proceeds of $64.0 million after deducting underwriting discounts and commissions and estimated offering expenses. Upon completion of the IPO, all 112,500,000 shares of outstanding convertible preferred stock automatically converted into 16,071,418 shares of common stock.</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8" w:name="page19"/>
    <w:bookmarkEnd w:id="18"/>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we expect to continue to incur significant operating losses for the foreseeable future. Our ability to generate product revenue sufficient to achieve profitability, if ever, will depend heavily on the successful development and eventual commercialization of one or more of our product candidates. Our net losses were $16.5 million and $66.6 million for the three and nine months ended September 30, 2019, respectively, and $8.9 million and $23.7 million for the three and nine months ended September 30, 2018, respectively. As of September 30, 2019, we had an accumulated deficit of $134.7 million. We expect our expenses and operating losses will increase substantially over the next several years in connection with our ongoing activities, as we:</w:t>
      </w:r>
    </w:p>
    <w:p>
      <w:pPr>
        <w:spacing w:after="0" w:line="80" w:lineRule="exact"/>
        <w:rPr>
          <w:sz w:val="20"/>
          <w:szCs w:val="20"/>
          <w:color w:val="auto"/>
        </w:rPr>
      </w:pPr>
    </w:p>
    <w:p>
      <w:pPr>
        <w:ind w:left="900" w:hanging="379"/>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losmapimod, including our ongoing Phase 1, Phase 2b, and Phase 2 open label clinical trials;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IND-enabling studies and prepare for a planned Phase 1 clinical trial of FTX-6058;</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clinical-stage product candidates into later stage trials;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discovery of drug targets for other rare diseases and the subsequent development of any resulting product candidates;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900" w:right="420" w:hanging="379"/>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regulatory approval;</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product candidates, technologies and/or data referencing rights;</w:t>
      </w:r>
    </w:p>
    <w:p>
      <w:pPr>
        <w:spacing w:after="0" w:line="117" w:lineRule="exact"/>
        <w:rPr>
          <w:rFonts w:ascii="Times New Roman" w:cs="Times New Roman" w:eastAsia="Times New Roman" w:hAnsi="Times New Roman"/>
          <w:sz w:val="18"/>
          <w:szCs w:val="18"/>
          <w:color w:val="auto"/>
        </w:rPr>
      </w:pPr>
    </w:p>
    <w:p>
      <w:pPr>
        <w:ind w:left="900" w:right="140" w:hanging="379"/>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milestone payments to affiliates of GlaxoSmithKline plc, or GSK, under our right of reference and license agreement with GSK upon the achievement of specified clinical or regulatory milestones;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and</w:t>
      </w:r>
    </w:p>
    <w:p>
      <w:pPr>
        <w:spacing w:after="0" w:line="117" w:lineRule="exact"/>
        <w:rPr>
          <w:rFonts w:ascii="Times New Roman" w:cs="Times New Roman" w:eastAsia="Times New Roman" w:hAnsi="Times New Roman"/>
          <w:sz w:val="18"/>
          <w:szCs w:val="18"/>
          <w:color w:val="auto"/>
        </w:rPr>
      </w:pPr>
    </w:p>
    <w:p>
      <w:pPr>
        <w:ind w:left="900" w:right="380" w:hanging="379"/>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62"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188"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drug development, we are unable to predict the timing or amount of increased expenses or the timing of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0"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As of September 30, 2019, we had $101.6 million in cash and cash equivalents. We believe that our existing cash and cash equivalents will enable us to fund our operating expenses and capital expenditure requirements into the third quarter of 2021. We have based this estimate on assumptions that may prove to be wrong, and we could exhaust our available capital resources sooner than we expect. See “—Liquidity and Capital Resources.”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20" w:firstLine="518"/>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from product sales and do not expect to generate any revenue from the sale of products for several years, if at all. If our development efforts for our current or future product candidates are successful and result in marketing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19" w:name="page20"/>
    <w:bookmarkEnd w:id="19"/>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We may also in the future enter into license or collaboration agreements for our product candidates or intellectual property, and we may generate revenue in the future from payments as a result of such license or collaboration agreements.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by us for the discovery, development, and manufacture of our product candidates and include:</w:t>
      </w:r>
    </w:p>
    <w:p>
      <w:pPr>
        <w:spacing w:after="0" w:line="54" w:lineRule="exact"/>
        <w:rPr>
          <w:sz w:val="20"/>
          <w:szCs w:val="20"/>
          <w:color w:val="auto"/>
        </w:rPr>
      </w:pPr>
    </w:p>
    <w:p>
      <w:pPr>
        <w:ind w:left="900" w:right="240" w:hanging="379"/>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or CROs, contract manufacturing organizations, or CMOs, and consultants;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payroll taxes, employee benefits and stock-based compensation expenses for individuals involved in research and development efforts;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w:t>
      </w:r>
    </w:p>
    <w:p>
      <w:pPr>
        <w:spacing w:after="0" w:line="117" w:lineRule="exact"/>
        <w:rPr>
          <w:rFonts w:ascii="Times New Roman" w:cs="Times New Roman" w:eastAsia="Times New Roman" w:hAnsi="Times New Roman"/>
          <w:sz w:val="18"/>
          <w:szCs w:val="18"/>
          <w:color w:val="auto"/>
        </w:rPr>
      </w:pPr>
    </w:p>
    <w:p>
      <w:pPr>
        <w:ind w:left="900" w:right="180" w:hanging="379"/>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in-process research and development, or IPR&amp;D, expenses, which relate to IPR&amp;D acquired as part of an asset acquisition for which there is no alternative future use;</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900" w:right="60" w:hanging="379"/>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other operating costs.</w:t>
      </w:r>
    </w:p>
    <w:p>
      <w:pPr>
        <w:spacing w:after="0" w:line="162"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88"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w:t>
      </w:r>
    </w:p>
    <w:p>
      <w:pPr>
        <w:spacing w:after="0" w:line="180"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following table summarizes our external research and development expenses by program following nomination as a development candidate for the three and nine months ended September 30, 2019 and 2018. Pre-development candidate expenses, unallocated expenses and internal research and development expenses are classified separately. Losmapimod external expenses include IPR&amp;D expenses. We nominated FTX-6058 as a development candidate in the third quarter of 2019.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0" w:type="dxa"/>
            <w:vAlign w:val="bottom"/>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36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39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39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Losmapimod external expenses</w:t>
            </w:r>
          </w:p>
        </w:tc>
        <w:tc>
          <w:tcPr>
            <w:tcW w:w="5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5,492</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36,367</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1,616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FTX-6058 external expenses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Pre-development candidate expenses and unallocated expenses</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3,413</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4,047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12,113</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10,370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5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3,208</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2,238</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9,122</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6,338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5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13,496</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6,963</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58,985</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18,324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20" w:name="page21"/>
    <w:bookmarkEnd w:id="20"/>
    <w:p>
      <w:pPr>
        <w:ind w:firstLine="518"/>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72" w:lineRule="exact"/>
        <w:rPr>
          <w:sz w:val="20"/>
          <w:szCs w:val="20"/>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necessary to complete clinical development of and commercialize our product candidates;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ones;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17" w:lineRule="exact"/>
        <w:rPr>
          <w:rFonts w:ascii="Times New Roman" w:cs="Times New Roman" w:eastAsia="Times New Roman" w:hAnsi="Times New Roman"/>
          <w:sz w:val="18"/>
          <w:szCs w:val="18"/>
          <w:color w:val="auto"/>
        </w:rPr>
      </w:pPr>
    </w:p>
    <w:p>
      <w:pPr>
        <w:ind w:left="900" w:right="220" w:hanging="379"/>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U.S. Food and Drug Administration, or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and active pharmaceutical ingredient, or API, for use in production of our product candidates;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operate a manufacturing facility, or secure manufacturing supply through relationships with third parties;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consistently manufacture our product candidates in quantities sufficient for use in clinical trials;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enforce, defend and protect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 candidates, if and when approved;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coverage and adequate reimbursement for our product candidates, if approved;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products;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our products following receipt of any regulatory approvals.</w:t>
      </w:r>
    </w:p>
    <w:p>
      <w:pPr>
        <w:spacing w:after="0" w:line="225"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162"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We expect our research and development expenses to increase significantly in future periods as we continue to implement our business strategy, which includes advancing losmapimod and FTX-6058 through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320" w:firstLine="51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180"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We expect our general and administrative expenses will increase for the foreseeable future to support our expanded infrastructure and increased costs of expanding our operations and operating as a public company. These increases will likely include increased expenses related to accounting,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Other income, net consists primarily of interest income related to our investments in cash equivalents and proceeds from the sale of drug material to a third party during February 2018.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2019 and 2018</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following summarizes our results of operations for the three months ended September 30, 2019 and 2018, along with the changes in those items in dollars: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13,496</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6,963</w:t>
            </w:r>
          </w:p>
        </w:tc>
        <w:tc>
          <w:tcPr>
            <w:tcW w:w="3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3,510</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2,125</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17,006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9,088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7,918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(17,006)</w:t>
            </w: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(9,088)</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(16,542)</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(8,943)</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increased by $6.5 million from $7.0 million for the three months ended September 30, 2018 to $13.5 million for the three months ended September 30, 2019. The increase in research and development expense was primarily attributable to the following:</w:t>
      </w:r>
    </w:p>
    <w:p>
      <w:pPr>
        <w:spacing w:after="0" w:line="54" w:lineRule="exact"/>
        <w:rPr>
          <w:sz w:val="20"/>
          <w:szCs w:val="20"/>
          <w:color w:val="auto"/>
        </w:rPr>
      </w:pPr>
    </w:p>
    <w:p>
      <w:pPr>
        <w:ind w:left="900" w:right="140" w:hanging="379"/>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in increased costs associated with the achievement of a milestone due under the right of reference and license agreement with GSK upon the initiation of a Phase 2 clinical trial of losmapimod;</w:t>
      </w:r>
    </w:p>
    <w:p>
      <w:pPr>
        <w:spacing w:after="0" w:line="53"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in increased costs for external clinical activities as we advanced losmapimod into Phase 2b and Phase 2 open label clinical trials, and conducted a Phase 1 clinical trial of losmapimod;</w:t>
      </w:r>
    </w:p>
    <w:p>
      <w:pPr>
        <w:spacing w:after="0" w:line="53" w:lineRule="exact"/>
        <w:rPr>
          <w:rFonts w:ascii="Times New Roman" w:cs="Times New Roman" w:eastAsia="Times New Roman" w:hAnsi="Times New Roman"/>
          <w:sz w:val="18"/>
          <w:szCs w:val="18"/>
          <w:color w:val="auto"/>
        </w:rPr>
      </w:pPr>
    </w:p>
    <w:p>
      <w:pPr>
        <w:ind w:left="900" w:right="460" w:hanging="379"/>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in increased personnel-related costs due to increased headcount, including $0.3 million of increased stock-based compensation expense; and</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in increased costs for IND-enabling studies for FTX-6058.</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9" w:right="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$1.4 million from $2.1 million for the three months ended September 30, 2018 to $3.5 million for the three months ended September 30, 2019. The increase in general and administrative expenses was primarily attributable to the following:</w:t>
      </w:r>
    </w:p>
    <w:p>
      <w:pPr>
        <w:spacing w:after="0" w:line="54" w:lineRule="exact"/>
        <w:rPr>
          <w:sz w:val="20"/>
          <w:szCs w:val="20"/>
          <w:color w:val="auto"/>
        </w:rPr>
      </w:pPr>
    </w:p>
    <w:p>
      <w:pPr>
        <w:ind w:left="900" w:right="160" w:hanging="379"/>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in increased personnel-related costs, primarily due to increased general and administrative headcount to support the growth of our research and development organization, including $0.4 million of increased stock-based compensation expense; and</w:t>
      </w:r>
    </w:p>
    <w:p>
      <w:pPr>
        <w:spacing w:after="0" w:line="53" w:lineRule="exact"/>
        <w:rPr>
          <w:rFonts w:ascii="Times New Roman" w:cs="Times New Roman" w:eastAsia="Times New Roman" w:hAnsi="Times New Roman"/>
          <w:sz w:val="18"/>
          <w:szCs w:val="18"/>
          <w:color w:val="auto"/>
        </w:rPr>
      </w:pPr>
    </w:p>
    <w:p>
      <w:pPr>
        <w:ind w:left="900" w:right="640" w:hanging="379"/>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in increased consulting and professional fees, including for legal services, insurance premiums, market research, recruiting, accounting, and tax.</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right="80" w:firstLine="518"/>
        <w:spacing w:after="0" w:line="261" w:lineRule="auto"/>
        <w:rPr>
          <w:sz w:val="20"/>
          <w:szCs w:val="20"/>
          <w:color w:val="auto"/>
        </w:rPr>
      </w:pPr>
      <w:r>
        <w:rPr>
          <w:rFonts w:ascii="Times New Roman" w:cs="Times New Roman" w:eastAsia="Times New Roman" w:hAnsi="Times New Roman"/>
          <w:sz w:val="18"/>
          <w:szCs w:val="18"/>
          <w:color w:val="auto"/>
        </w:rPr>
        <w:t>Other income, net increased by $0.3 million from $0.1 million for the three months ended September 30, 2018 to $0.5 million for the three months ended September 30, 2019. The increase in other income, net was primarily attributable to investment income of $0.5 million from cash equivalents during the three months ended September 30, 2019. During the three months ended September 30, 2018, other income, net was primarily attributable to investment income of $0.1 million from cash equivalents.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2019 and 2018</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following summarizes our results of operations for the nine months ended September 30, 2019 and 2018, along with the changes in those items in dollars: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58,985</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18,324</w:t>
            </w:r>
          </w:p>
        </w:tc>
        <w:tc>
          <w:tcPr>
            <w:tcW w:w="3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40,661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8,742</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5,923</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2,819</w:t>
            </w: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67,727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24,247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43,480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(67,727)</w:t>
            </w: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(24,247)</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518</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(66,554)</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(23,729)</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increased by $40.7 million from $18.3 million for the nine months ended September 30, 2018 to $59.0 million for the nine months ended September 30, 2019. The increase in research and development expense was primarily attributable to the following:</w:t>
      </w:r>
    </w:p>
    <w:p>
      <w:pPr>
        <w:spacing w:after="0" w:line="54" w:lineRule="exact"/>
        <w:rPr>
          <w:sz w:val="20"/>
          <w:szCs w:val="20"/>
          <w:color w:val="auto"/>
        </w:rPr>
      </w:pPr>
    </w:p>
    <w:p>
      <w:pPr>
        <w:ind w:left="900" w:right="340" w:hanging="379"/>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 million in increased IPR&amp;D expenses associated with the recognition of the fair value attributable to the right of reference and license agreement with GSK during the nine months ended September 30, 2019;</w:t>
      </w:r>
    </w:p>
    <w:p>
      <w:pPr>
        <w:spacing w:after="0" w:line="53" w:lineRule="exact"/>
        <w:rPr>
          <w:rFonts w:ascii="Times New Roman" w:cs="Times New Roman" w:eastAsia="Times New Roman" w:hAnsi="Times New Roman"/>
          <w:sz w:val="18"/>
          <w:szCs w:val="18"/>
          <w:color w:val="auto"/>
        </w:rPr>
      </w:pPr>
    </w:p>
    <w:p>
      <w:pPr>
        <w:ind w:left="900" w:right="20" w:hanging="379"/>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 million in increased costs for external clinical activities as we advanced losmapimod into Phase 1, Phase 2b, and Phase 2 open label clinical trials, and conducted preparatory studies in anticipation of initiating those Phase 2 clinical trials;</w:t>
      </w:r>
    </w:p>
    <w:p>
      <w:pPr>
        <w:spacing w:after="0" w:line="53" w:lineRule="exact"/>
        <w:rPr>
          <w:rFonts w:ascii="Times New Roman" w:cs="Times New Roman" w:eastAsia="Times New Roman" w:hAnsi="Times New Roman"/>
          <w:sz w:val="18"/>
          <w:szCs w:val="18"/>
          <w:color w:val="auto"/>
        </w:rPr>
      </w:pPr>
    </w:p>
    <w:p>
      <w:pPr>
        <w:ind w:left="900" w:right="400" w:hanging="379"/>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million in increased personnel-related costs due to increased headcount, including $0.6 million of increased stock-based compensation expense;</w:t>
      </w:r>
    </w:p>
    <w:p>
      <w:pPr>
        <w:spacing w:after="0" w:line="53" w:lineRule="exact"/>
        <w:rPr>
          <w:rFonts w:ascii="Times New Roman" w:cs="Times New Roman" w:eastAsia="Times New Roman" w:hAnsi="Times New Roman"/>
          <w:sz w:val="18"/>
          <w:szCs w:val="18"/>
          <w:color w:val="auto"/>
        </w:rPr>
      </w:pPr>
    </w:p>
    <w:p>
      <w:pPr>
        <w:ind w:left="900" w:right="80" w:hanging="379"/>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in increased costs associated with the achievement of a milestone due under the right of reference and license agreement with GSK upon the initiation of a Phase 2 clinical trial of losmapimod;</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in increased laboratory supplies to support our expanding research efforts;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in increased costs for IND-enabling studies for FTX-6058;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in increased facility-related costs, including depreciation and other utility and maintenance costs.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59"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$2.8 million from $5.9 million for the nine months ended September 30, 2018 to $8.7 million for the nine months ended September 30, 2019. The increase in general and administrative expenses was primarily attributable to the following:</w:t>
      </w:r>
    </w:p>
    <w:p>
      <w:pPr>
        <w:spacing w:after="0" w:line="54" w:lineRule="exact"/>
        <w:rPr>
          <w:sz w:val="20"/>
          <w:szCs w:val="20"/>
          <w:color w:val="auto"/>
        </w:rPr>
      </w:pPr>
    </w:p>
    <w:p>
      <w:pPr>
        <w:ind w:left="900" w:right="220" w:hanging="379"/>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in increased personnel-related costs, primarily due to increased general and administrative headcount to support the growth of our research and development organization, including $1.0 million of increased stock-based compensation expense; and</w:t>
      </w:r>
    </w:p>
    <w:p>
      <w:pPr>
        <w:spacing w:after="0" w:line="53" w:lineRule="exact"/>
        <w:rPr>
          <w:rFonts w:ascii="Times New Roman" w:cs="Times New Roman" w:eastAsia="Times New Roman" w:hAnsi="Times New Roman"/>
          <w:sz w:val="18"/>
          <w:szCs w:val="18"/>
          <w:color w:val="auto"/>
        </w:rPr>
      </w:pPr>
    </w:p>
    <w:p>
      <w:pPr>
        <w:ind w:left="900" w:right="700" w:hanging="379"/>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million in increased consulting and professional fees, including for legal services, insurance premiums, market research, recruiting, accounting, and tax.</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Other income, net increased by $0.7 million from $0.5 million for the nine months ended September 30, 2018 to $1.2 million for the nine months ended September 30, 2019. Other income, net during the nine months ended September 30, 2019 was primarily attributable to investment income of $1.2 million from cash equivalents. During the nine months ended September 30, 2018, other income, net related primarily to the sale of drug material to a third party for $0.4 million and investment income of $0.1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expect to continue to incur significant operating losses for the foreseeable future and may never become profitable. We have not yet commercialized any of our product candidates, which are in various phases of preclinical and clinical development, and we do not expect to generate revenue from sales of any products for several years, if at all. Through September 30, 2019, we have primarily funded our operations with aggregate gross proceeds of $212.0 million from the issuance of common stock in our IPO, convertible notes, and convertible preferred stock. As of September 30, 2019, we had cash and cash equivalents of $101.6 million. On July 22, 2019, we completed an IPO of our common stock and issued and sold 4,500,000 shares of common stock at a public offering price of $16.00 per share, resulting in net proceeds of $64.0 million after deducting underwriting discounts and commissions and estimated offering expenses.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nine months ended September 30, 2019 and 2018:</w:t>
      </w: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00" w:type="dxa"/>
            <w:vAlign w:val="bottom"/>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r>
      <w:tr>
        <w:trPr>
          <w:trHeight w:val="223"/>
        </w:trPr>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(34,988)</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(16,159)</w:t>
            </w: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w:t>
            </w: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64,624</w:t>
            </w: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105,115</w:t>
            </w: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83,441</w:t>
            </w: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19"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$35.0 million during the nine months ended September 30, 2019 compared to net cash used in operating activities of $16.2 million during the nine months ended September 30, 2018. The increase in net cash used in operating activities of $18.8 million was primarily due to an increase in net loss of $42.8 million for the nine months ended September 30, 2019 as compared to the nine months ended September 30, 2018, partially offset by a net increase in non-cash expenses of $27.8 million primarily due to an increase in IPR&amp;D expenses of $25.6 million, an increase in stock-based compensation expense of $1.6 million, and an increase in depreciation expense of $0.7 million. The remaining increase in net cash used in operating activities is a result of changes in our operating assets and liabilities of $3.8 million.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$0.8 million during the nine months ended September 30, 2019 compared to net cash used in investing activities of $5.5 million during the nine months ended September 30, 2018. Net cash used in investing activities for the nine months ended September 30, 2019 and 2018 primarily consisted of purchases of property and equipment. The decrease in net cash used in investing activities of $4.7 million was primarily due to a decrease in purchases of property and equipment associated with our new facility lease that commenced in December 2017.</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9" w:right="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1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was $64.6 million during the nine months ended September 30, 2019 compared to net cash provided by financing activities of $105.1 million during the nine months ended September 30, 2018. The net cash provided by financing activities during the nine months ended September 30, 2019 was primarily the result of $64.4 million of net proceeds received from our IPO, after deducting underwriting discounts and commissions and estimated offering expenses. As of September 30, 2019, $0.4 million of offering expenses were unpaid. The net cash provided by financing activities during the nine months ended September 30, 2018 was primarily the result of $105.2 million of net proceeds received from private placements of our Series A preferred stock and Series B preferred stock.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research and development activities, particularly as we continue the research and development of, initiate clinical trials of, and seek marketing approval for, our product candidates. In addition, as a result of our IPO, we expect to incur additional costs associated with operating as a public company. As a result, we expect to incur substantial operating losses and negative operating cash flows for the foreseeable future.</w:t>
      </w:r>
    </w:p>
    <w:p>
      <w:pPr>
        <w:spacing w:after="0" w:line="180"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and cash equivalents as of September 30, 2019 will enable us to fund our operating expenses and capital expenditure requirements into the third quarter of 2021. However, we have based this estimate on assumptions that may prove to be wrong and we could exhaust our capital resources sooner than we expect.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funding requirements and timing and amount of our operating expenditures will depend largely on:</w:t>
      </w:r>
    </w:p>
    <w:p>
      <w:pPr>
        <w:spacing w:after="0" w:line="117" w:lineRule="exact"/>
        <w:rPr>
          <w:sz w:val="20"/>
          <w:szCs w:val="20"/>
          <w:color w:val="auto"/>
        </w:rPr>
      </w:pPr>
    </w:p>
    <w:p>
      <w:pPr>
        <w:ind w:left="900" w:hanging="379"/>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ongoing Phase 1, Phase 2b, and Phase 2 open label clinical trials of losmapimod;</w:t>
      </w:r>
    </w:p>
    <w:p>
      <w:pPr>
        <w:spacing w:after="0" w:line="117" w:lineRule="exact"/>
        <w:rPr>
          <w:rFonts w:ascii="Times New Roman" w:cs="Times New Roman" w:eastAsia="Times New Roman" w:hAnsi="Times New Roman"/>
          <w:sz w:val="18"/>
          <w:szCs w:val="18"/>
          <w:color w:val="auto"/>
        </w:rPr>
      </w:pPr>
    </w:p>
    <w:p>
      <w:pPr>
        <w:ind w:left="900" w:right="680" w:hanging="379"/>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research, preclinical development, laboratory testing and clinical trials for our product candidates, including our planned Phase 1 clinical trial of FTX-6058;</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other product candidates that we pursue;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900" w:right="80" w:hanging="379"/>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API and manufacture of our product candidates and the terms of such arrangements;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licensing or other arrangements and the financial terms of such arrangements;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and receipt of other collaboration-based revenues, if any;</w:t>
      </w:r>
    </w:p>
    <w:p>
      <w:pPr>
        <w:spacing w:after="0" w:line="117" w:lineRule="exact"/>
        <w:rPr>
          <w:rFonts w:ascii="Times New Roman" w:cs="Times New Roman" w:eastAsia="Times New Roman" w:hAnsi="Times New Roman"/>
          <w:sz w:val="18"/>
          <w:szCs w:val="18"/>
          <w:color w:val="auto"/>
        </w:rPr>
      </w:pPr>
    </w:p>
    <w:p>
      <w:pPr>
        <w:ind w:left="900" w:right="320" w:hanging="379"/>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900" w:right="140" w:hanging="379"/>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176"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9" w:right="259" w:bottom="1440" w:gutter="0" w:footer="0" w:header="0"/>
        </w:sectPr>
      </w:pPr>
    </w:p>
    <w:bookmarkStart w:id="25" w:name="page26"/>
    <w:bookmarkEnd w:id="25"/>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or debt financings and collaboration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or other strategic transactions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2019, there have been no material changes to our contractual obligations and commitments outside the ordinary course of business from those described under the heading “Management’s Discussion and Analysis of Financial Condition and Results of Operations – Contractual Obligations and Commitments” in our final prospectus for our IPO filed pursuant to Rule 424(b)(4) under the Securities Act with the SEC on July 18, 2019.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780" w:firstLine="518"/>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generally accepted accounting principles in the United States.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During the three months ended September 30, 2019, there were no material changes to our critical accounting policies from those described in our final prospectus for our IPO filed pursuant to Rule 424(b)(4) under the Securities Act with the SEC on July 18, 2019.</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consolidated financial statements appearing elsewhere in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Our primary exposure to market risk is interest rate sensitivity, which is affected by changes in the general level of U.S. interest rates, particularly because our cash equivalents are in the form of money market funds that are invested in U.S. Treasury securities. As of September 30, 2019, we had cash and cash equivalents of $101.6 million. Interest income is sensitive to changes in the general level of interest rates; however, due to the nature of these investments, an immediate 10% change in interest rates would not have a material effect on the fair market value of our investment portfolio.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6" w:name="page27"/>
    <w:bookmarkEnd w:id="26"/>
    <w:p>
      <w:pPr>
        <w:ind w:firstLine="518"/>
        <w:spacing w:after="0" w:line="261" w:lineRule="auto"/>
        <w:rPr>
          <w:sz w:val="20"/>
          <w:szCs w:val="20"/>
          <w:color w:val="auto"/>
        </w:rPr>
      </w:pPr>
      <w:r>
        <w:rPr>
          <w:rFonts w:ascii="Times New Roman" w:cs="Times New Roman" w:eastAsia="Times New Roman" w:hAnsi="Times New Roman"/>
          <w:sz w:val="18"/>
          <w:szCs w:val="18"/>
          <w:color w:val="auto"/>
        </w:rPr>
        <w:t>We are also exposed to market risk related to changes in foreign currency exchange rates. We contract with vendors that are located outside of the United States and certain invoices are denominated in foreign currencies. We are subject to fluctuations in foreign currency rates in connection with these arrangements. We do not currently hedge our foreign currency exchange rate risk. As of September 30, 2019, we had minimal or no liabilities denominated in foreign currencies.</w:t>
      </w:r>
    </w:p>
    <w:p>
      <w:pPr>
        <w:spacing w:after="0" w:line="180"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that inflation had a material effect on our business, financial condition or results of operations during the three or nine months ended September 30, 2019 and 2018.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Operating Officer (our principal executive officer and principal financial officer, respectively), evaluated the effectiveness of our disclosure controls and procedures as of September 30, 2019.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September 30, 2019, our Chief Executive Officer and Chief Operating Officer concluded that, as of such date, our disclosure controls and procedures were effective at the reasonable assurance level.</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420" w:firstLine="518"/>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page i of this Quarterly Report on Form 10-Q for a discussion of some of the forward-looking statements that are qualified by these risk factors. Factors that could cause or contribute to such differences include those factors discussed below.</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5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$32.6 million for the year ended December 31, 2018 and $66.6 million for the nine months ended September 30, 2019. As of September 30, 2019, we had an accumulated deficit of $134.7 million. To date, we have funded our operations primarily through the issuance of convertible notes, convertible preferred stock, and common stock in our initial public offering, or IPO, which closed on July 22, 2019.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81" w:lineRule="exact"/>
        <w:rPr>
          <w:sz w:val="20"/>
          <w:szCs w:val="20"/>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losmapimod, including our ongoing Phase 1, Phase 2b, and Phase 2 open label clinical trials;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investigational new drug application, or IND, enabling studies and prepare for a planned Phase 1 clinical trial of FTX-6058;</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clinical-stage product candidates into later stage trials;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discovery of drug targets for other rare diseases and the subsequent development of any resulting product candidates;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900" w:right="440" w:hanging="379"/>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or arrange for a third party to do so on our behalf, to support our clinical trials of our product candidates and commercialization of any of our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regulatory approval;</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product candidates, technologies and/or data referencing rights;</w:t>
      </w:r>
    </w:p>
    <w:p>
      <w:pPr>
        <w:spacing w:after="0" w:line="117" w:lineRule="exact"/>
        <w:rPr>
          <w:rFonts w:ascii="Times New Roman" w:cs="Times New Roman" w:eastAsia="Times New Roman" w:hAnsi="Times New Roman"/>
          <w:sz w:val="18"/>
          <w:szCs w:val="18"/>
          <w:color w:val="auto"/>
        </w:rPr>
      </w:pPr>
    </w:p>
    <w:p>
      <w:pPr>
        <w:ind w:left="900" w:right="160" w:hanging="379"/>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milestone payments to affiliates of GlaxoSmithKline plc, or GSK, under our right of reference and license agreement with GSK upon the achievement of specified clinical or regulatory milestones;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and</w:t>
      </w:r>
    </w:p>
    <w:p>
      <w:pPr>
        <w:spacing w:after="0" w:line="117" w:lineRule="exact"/>
        <w:rPr>
          <w:rFonts w:ascii="Times New Roman" w:cs="Times New Roman" w:eastAsia="Times New Roman" w:hAnsi="Times New Roman"/>
          <w:sz w:val="18"/>
          <w:szCs w:val="18"/>
          <w:color w:val="auto"/>
        </w:rPr>
      </w:pPr>
    </w:p>
    <w:p>
      <w:pPr>
        <w:ind w:left="900" w:right="400" w:hanging="379"/>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28" w:name="page29"/>
    <w:bookmarkEnd w:id="28"/>
    <w:p>
      <w:pPr>
        <w:ind w:right="320" w:firstLine="518"/>
        <w:spacing w:after="0" w:line="255"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81" w:lineRule="exact"/>
        <w:rPr>
          <w:sz w:val="20"/>
          <w:szCs w:val="20"/>
          <w:color w:val="auto"/>
        </w:rPr>
      </w:pPr>
    </w:p>
    <w:p>
      <w:pPr>
        <w:ind w:left="900" w:right="500" w:hanging="379"/>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by the U.S. Food and Drug Administration, or the FDA, the European Medicines Agency, or the EMA, or other regulatory authorities to perform trials or studies in addition to, or different than, those expected;</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delays in completing our clinical trials or the development of any of our product candidates; or</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third-party challenges to our intellectual property or we need to defend against any intellectual property-related claim.</w:t>
      </w:r>
    </w:p>
    <w:p>
      <w:pPr>
        <w:spacing w:after="0" w:line="225"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our stockholders to lose all or part of their investment.</w:t>
      </w:r>
    </w:p>
    <w:p>
      <w:pPr>
        <w:spacing w:after="0" w:line="28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5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expect to devote substantial financial resources to our ongoing and planned activities, particularly as we continue our Phase 1, Phase 2b, and Phase 2 open label clinical trials of losmapimod and prepare for a planned Phase 1 clinical trial of FTX-6058; and continue research and development and initiate additional clinical trials of, and seek regulatory approval for, these and other product candidates. We expect our expenses to increase substantially in connection with our ongoing activities, particularly as we advance our preclinical activities and clinical trials. In addition, if we obtain regulatory approval for any of our product candidates, we expect to incur significant commercialization expenses related to product manufacturing, sales, marketing and distribution. Furthermore, we will incur additional costs associated with operating as a public company. Accordingly, we will need to obtain substantial additional funding in connection with our continuing operations. If we are unable to raise capital when needed or on acceptable terms, we could be forced to delay, reduce or eliminate our research and development programs or any future commercialization efforts.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900" w:hanging="379"/>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ongoing Phase 1, Phase 2b, and Phase 2 open label clinical trials of losmapimod;</w:t>
      </w:r>
    </w:p>
    <w:p>
      <w:pPr>
        <w:spacing w:after="0" w:line="117" w:lineRule="exact"/>
        <w:rPr>
          <w:rFonts w:ascii="Times New Roman" w:cs="Times New Roman" w:eastAsia="Times New Roman" w:hAnsi="Times New Roman"/>
          <w:sz w:val="18"/>
          <w:szCs w:val="18"/>
          <w:color w:val="auto"/>
        </w:rPr>
      </w:pPr>
    </w:p>
    <w:p>
      <w:pPr>
        <w:ind w:left="900" w:right="660" w:hanging="379"/>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research, preclinical development, laboratory testing and clinical trials for our product candidates, including our planned Phase 1 clinical trial of FTX-6058;</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other product candidates that we pursue;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900" w:right="360" w:hanging="379"/>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active pharmaceutical ingredient, or API, and manufacture of our product candidates and the terms of such arrangements;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licensing or other arrangements and the financial terms of such arrangements;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and receipt of other collaboration-based revenues, if any;</w:t>
      </w:r>
    </w:p>
    <w:p>
      <w:pPr>
        <w:spacing w:after="0" w:line="117" w:lineRule="exact"/>
        <w:rPr>
          <w:rFonts w:ascii="Times New Roman" w:cs="Times New Roman" w:eastAsia="Times New Roman" w:hAnsi="Times New Roman"/>
          <w:sz w:val="18"/>
          <w:szCs w:val="18"/>
          <w:color w:val="auto"/>
        </w:rPr>
      </w:pPr>
    </w:p>
    <w:p>
      <w:pPr>
        <w:ind w:left="900" w:right="300" w:hanging="379"/>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900" w:right="120" w:hanging="379"/>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29" w:name="page30"/>
    <w:bookmarkEnd w:id="29"/>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As of September 30, 2019, we had cash and cash equivalents of approximately $101.6 million. We believe that our cash and cash equivalents as of September 30, 2019 will enable us to fund our operating expenses and capital expenditure requirements into the third quarter of 2021.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180"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Commercial revenues, if any, will not be derived unless and until we can achieve sales of products, which we do not anticipate for many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commercialize our product candidates.</w:t>
      </w:r>
    </w:p>
    <w:p>
      <w:pPr>
        <w:spacing w:after="0" w:line="29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as common stockholders.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188"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stockholders to evaluate the success of our business to date and to assess our future viability.</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We commenced activities in 2015 and are an early-stage company. Our operations to date have been limited to organizing and staffing our company, business planning, raising capital, developing our technology, identifying drug targets and potential product candidates, undertaking preclinical studies and conducting one early-stage clinical trial.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stockholders make about our future success or viability may not be as accurate as they could be if we had a longer operating history or a history of successfully developing and commercializing products.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as our business grows, we may encounter unforeseen expenses, difficulties, complications, delays and other known and unknown factors.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need to transition at some point from a company with a research and development focus to a company capable of supporting commercial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not be successful in such a transition.</w:t>
      </w:r>
    </w:p>
    <w:p>
      <w:pPr>
        <w:spacing w:after="0" w:line="207" w:lineRule="exact"/>
        <w:rPr>
          <w:sz w:val="20"/>
          <w:szCs w:val="20"/>
          <w:color w:val="auto"/>
        </w:rPr>
      </w:pPr>
    </w:p>
    <w:p>
      <w:pPr>
        <w:jc w:val="both"/>
        <w:ind w:right="160" w:firstLine="518"/>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fluctuate significantly from quarter-to-quarter and year-to-year due to a variety of factors, many of which are beyond our control. Accordingly, stockholders should not rely upon the results of any quarterly or annual periods as indications of future operating performance.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30" w:name="page31"/>
    <w:bookmarkEnd w:id="30"/>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past, we have identified conditions and events that raise substantial doubt about our ability to continue as a going concern and it is possible that we may identify conditions and events in the future that raise substantial doubt about our ability to continue as a going concern.</w:t>
      </w:r>
    </w:p>
    <w:p>
      <w:pPr>
        <w:spacing w:after="0" w:line="51" w:lineRule="exact"/>
        <w:rPr>
          <w:sz w:val="20"/>
          <w:szCs w:val="20"/>
          <w:color w:val="auto"/>
        </w:rPr>
      </w:pPr>
    </w:p>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Previously, we have identified conditions and events that raise substantial doubt about our ability to continue as a going concern, and our independent registered public accounting firm’s report on our consolidated financial statements as of and for the year ended December 31, 2018 that was issued prior to our IPO included a going concern uncertainty paragraph. With the completion of our IPO, we believe that our existing cash and cash equivalents as of September 30, 2019 will enable us to fund our operating expenses and capital expenditure requirements into the third quarter of 2021. However, we have based this estimate on assumptions that may prove to be wrong, and we could exhaust our available capital resources sooner than we expect. In the future, if we are unable to obtain sufficient funding to support our operations, we could be forced to delay, reduce or eliminate all of our research and development programs, product portfolio expansion or commercialization efforts, and our financial condition and results of operations will be materially and adversely affected and we may be unable to continue as a going concern. In the future, reports from our independent registered public accounting firm may also contain statements expressing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or at all.</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tax reform legislation passed in 2017 could adversely affect our business and financial condition.</w:t>
      </w:r>
    </w:p>
    <w:p>
      <w:pPr>
        <w:spacing w:after="0" w:line="12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On December 22, 2017, the U.S. government enacted legislation commonly referred to as the Tax Cuts and Jobs Act, or the TCJA, which significantly reformed the Internal Revenue Code of 1986, as amended, or the Code. The TCJA, among other things, contains significant changes to corporate taxation, including reduction of the corporate tax rate from a top marginal rate of 35% to a flat rate of 21%, limitation of the tax deduction for net interest expense to 30% of adjusted earnings (except for certain small businesses), limitation of the deduction for net operating losses, or NOLs, to 80% of current year taxable income and elimination of NOL carrybacks, in each case, for losses arising in taxable years beginning after December 31, 2017 (though any such NOLs may be carried forward indefinitely), one-time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TCJA remains uncertain and our business and financial condition could be adversely affected. In addition, how various states will respond to the TCJA continues to be uncertain. The impact of this tax reform on holders of our common stock is also uncertain and could be adverse. We urge investors in our common stock to consult with their legal and tax advisors with respect to TCJA and the potential tax consequences of investing in or holding our common stock.</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NOLs and research and development tax credit carryforwards to offset future taxable income may be subject to certain limitations.</w:t>
      </w:r>
    </w:p>
    <w:p>
      <w:pPr>
        <w:spacing w:after="0" w:line="121" w:lineRule="exact"/>
        <w:rPr>
          <w:sz w:val="20"/>
          <w:szCs w:val="20"/>
          <w:color w:val="auto"/>
        </w:rPr>
      </w:pPr>
    </w:p>
    <w:p>
      <w:pPr>
        <w:jc w:val="both"/>
        <w:ind w:right="200" w:firstLine="518"/>
        <w:spacing w:after="0" w:line="261" w:lineRule="auto"/>
        <w:rPr>
          <w:sz w:val="20"/>
          <w:szCs w:val="20"/>
          <w:color w:val="auto"/>
        </w:rPr>
      </w:pPr>
      <w:r>
        <w:rPr>
          <w:rFonts w:ascii="Times New Roman" w:cs="Times New Roman" w:eastAsia="Times New Roman" w:hAnsi="Times New Roman"/>
          <w:sz w:val="18"/>
          <w:szCs w:val="18"/>
          <w:color w:val="auto"/>
        </w:rPr>
        <w:t>As of December 31, 2018, we had federal and state net operating loss carryforwards of $60.7 million and $60.5 million, respectively, which begin to expire in 2035. Approximately $29.7 million of the federal net operating losses can be carried forward indefinitely. As of December 31, 2018, we also had federal and state research and development tax credit carryforwards of $1.5 million and $1.3 million, respectively, which begin to expire in 2035. These net operating loss and tax credit carryforwards could expire unused and be unavailable to offset future income tax liabilities.</w:t>
      </w:r>
    </w:p>
    <w:p>
      <w:pPr>
        <w:spacing w:after="0" w:line="180"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We have a history of cumulative losses and anticipate that we will continue to incur significant losses in the foreseeable future; thus, we do not know whether or when we will generate taxable income necessary to utilize our NOLs or research and development tax credit carryforwards.</w:t>
      </w:r>
    </w:p>
    <w:p>
      <w:pPr>
        <w:spacing w:after="0" w:line="162"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In general, under Section 382 of the Code and corresponding provisions of state law, a corporation that undergoes an “ownership change” is subject to limitations on its ability to utilize its pre-change NOLs and research and development tax credit carryforwards to offset future taxable income. We have not conducted a study to assess whether any such ownership changes have occurred. We may have experienced such ownership changes in the past and may experience such ownership changes in the future (which may be outside our control). As a result, if, and to the extent that, we earn net taxable income, our ability to use our pre-change NOLs and research and development tax credit carryforwards to offset such taxable income may be subject to limitations. Our NOLs or credits may also be impaired under state law.</w:t>
      </w:r>
    </w:p>
    <w:p>
      <w:pPr>
        <w:spacing w:after="0" w:line="188" w:lineRule="exact"/>
        <w:rPr>
          <w:sz w:val="20"/>
          <w:szCs w:val="20"/>
          <w:color w:val="auto"/>
        </w:rPr>
      </w:pPr>
    </w:p>
    <w:p>
      <w:pPr>
        <w:jc w:val="both"/>
        <w:ind w:right="100" w:firstLine="518"/>
        <w:spacing w:after="0" w:line="266" w:lineRule="auto"/>
        <w:rPr>
          <w:sz w:val="20"/>
          <w:szCs w:val="20"/>
          <w:color w:val="auto"/>
        </w:rPr>
      </w:pPr>
      <w:r>
        <w:rPr>
          <w:rFonts w:ascii="Times New Roman" w:cs="Times New Roman" w:eastAsia="Times New Roman" w:hAnsi="Times New Roman"/>
          <w:sz w:val="18"/>
          <w:szCs w:val="18"/>
          <w:color w:val="auto"/>
        </w:rPr>
        <w:t>In addition, as described above in “Comprehensive tax reform legislation passed in 2017 could adversely affect our business and financial condition,” the TCJA includes changes to U.S. federal tax rates and the rules governing NOL carryforwards that may significantly impact our ability to utilize our NOLs to offset taxable income in the future.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and we only have one product candidate in a clinical trial. Our other product candidate is in IND-enabling studies. If we are unable to commercialize our product candidates or experience significant delays in doing so, our business will be materially harmed.</w:t>
      </w:r>
    </w:p>
    <w:p>
      <w:pPr>
        <w:spacing w:after="0" w:line="5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are early in our development efforts, and we have advanced only one candidate into clinical trials, losmapimod for the treatment of facioscapulohumeral muscular dystrophy, or FSHD. FTX-6058, our other product candidate, is in IND-enabling studies. We have invested substantially all of our efforts and financial resources in our proprietary product engine to identify and validate cellular drug targets that can potentially modulate gene expression to address the root cause of rare diseases. Our ability to generate product revenues, which we do not expect will occur for many years, if ever, will depend heavily on the successful development, regulatory approval and eventual commercialization of our product candidates. The success of our product candidates will depend on several factors, including the following:</w:t>
      </w:r>
    </w:p>
    <w:p>
      <w:pPr>
        <w:spacing w:after="0" w:line="80" w:lineRule="exact"/>
        <w:rPr>
          <w:sz w:val="20"/>
          <w:szCs w:val="20"/>
          <w:color w:val="auto"/>
        </w:rPr>
      </w:pPr>
    </w:p>
    <w:p>
      <w:pPr>
        <w:ind w:left="900" w:hanging="37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preclinical studies and clinical trials;</w:t>
      </w:r>
    </w:p>
    <w:p>
      <w:pPr>
        <w:spacing w:after="0" w:line="117" w:lineRule="exact"/>
        <w:rPr>
          <w:rFonts w:ascii="Times New Roman" w:cs="Times New Roman" w:eastAsia="Times New Roman" w:hAnsi="Times New Roman"/>
          <w:sz w:val="18"/>
          <w:szCs w:val="18"/>
          <w:color w:val="auto"/>
        </w:rPr>
      </w:pPr>
    </w:p>
    <w:p>
      <w:pPr>
        <w:ind w:left="900" w:right="80" w:hanging="379"/>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or other regulatory agencies of the INDs, clinical trial applications, or CTAs, or other regulatory filings for losmapimod, FTX-6058 and future product candidates;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maintaining a workforce of experienced scientists and others to continue to develop our product candidates;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applying for and receiving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intellectual property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for, or establishing, commercial manufacturing capabilities;</w:t>
      </w:r>
    </w:p>
    <w:p>
      <w:pPr>
        <w:spacing w:after="0" w:line="117" w:lineRule="exact"/>
        <w:rPr>
          <w:rFonts w:ascii="Times New Roman" w:cs="Times New Roman" w:eastAsia="Times New Roman" w:hAnsi="Times New Roman"/>
          <w:sz w:val="18"/>
          <w:szCs w:val="18"/>
          <w:color w:val="auto"/>
        </w:rPr>
      </w:pPr>
    </w:p>
    <w:p>
      <w:pPr>
        <w:ind w:left="900" w:right="240" w:hanging="379"/>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successfully launching commercial sales of the products,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coverage, adequate pricing and adequate reimbursement from third-party payors, including government payors;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enforcing, defending and protecting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infringing, misappropriating or otherwise violating others’ intellectual property or proprietary rights;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products following receipt of any regulatory approvals.</w:t>
      </w:r>
    </w:p>
    <w:p>
      <w:pPr>
        <w:spacing w:after="0" w:line="225"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develop and commercialize our product candidates, which would materially harm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our product engine to build a pipeline of product candidates.</w:t>
      </w:r>
    </w:p>
    <w:p>
      <w:pPr>
        <w:spacing w:after="0" w:line="12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A key element of our strategy is to use our proprietary product engine to identify and validate cellular drug targets that can potentially modulate gene expression to address the root cause of rare diseases, with an initial focus on identifying small molecules specific to the identified cellular target. Even if we are 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We cannot provide stockholders any assurance that we will be able to successfully identify additional product candidates with our product engine, advance any of these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 that any development problems we experience in the future related to our proprietary product engine or any of our research or development programs will not cause significant delays or unanticipated costs, or that such development problems can be solved. If we do not successfully identify, develop, obtain regulatory approval for and commercialize product candidates based upon our technological approach, we will not be able to generate product revenues.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57" w:right="299" w:bottom="1440" w:gutter="0" w:footer="0" w:header="0"/>
        </w:sectPr>
      </w:pPr>
    </w:p>
    <w:bookmarkStart w:id="32" w:name="page33"/>
    <w:bookmarkEnd w:id="32"/>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67"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have one product candidate in clinical development and one product candidate in IND-enabling studies. The risk of failure for each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We have not yet begun or completed a pivotal clinical trial of any product candidate. Clinical trials may fail to demonstrate that our product candidates are safe for humans and effective for indicated uses.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185"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Before we can commence clinical trials for a product candidate, we must complete extensive preclinical testing and studies that support our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Furthermore,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185" w:lineRule="exact"/>
        <w:rPr>
          <w:sz w:val="20"/>
          <w:szCs w:val="20"/>
          <w:color w:val="auto"/>
        </w:rPr>
      </w:pPr>
    </w:p>
    <w:p>
      <w:pPr>
        <w:ind w:firstLine="518"/>
        <w:spacing w:after="0" w:line="268" w:lineRule="auto"/>
        <w:rPr>
          <w:sz w:val="20"/>
          <w:szCs w:val="20"/>
          <w:color w:val="auto"/>
        </w:rPr>
      </w:pPr>
      <w:r>
        <w:rPr>
          <w:rFonts w:ascii="Times New Roman" w:cs="Times New Roman" w:eastAsia="Times New Roman" w:hAnsi="Times New Roman"/>
          <w:sz w:val="17"/>
          <w:szCs w:val="17"/>
          <w:color w:val="auto"/>
        </w:rPr>
        <w:t>Clinical testing is expensive,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Losmapimod may not be effective at reducing DUX4-driven gene expression or, even if losmapimod successfully reduces expression of DUX4-driven genes, such reduction may not result in overall clinical benefit.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w:t>
      </w:r>
    </w:p>
    <w:p>
      <w:pPr>
        <w:spacing w:after="0" w:line="185"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In February 2019, we entered into a right of reference and license agreement, or the GSK Agreement, with affiliates of GSK pursuant to which, among other things, GSK granted us a right of reference to certain INDs filed with the FDA and controlled by GSK or its affiliates relating to losmapimod and an exclusive worldwide license to certain of GSK’s preclinical and clinical data with respect to losmapimod. Although losmapimod was originally evaluated by GSK in nearly 3,500 subjects, GSK did not evaluate losmapimod in FSHD or in any other muscular dystrophy, and most of the subjects in these trials were given a dose that was lower than our planned dosage of 15 mg of losmapimod twice per day, so the safety data generated from GSK’s clinical trials of losmapimod may not be predictive or indicative of the results of our clinical trials. Similarly, while we believe the safety data from GSK’s clinical trials may, in part, enable us to apply for accelerated approval, there can be no assurance that this will happen. Regulatory authorities may also raise questions regarding the transition in the future from GSK-manufactured tablets to tablets manufactured by us or another party, and we may be required to conduct comparability assessments, which could result in delays in development and additional costs.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33" w:name="page34"/>
    <w:bookmarkEnd w:id="33"/>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54" w:lineRule="exact"/>
        <w:rPr>
          <w:sz w:val="20"/>
          <w:szCs w:val="20"/>
          <w:color w:val="auto"/>
        </w:rPr>
      </w:pPr>
    </w:p>
    <w:p>
      <w:pPr>
        <w:ind w:left="900" w:right="60" w:hanging="379"/>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900" w:right="100" w:hanging="379"/>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53" w:lineRule="exact"/>
        <w:rPr>
          <w:rFonts w:ascii="Times New Roman" w:cs="Times New Roman" w:eastAsia="Times New Roman" w:hAnsi="Times New Roman"/>
          <w:sz w:val="18"/>
          <w:szCs w:val="18"/>
          <w:color w:val="auto"/>
        </w:rPr>
      </w:pPr>
    </w:p>
    <w:p>
      <w:pPr>
        <w:ind w:left="900" w:right="560" w:hanging="379"/>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decide the design of our clinical trials is flawed, for example if our trial protocol does not evaluate treatment effects in trial subjects for a sufficient length of time;</w:t>
      </w:r>
    </w:p>
    <w:p>
      <w:pPr>
        <w:spacing w:after="0" w:line="53" w:lineRule="exact"/>
        <w:rPr>
          <w:rFonts w:ascii="Times New Roman" w:cs="Times New Roman" w:eastAsia="Times New Roman" w:hAnsi="Times New Roman"/>
          <w:sz w:val="18"/>
          <w:szCs w:val="18"/>
          <w:color w:val="auto"/>
        </w:rPr>
      </w:pPr>
    </w:p>
    <w:p>
      <w:pPr>
        <w:ind w:left="900" w:right="580" w:hanging="379"/>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900" w:right="560" w:hanging="379"/>
        <w:spacing w:after="0" w:line="313" w:lineRule="auto"/>
        <w:tabs>
          <w:tab w:leader="none" w:pos="9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30" w:lineRule="exact"/>
        <w:rPr>
          <w:rFonts w:ascii="Times New Roman" w:cs="Times New Roman" w:eastAsia="Times New Roman" w:hAnsi="Times New Roman"/>
          <w:sz w:val="17"/>
          <w:szCs w:val="17"/>
          <w:color w:val="auto"/>
        </w:rPr>
      </w:pPr>
    </w:p>
    <w:p>
      <w:pPr>
        <w:ind w:left="900" w:right="300" w:hanging="379"/>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68" w:lineRule="exact"/>
        <w:rPr>
          <w:rFonts w:ascii="Times New Roman" w:cs="Times New Roman" w:eastAsia="Times New Roman" w:hAnsi="Times New Roman"/>
          <w:sz w:val="18"/>
          <w:szCs w:val="18"/>
          <w:color w:val="auto"/>
        </w:rPr>
      </w:pPr>
    </w:p>
    <w:p>
      <w:pPr>
        <w:ind w:left="900" w:right="320" w:hanging="379"/>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53" w:lineRule="exact"/>
        <w:rPr>
          <w:rFonts w:ascii="Times New Roman" w:cs="Times New Roman" w:eastAsia="Times New Roman" w:hAnsi="Times New Roman"/>
          <w:sz w:val="18"/>
          <w:szCs w:val="18"/>
          <w:color w:val="auto"/>
        </w:rPr>
      </w:pPr>
    </w:p>
    <w:p>
      <w:pPr>
        <w:ind w:left="900" w:right="220" w:hanging="379"/>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900" w:right="620" w:hanging="379"/>
        <w:spacing w:after="0" w:line="313" w:lineRule="auto"/>
        <w:tabs>
          <w:tab w:leader="none" w:pos="9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30" w:lineRule="exact"/>
        <w:rPr>
          <w:rFonts w:ascii="Times New Roman" w:cs="Times New Roman" w:eastAsia="Times New Roman" w:hAnsi="Times New Roman"/>
          <w:sz w:val="17"/>
          <w:szCs w:val="17"/>
          <w:color w:val="auto"/>
        </w:rPr>
      </w:pPr>
    </w:p>
    <w:p>
      <w:pPr>
        <w:ind w:left="900" w:right="20" w:hanging="379"/>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require us to perform additional or unanticipated clinical trials to obtain approval or we may be subject to additional post-marketing testing requirements to maintain regulatory approval;</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900" w:right="160" w:hanging="379"/>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IRBs to suspend or terminate the trials; and</w:t>
      </w:r>
    </w:p>
    <w:p>
      <w:pPr>
        <w:spacing w:after="0" w:line="53" w:lineRule="exact"/>
        <w:rPr>
          <w:rFonts w:ascii="Times New Roman" w:cs="Times New Roman" w:eastAsia="Times New Roman" w:hAnsi="Times New Roman"/>
          <w:sz w:val="18"/>
          <w:szCs w:val="18"/>
          <w:color w:val="auto"/>
        </w:rPr>
      </w:pPr>
    </w:p>
    <w:p>
      <w:pPr>
        <w:ind w:left="900" w:right="640" w:hanging="379"/>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withdraw their approval of a product or impose restrictions on its distribution, such as in the form of a risk evaluation and mitigation strategy, or REMS.</w:t>
      </w:r>
    </w:p>
    <w:p>
      <w:pPr>
        <w:spacing w:after="0" w:line="162"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900" w:hanging="379"/>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or a REMS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4" w:name="page35"/>
    <w:bookmarkEnd w:id="34"/>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92"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67"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There are currently no therapies approved to treat FSHD, and there may be no therapies approved to treat the underlying causes of diseases that we attempt to address or may address in the future.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such as the optimized time up and go test we intend to use in our losmapimod clinical trials, which we refer to as the FSHD-TUG test, and the FDA or other regulatory authorities may not consider the endpoints of our clinical trials to provide clinically meaningful results. Even if applicable regulatory authorities do not object to our proposed endpoints in an earlier stage clinical trial, such regulatory authorities may require evaluation of additional or different clinical endpoints in later-stage clinical trials. Additionally, if we pursue accelerated approval for certain product candidates, the FDA or another regulatory authority may determine that the biomarker efficacy endpoint we select for evaluation is not sufficiently predictive of clinical benefit to support accelerated approval. For example, if we pursue accelerated approval with the FDA for losmapimod for the treatment of FSHD, the FDA may determine that our proposed biomarker efficacy endpoint of measuring DUX4-driven gene expression as a biomarker in muscle biopsies is inadequate to accurately capture treatment effects in muscle over time or is not sufficiently predictive of clinical benefit to support accelerated approval. The FDA may also determine that the measurement interval for our Phase 2b clinical trial is too short to evaluate the potential clinical benefit of losmapimod for FSHD where the progression of symptoms is relatively slow and chronic dosing is required.</w:t>
      </w:r>
    </w:p>
    <w:p>
      <w:pPr>
        <w:spacing w:after="0" w:line="189"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Even if the FDA does find our clinical trial success criteria to be sufficiently validated and clinically meaningful,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The FDA also could give overriding weight to other efficacy endpoints over a primary endpoint, even if we achieve statistically significant results on that primary endpoint, if we do not do so on our secondary efficacy endpoints. The FDA also weighs the benefits of a product against its risks and the FDA may view the efficacy results in the context of safety as not being supportive of approval. Other regulatory authorities in Europe and other countries may make similar findings with respect to these endpoints.</w:t>
      </w:r>
    </w:p>
    <w:p>
      <w:pPr>
        <w:spacing w:after="0" w:line="29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for our product candidates is critical to our success. Successful and timely completion of clinical trials will require that we enroll a sufficient number of patients who remain in the trial until its conclusion.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Because of our primary focus on rare diseases, we may have difficulty enrolling a sufficient number of eligible patients.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is affected by a variety of other factors, including:</w:t>
      </w:r>
    </w:p>
    <w:p>
      <w:pPr>
        <w:spacing w:after="0" w:line="117" w:lineRule="exact"/>
        <w:rPr>
          <w:sz w:val="20"/>
          <w:szCs w:val="20"/>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 disease under investigation;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trial;</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the trial protocols, including invasive procedures such as muscle biopsies;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existing treatments for the indications for which we are conducting clinical trials;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5" w:name="page36"/>
    <w:bookmarkEnd w:id="35"/>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clinical trials by competitors for product candidates that treat the same indications as our product candidates;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specific patient populations for biomarker-defined trial cohort(s);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or lack of adequate compensation for, prospective patients.</w:t>
      </w:r>
    </w:p>
    <w:p>
      <w:pPr>
        <w:spacing w:after="0" w:line="225" w:lineRule="exact"/>
        <w:rPr>
          <w:sz w:val="20"/>
          <w:szCs w:val="20"/>
          <w:color w:val="auto"/>
        </w:rPr>
      </w:pPr>
    </w:p>
    <w:p>
      <w:pPr>
        <w:ind w:right="260" w:firstLine="518"/>
        <w:spacing w:after="0" w:line="261" w:lineRule="auto"/>
        <w:rPr>
          <w:sz w:val="20"/>
          <w:szCs w:val="20"/>
          <w:color w:val="auto"/>
        </w:rPr>
      </w:pPr>
      <w:r>
        <w:rPr>
          <w:rFonts w:ascii="Times New Roman" w:cs="Times New Roman" w:eastAsia="Times New Roman" w:hAnsi="Times New Roman"/>
          <w:sz w:val="18"/>
          <w:szCs w:val="18"/>
          <w:color w:val="auto"/>
        </w:rPr>
        <w:t>Our inability to locate and enroll a sufficient number of patients for our clinical trials would result in significant delays, could require us to abandon one or more clinical trials altogether and could delay or prevent our receipt of necessary regulatory approvals. Enrollment delays in our clinical trials may result in increased development costs for our product candidates, which would cause the value of our company to decline and limit our ability to obtain additional financing.</w:t>
      </w:r>
    </w:p>
    <w:p>
      <w:pPr>
        <w:spacing w:after="0" w:line="2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or unacceptable side effects are identified during the development of our product candidates, we may need to abandon or limit our development of some of our product candidates.</w:t>
      </w:r>
    </w:p>
    <w:p>
      <w:pPr>
        <w:spacing w:after="0" w:line="5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 In pharmaceutical development, many compounds that initially show promise in early-stage or clinical testing are later found to cause side effects that delay or prevent further development of the compound.</w:t>
      </w:r>
    </w:p>
    <w:p>
      <w:pPr>
        <w:spacing w:after="0" w:line="184"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2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51"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 or cause undesirable side effects, a number of potentially significant negative consequences could result, including:</w:t>
      </w:r>
    </w:p>
    <w:p>
      <w:pPr>
        <w:spacing w:after="0" w:line="76" w:lineRule="exact"/>
        <w:rPr>
          <w:sz w:val="20"/>
          <w:szCs w:val="20"/>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or limitation by regulatory authorities of approvals of such product;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of the product by regulatory authorities;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the product;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of the product or the manufacturing process for any component thereof;</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by regulatory authorities of additional warnings on the label, such as a “black box” warning or contraindication;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that we implement a REMS or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expensive post-marketing studies as a prerequisite of approval by regulatory authorities of such product;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legal action against us to hold us liable for harm caused to patients;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 and resulting harm to physician or patient acceptance of our products.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6" w:name="page37"/>
    <w:bookmarkEnd w:id="36"/>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26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are focusing our research and development efforts on rare neuromuscular disorders, hemoglobinopathies and central nervous system diseases.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289"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conducting Phase 1 and Phase 2 open label clinical trials of losmapimod in patients with FSHD in Europe and currently plan to conduct additional clinical trials for our product candidates at sites outside the United States, and the FDA may not accept data from trials conducted in such locations.</w:t>
      </w:r>
    </w:p>
    <w:p>
      <w:pPr>
        <w:spacing w:after="0" w:line="67"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are currently conducting Phase 1 and Phase 2 open label clinical trials of losmapimod in patients with FSHD in Europe, and we plan to conduct additional clinical trials outside the United States.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1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67"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76" w:lineRule="exact"/>
        <w:rPr>
          <w:sz w:val="20"/>
          <w:szCs w:val="20"/>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of our product candidates compared to the advantages and relative risks of alternative treatments;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including any similar generic treatments;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if approved, for sale at competitive prices;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37" w:name="page38"/>
    <w:bookmarkEnd w:id="37"/>
    <w:p>
      <w:pPr>
        <w:ind w:left="900" w:hanging="37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900" w:right="20" w:hanging="379"/>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and patients’ willingness to pay out of pocket for required co-payments or in the absence of third-party coverage or adequate reimbursement;</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if approved, together with other medications.</w:t>
      </w:r>
    </w:p>
    <w:p>
      <w:pPr>
        <w:spacing w:after="0" w:line="225"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We commissioned Clarion Healthcare, LLC to conduct market research with physicians and payors to better understand the commercial landscape and to assist in our commercial planning. A total of 14 physicians in the United States, the European Union and Asia and nine payors and payor experts in the United States and the European Union were surveyed. As the survey involved a limited number of physicians and payors, the results from such survey may be less reflective of market opportunity than a survey conducted with a larger sample size.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any of our product candidates may be smaller than we expect, and as a result our product revenue may be limited and it may be more difficult for us to achieve or maintain profitability.</w:t>
      </w:r>
    </w:p>
    <w:p>
      <w:pPr>
        <w:spacing w:after="0" w:line="29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51" w:lineRule="exact"/>
        <w:rPr>
          <w:sz w:val="20"/>
          <w:szCs w:val="20"/>
          <w:color w:val="auto"/>
        </w:rPr>
      </w:pPr>
    </w:p>
    <w:p>
      <w:pPr>
        <w:ind w:right="340" w:firstLine="518"/>
        <w:spacing w:after="0" w:line="266"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176"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In the future, we expect to build a focused, specialty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17" w:lineRule="exact"/>
        <w:rPr>
          <w:sz w:val="20"/>
          <w:szCs w:val="20"/>
          <w:color w:val="auto"/>
        </w:rPr>
      </w:pPr>
    </w:p>
    <w:p>
      <w:pPr>
        <w:ind w:left="900" w:right="300" w:hanging="379"/>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marketing, coverage or reimbursement, customer service, medical affairs and other support personnel;</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products;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our products at a sufficient price point to ensure an adequate and attractive level of profitability;</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products to segments of the patient population;</w:t>
      </w:r>
    </w:p>
    <w:p>
      <w:pPr>
        <w:spacing w:after="0" w:line="117" w:lineRule="exact"/>
        <w:rPr>
          <w:rFonts w:ascii="Times New Roman" w:cs="Times New Roman" w:eastAsia="Times New Roman" w:hAnsi="Times New Roman"/>
          <w:sz w:val="18"/>
          <w:szCs w:val="18"/>
          <w:color w:val="auto"/>
        </w:rPr>
      </w:pPr>
    </w:p>
    <w:p>
      <w:pPr>
        <w:ind w:left="900" w:right="120" w:hanging="379"/>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8" w:name="page39"/>
    <w:bookmarkEnd w:id="38"/>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we may not be successful in entering into arrangements with third parties to sell, market and distribute our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12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5" w:lineRule="exact"/>
        <w:rPr>
          <w:sz w:val="20"/>
          <w:szCs w:val="20"/>
          <w:color w:val="auto"/>
        </w:rPr>
      </w:pPr>
    </w:p>
    <w:p>
      <w:pPr>
        <w:ind w:right="180" w:firstLine="518"/>
        <w:spacing w:after="0" w:line="255" w:lineRule="auto"/>
        <w:rPr>
          <w:sz w:val="20"/>
          <w:szCs w:val="20"/>
          <w:color w:val="auto"/>
        </w:rPr>
      </w:pPr>
      <w:r>
        <w:rPr>
          <w:rFonts w:ascii="Times New Roman" w:cs="Times New Roman" w:eastAsia="Times New Roman" w:hAnsi="Times New Roman"/>
          <w:sz w:val="18"/>
          <w:szCs w:val="18"/>
          <w:color w:val="auto"/>
        </w:rPr>
        <w:t>For example, we are aware of several product candidates in clinical development that could be competitive with product candidates that we may successfully develop and commercialize. Novartis AG, Global Blood Therapeutics, Inc., GlycoMimetics Inc., Pfizer, Inc., bluebird bio, Inc., Aruvant Sciences, Inc., EpiDestiny, Inc., or EpiDestiny (in collaboration with Novo Nordisk A/S), Imara, Inc. and Sangamo Therapeutics Inc., or Sangamo (in collaboration with Bioverativ Inc.), are developing therapeutic approaches for patients with sickle cell disease, or SCD. Acceleron (in collaboration with Celgene Corp.), Bellicum Pharmaceuticals, Inc., Kiadis Pharma, EpiDestiny (in collaboration with Novo Nordisk A/S), Orchard Therapeutics plc, Sangamo (in collaboration with Bioverativ, Inc.) and CRISPR Therapeutics AG (in collaboration with Vertex Pharmaceuticals, Inc.) are developing therapeutic approaches for patients with ß-thalassemia.</w:t>
      </w:r>
    </w:p>
    <w:p>
      <w:pPr>
        <w:spacing w:after="0" w:line="18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188"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176" w:lineRule="exact"/>
        <w:rPr>
          <w:sz w:val="20"/>
          <w:szCs w:val="20"/>
          <w:color w:val="auto"/>
        </w:rPr>
      </w:pPr>
    </w:p>
    <w:p>
      <w:pPr>
        <w:ind w:right="220" w:firstLine="518"/>
        <w:spacing w:after="0" w:line="258"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9" w:name="page40"/>
    <w:bookmarkEnd w:id="39"/>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they are, our revenue may be adversely affected, and our business may suffer. Because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67"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We focus our research and product development on treatments for rare diseases. Given the small number of patients who have the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193"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Our target patient populations are relatively small, and there is currently no standard of care treatment directed at some of our target indications, such as FSHD. As a result, the pricing and reimbursement of our product candidates, if approved, is uncertain, but must be adequate to support commercial infrastructure. If we are unable to obtain adequate levels of reimbursement, our ability to successfully market and sell our product candidates will be adversely affected.</w:t>
      </w:r>
    </w:p>
    <w:p>
      <w:pPr>
        <w:spacing w:after="0" w:line="2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contract manufacturing organizations to manufacture our product candidates. If we are unable to enter into such arrangements as expected or if such organizations do not meet our supply requirements, development and/or commercialization of our product candidates may be delayed.</w:t>
      </w:r>
    </w:p>
    <w:p>
      <w:pPr>
        <w:spacing w:after="0" w:line="51" w:lineRule="exact"/>
        <w:rPr>
          <w:sz w:val="20"/>
          <w:szCs w:val="20"/>
          <w:color w:val="auto"/>
        </w:rPr>
      </w:pPr>
    </w:p>
    <w:p>
      <w:pPr>
        <w:ind w:right="120" w:firstLine="518"/>
        <w:spacing w:after="0" w:line="253" w:lineRule="auto"/>
        <w:rPr>
          <w:sz w:val="20"/>
          <w:szCs w:val="20"/>
          <w:color w:val="auto"/>
        </w:rPr>
      </w:pPr>
      <w:r>
        <w:rPr>
          <w:rFonts w:ascii="Times New Roman" w:cs="Times New Roman" w:eastAsia="Times New Roman" w:hAnsi="Times New Roman"/>
          <w:sz w:val="18"/>
          <w:szCs w:val="18"/>
          <w:color w:val="auto"/>
        </w:rPr>
        <w:t>We expect to rely on third parties to manufacture clinical supplies of our product candidates and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 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These facilities may also be affected by natural disasters, such as floods or fire, or such facilities could face manufacturing issues, such as contamination or regulatory concerns following a regulatory inspection of such facility. In such instances, we may need to locate an appropriate replacement third-party facility and establish a contractual relationship, which may not be readily available or on acceptable terms, which would cause additional delay and increased expense, including as a result of additional required FDA approvals, and may have a material adverse effect on our business.</w:t>
      </w:r>
    </w:p>
    <w:p>
      <w:pPr>
        <w:spacing w:after="0" w:line="193"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Our third-party manufacturers will be subject to inspection and approval by the FDA before we can commence the manufacture and sale of any of our product candidates, and thereafter subject to FDA inspection from time to time. Failure by our third-party manufacturers to pass such inspections and otherwise satisfactorily complete the FDA approval regimen with respect to our product candidates may result in regulatory actions such as the issuance of FDA Form 483 notices of observations, warning letters or injunctions or the loss of operating licenses.</w:t>
      </w:r>
    </w:p>
    <w:p>
      <w:pPr>
        <w:spacing w:after="0" w:line="180"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40" w:name="page41"/>
    <w:bookmarkEnd w:id="40"/>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5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85"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191" w:lineRule="exact"/>
        <w:rPr>
          <w:sz w:val="20"/>
          <w:szCs w:val="20"/>
          <w:color w:val="auto"/>
        </w:rPr>
      </w:pPr>
    </w:p>
    <w:p>
      <w:pPr>
        <w:ind w:right="80" w:firstLine="518"/>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93" w:lineRule="exact"/>
        <w:rPr>
          <w:sz w:val="20"/>
          <w:szCs w:val="20"/>
          <w:color w:val="auto"/>
        </w:rPr>
      </w:pPr>
    </w:p>
    <w:p>
      <w:pPr>
        <w:jc w:val="both"/>
        <w:ind w:right="120" w:firstLine="518"/>
        <w:spacing w:after="0" w:line="266" w:lineRule="auto"/>
        <w:rPr>
          <w:sz w:val="20"/>
          <w:szCs w:val="20"/>
          <w:color w:val="auto"/>
        </w:rPr>
      </w:pPr>
      <w:r>
        <w:rPr>
          <w:rFonts w:ascii="Times New Roman" w:cs="Times New Roman" w:eastAsia="Times New Roman" w:hAnsi="Times New Roman"/>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2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in part, on our ability to penetrate foreign markets, where we would be subject to additional regulatory burdens and other risks and uncertainties that, if they materialize, could harm our business.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profitability will depend, in part, on our ability to commercialize our product candidates in markets outside of the United States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Union. If we commercialize our product candidates in foreign markets, we will be subject to additional risks and uncertainties, including:</w:t>
      </w:r>
    </w:p>
    <w:p>
      <w:pPr>
        <w:spacing w:after="0" w:line="99" w:lineRule="exact"/>
        <w:rPr>
          <w:sz w:val="20"/>
          <w:szCs w:val="20"/>
          <w:color w:val="auto"/>
        </w:rPr>
      </w:pPr>
    </w:p>
    <w:p>
      <w:pPr>
        <w:ind w:left="900" w:hanging="37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economies and markets;</w:t>
      </w:r>
    </w:p>
    <w:p>
      <w:pPr>
        <w:spacing w:after="0" w:line="117" w:lineRule="exact"/>
        <w:rPr>
          <w:rFonts w:ascii="Times New Roman" w:cs="Times New Roman" w:eastAsia="Times New Roman" w:hAnsi="Times New Roman"/>
          <w:sz w:val="18"/>
          <w:szCs w:val="18"/>
          <w:color w:val="auto"/>
        </w:rPr>
      </w:pPr>
    </w:p>
    <w:p>
      <w:pPr>
        <w:ind w:left="900" w:right="320" w:hanging="379"/>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 many of which vary between countries;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1" w:name="page42"/>
    <w:bookmarkEnd w:id="41"/>
    <w:p>
      <w:pPr>
        <w:ind w:left="900" w:hanging="379"/>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 as well as other governmental controls and trade restrictions;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trade protection measures, import or export licensing requirements or other restrictive actions by U.S. or foreign governments;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common;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 and related prevalence of generic alternatives to therapeutics;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 currency controls;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foreign reimbursement landscapes;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and potentially inadequate reimbursement of our products;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risks related to any of these uncertainties materializes, it could have a material adverse effect on our business.</w:t>
      </w:r>
    </w:p>
    <w:p>
      <w:pPr>
        <w:spacing w:after="0" w:line="329"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5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80" w:lineRule="exact"/>
        <w:rPr>
          <w:sz w:val="20"/>
          <w:szCs w:val="20"/>
          <w:color w:val="auto"/>
        </w:rPr>
      </w:pPr>
    </w:p>
    <w:p>
      <w:pPr>
        <w:ind w:left="900" w:hanging="379"/>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any related litigation;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25"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51"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We currently rely on third-party clinical research organizations to conduct our ongoing Phase 1, Phase 2b, and Phase 2 open label clinical trials of losmapimod and plan to rely on third-party clinical research organizations or third-party research collaboratives to conduct our planned clinical trials. We do not plan to independently conduct clinical trials of our other product candidates. We expect to continue to rely on third parties, such as clinical research organizations,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188"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189"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180" w:lineRule="exact"/>
        <w:rPr>
          <w:sz w:val="20"/>
          <w:szCs w:val="20"/>
          <w:color w:val="auto"/>
        </w:rPr>
      </w:pPr>
    </w:p>
    <w:p>
      <w:pPr>
        <w:ind w:right="340" w:firstLine="518"/>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8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plan to contract with third parties for the manufacture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67"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We do not have any manufacturing facilities. Although we believe we have obtained sufficient losmapimod tablets from GSK to complete our ongoing Phase 2 clinical trials and that we have received a sufficient quantity of losmapimod API to complete further clinical trials in FSHD, we cannot be sure we have correctly estimated our drug product and API requirements or that such drug product or API will not expire before we want to use it. We intend to identify and engage a contract manufacturing organization to prepare our own API and to manufacture losmapimod tablets, but we may not be successful in entering into such arrangement or may be unable to do so on terms that are acceptable to us. Even if we have sufficient API to complete further clinical trials in FSHD, we would need to contract with a third-party manufacturer to convert the API into losmapimod tablets. While we believe that we have all the necessary information from GSK to enable any required technology transfer to a contract manufacturing organization, there can be no assurances that we will be able to effect such transfer in a timely manner.</w:t>
      </w:r>
    </w:p>
    <w:p>
      <w:pPr>
        <w:spacing w:after="0" w:line="185"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We expect to rely on third parties for the manufacture of FTX-6058 and any future product candidates for preclinical and clinical testing, as well as for commercial manufacture if any of our product candidates receive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80"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We also expect to rely on third-party manufacturers or third-party collaborators for the manufacture of commercial supply of any other product candidates for which we or our collaborators obtain marketing approval.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72" w:lineRule="exact"/>
        <w:rPr>
          <w:sz w:val="20"/>
          <w:szCs w:val="20"/>
          <w:color w:val="auto"/>
        </w:rPr>
      </w:pPr>
    </w:p>
    <w:p>
      <w:pPr>
        <w:ind w:left="900" w:hanging="379"/>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3" w:name="page44"/>
    <w:bookmarkEnd w:id="43"/>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Third-party manufacturers may not be able to comply with current good manufacturing practices, or cGMP, regulations or similar regulatory requirements outside of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84"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62"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180"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6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with third parties for the development or commercialization of our product candidates. If our collaborations are not successful, we may not be able to capitalize on the market potential of these product candidates and our business could be adversely affected.</w:t>
      </w:r>
    </w:p>
    <w:p>
      <w:pPr>
        <w:spacing w:after="0" w:line="5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While we have retained all rights to and are developing on our own our current product candidates, we may in the future enter into development, distribution or marketing arrangements with third parties with respect to our existing or future product candidates. Our likely collaborators for any sales, marketing, distribution, development, licensing or broader collaboration arrangements include large and mid-size pharmaceutical companies, regional and national pharmaceutical companies and biotechnology companies. We are not currently party to any such arrangement. However, if we do enter into any such arrangements with any third parties in the future,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that we enter into may not be successful, and any success will depend heavily on the efforts and activities of such collaborators.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Collaborations pose a number of risks, including the following:</w:t>
      </w:r>
    </w:p>
    <w:p>
      <w:pPr>
        <w:spacing w:after="0" w:line="99" w:lineRule="exact"/>
        <w:rPr>
          <w:sz w:val="20"/>
          <w:szCs w:val="20"/>
          <w:color w:val="auto"/>
        </w:rPr>
      </w:pPr>
    </w:p>
    <w:p>
      <w:pPr>
        <w:ind w:left="900" w:right="1060" w:hanging="379"/>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amount and timing of efforts and resources that they will apply to these collaborations;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900" w:right="420" w:hanging="379"/>
        <w:spacing w:after="0" w:line="26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68" w:lineRule="exact"/>
        <w:rPr>
          <w:rFonts w:ascii="Times New Roman" w:cs="Times New Roman" w:eastAsia="Times New Roman" w:hAnsi="Times New Roman"/>
          <w:sz w:val="18"/>
          <w:szCs w:val="18"/>
          <w:color w:val="auto"/>
        </w:rPr>
      </w:pPr>
    </w:p>
    <w:p>
      <w:pPr>
        <w:ind w:left="900" w:hanging="379"/>
        <w:spacing w:after="0" w:line="26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68" w:lineRule="exact"/>
        <w:rPr>
          <w:rFonts w:ascii="Times New Roman" w:cs="Times New Roman" w:eastAsia="Times New Roman" w:hAnsi="Times New Roman"/>
          <w:sz w:val="18"/>
          <w:szCs w:val="18"/>
          <w:color w:val="auto"/>
        </w:rPr>
      </w:pPr>
    </w:p>
    <w:p>
      <w:pPr>
        <w:ind w:left="900" w:right="720" w:hanging="379"/>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900" w:right="300" w:hanging="379"/>
        <w:spacing w:after="0" w:line="26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68" w:lineRule="exact"/>
        <w:rPr>
          <w:rFonts w:ascii="Times New Roman" w:cs="Times New Roman" w:eastAsia="Times New Roman" w:hAnsi="Times New Roman"/>
          <w:sz w:val="18"/>
          <w:szCs w:val="18"/>
          <w:color w:val="auto"/>
        </w:rPr>
      </w:pPr>
    </w:p>
    <w:p>
      <w:pPr>
        <w:ind w:left="900" w:right="40" w:hanging="379"/>
        <w:spacing w:after="0" w:line="26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44" w:name="page45"/>
    <w:bookmarkEnd w:id="44"/>
    <w:p>
      <w:pPr>
        <w:ind w:left="900" w:right="160" w:hanging="379"/>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53"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fail to comply with applicable regulatory requirements regarding the development, manufacture, distribution or marketing of a product candidate or product;</w:t>
      </w:r>
    </w:p>
    <w:p>
      <w:pPr>
        <w:spacing w:after="0" w:line="53" w:lineRule="exact"/>
        <w:rPr>
          <w:rFonts w:ascii="Times New Roman" w:cs="Times New Roman" w:eastAsia="Times New Roman" w:hAnsi="Times New Roman"/>
          <w:sz w:val="18"/>
          <w:szCs w:val="18"/>
          <w:color w:val="auto"/>
        </w:rPr>
      </w:pPr>
    </w:p>
    <w:p>
      <w:pPr>
        <w:ind w:left="900" w:right="160" w:hanging="379"/>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900" w:right="60" w:hanging="379"/>
        <w:spacing w:after="0" w:line="261"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900" w:right="280" w:hanging="379"/>
        <w:spacing w:after="0" w:line="266"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68"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intellectual property developed pursuant to our collaborations;</w:t>
      </w:r>
    </w:p>
    <w:p>
      <w:pPr>
        <w:spacing w:after="0" w:line="117" w:lineRule="exact"/>
        <w:rPr>
          <w:rFonts w:ascii="Times New Roman" w:cs="Times New Roman" w:eastAsia="Times New Roman" w:hAnsi="Times New Roman"/>
          <w:sz w:val="18"/>
          <w:szCs w:val="18"/>
          <w:color w:val="auto"/>
        </w:rPr>
      </w:pPr>
    </w:p>
    <w:p>
      <w:pPr>
        <w:ind w:left="900" w:right="160" w:hanging="379"/>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or proprietary rights of third parties, which may expose us to litigation and potential liability; and</w:t>
      </w:r>
    </w:p>
    <w:p>
      <w:pPr>
        <w:spacing w:after="0" w:line="53" w:lineRule="exact"/>
        <w:rPr>
          <w:rFonts w:ascii="Times New Roman" w:cs="Times New Roman" w:eastAsia="Times New Roman" w:hAnsi="Times New Roman"/>
          <w:sz w:val="18"/>
          <w:szCs w:val="18"/>
          <w:color w:val="auto"/>
        </w:rPr>
      </w:pPr>
    </w:p>
    <w:p>
      <w:pPr>
        <w:ind w:left="900" w:right="260" w:hanging="379"/>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62"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188"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Additionally, subject to its contractual obligations to us, if a collaborator of ours is involved in a business combination, the collaborator might deemphasize or terminate the development or commercialization of any product candidate licensed to it by us. If one of our collaborators terminates its agreement with us, we may find it more difficult to attract new collaborators and our perception in the business and financial communities could be adversely affected.</w:t>
      </w:r>
    </w:p>
    <w:p>
      <w:pPr>
        <w:spacing w:after="0" w:line="2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establish or maintain collaborations, we may have to alter our development and commercialization plans and our business could be adversely affected.</w:t>
      </w:r>
    </w:p>
    <w:p>
      <w:pPr>
        <w:spacing w:after="0" w:line="51" w:lineRule="exact"/>
        <w:rPr>
          <w:sz w:val="20"/>
          <w:szCs w:val="20"/>
          <w:color w:val="auto"/>
        </w:rPr>
      </w:pPr>
    </w:p>
    <w:p>
      <w:pPr>
        <w:ind w:right="20" w:firstLine="518"/>
        <w:spacing w:after="0" w:line="252" w:lineRule="auto"/>
        <w:rPr>
          <w:sz w:val="20"/>
          <w:szCs w:val="20"/>
          <w:color w:val="auto"/>
        </w:rPr>
      </w:pPr>
      <w:r>
        <w:rPr>
          <w:rFonts w:ascii="Times New Roman" w:cs="Times New Roman" w:eastAsia="Times New Roman" w:hAnsi="Times New Roman"/>
          <w:sz w:val="18"/>
          <w:szCs w:val="18"/>
          <w:color w:val="auto"/>
        </w:rPr>
        <w:t>For some of our product candidates, we may decide to collaborate with pharmaceutical or biotechnology companies for the development and potential commercialization of those product candidates. 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are also restricted by GSK’s right of first negotiation under our current license agreement with them and may in the future be restricted under other license agreements from entering into agreements on certain terms with potential collaborators. 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45" w:name="page46"/>
    <w:bookmarkEnd w:id="45"/>
    <w:p>
      <w:pPr>
        <w:ind w:right="220" w:firstLine="518"/>
        <w:spacing w:after="0" w:line="255" w:lineRule="auto"/>
        <w:rPr>
          <w:sz w:val="20"/>
          <w:szCs w:val="20"/>
          <w:color w:val="auto"/>
        </w:rPr>
      </w:pPr>
      <w:r>
        <w:rPr>
          <w:rFonts w:ascii="Times New Roman" w:cs="Times New Roman" w:eastAsia="Times New Roman" w:hAnsi="Times New Roman"/>
          <w:sz w:val="18"/>
          <w:szCs w:val="18"/>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engine.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r>
        <w:rPr>
          <w:rFonts w:ascii="Times New Roman" w:cs="Times New Roman" w:eastAsia="Times New Roman" w:hAnsi="Times New Roman"/>
          <w:sz w:val="15"/>
          <w:szCs w:val="15"/>
          <w:b w:val="1"/>
          <w:bCs w:val="1"/>
          <w:color w:val="auto"/>
        </w:rPr>
        <w:t>1</w:t>
      </w:r>
    </w:p>
    <w:p>
      <w:pPr>
        <w:spacing w:after="0" w:line="11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67"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188"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188"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w:t>
      </w:r>
    </w:p>
    <w:p>
      <w:pPr>
        <w:spacing w:after="0" w:line="196"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Currently, our patent portfolio related to FTX-6058 is in its earliest stages, including only provisional patent applications which do not themselves issue as patents. We have no issued patents related to FTX-6058 or our SCD or ß-thalassemia programs. In order to continue to pursue protection based on provisional patent applications, we will need to file Patent Cooperation Treaty applications, foreign applications and/or U.S. non-provisional patent applications prior to applicable deadlines. Even then, as highlighted above, patents may never issue from our patent applications, or the scope of any patent may not be sufficient to provide a competitive advantage. With respect to losmapimod, the patents to losmapimod licensed from GSK as a composition of matter and pharmaceutical composition are expected to expire on February 10, 2023. Our owned patent applications are not to the composition but, rather, are directed to certain methods of treating FSHD. We cannot be certain that any patents will be granted in respect of these patent applications. Even if such patent applications issue as patents, they will not prevent third parties from commercializing losmapimod for other indications.</w:t>
      </w:r>
    </w:p>
    <w:p>
      <w:pPr>
        <w:spacing w:after="0" w:line="131" w:lineRule="exact"/>
        <w:rPr>
          <w:sz w:val="20"/>
          <w:szCs w:val="20"/>
          <w:color w:val="auto"/>
        </w:rPr>
      </w:pPr>
    </w:p>
    <w:p>
      <w:pPr>
        <w:ind w:left="140" w:right="120" w:hanging="132"/>
        <w:spacing w:after="0" w:line="282" w:lineRule="auto"/>
        <w:tabs>
          <w:tab w:leader="none" w:pos="1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Confirm with IP counsel whether there have been any changes in Fulcrum’s portfolio or the law since the last 10-Q that would warrant their review and/or any updates.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14490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46" w:name="page47"/>
    <w:bookmarkEnd w:id="46"/>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 xml:space="preserve">Moreover, we or our licensors may be subject to a third-party preissuance submission of prior art to the United States Patent and Trademark Office, or USPTO, or become involved in opposition, derivation, revocation,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89"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For example, the composition of matter patents covering losmapimod, licensed from GSK, are expected to expire on February 10, 2023. Given the near term expiration date of these patents, and the fact that safe harbor protections in many jurisdictions permit third parties to engage in development, including clinical trials, these patents may not provide us with any meaningful competitive advantage.</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51"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88"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84"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7" w:name="page48"/>
    <w:bookmarkEnd w:id="47"/>
    <w:p>
      <w:pPr>
        <w:ind w:right="2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do not obtain patent term extension in the United States under the Hatch-Waxman Act and in foreign countries under similar legislation, thereby potentially extending the term of our marketing exclusivity for any product candidates we may develop, our business may be materially harmed.</w:t>
      </w:r>
    </w:p>
    <w:p>
      <w:pPr>
        <w:spacing w:after="0" w:line="28"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In the United States, the patent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non-United States jurisdictions to extend the term of a patent that covers an approved drug. While, in the future, if and when our product candidates receive FDA approval, we expect to apply for patent term extensions on patents covering those product candidates, there is no guarantee that the applicable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97"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It is possible that we will not obtain patent term extension under the Hatch-Waxman Act for a U.S. patent covering any of our product candidates that we may identify even where that patent is eligible for patent term extension, or if we obtain such an extension, it may be for a shorter period than we had sought. Further, for our licensed patents, we may not have the right to control prosecution, including filing with the USPTO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184"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Also, there are detailed rules and requirements regarding the patents that may be submitted to the FDA for listing in the Approved Drug Products with Therapeutic Equivalence Evaluations, or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w:t>
      </w:r>
    </w:p>
    <w:p>
      <w:pPr>
        <w:spacing w:after="0" w:line="29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5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 and derivation proceedings. Assuming that other requirements for patentability are met, prior to March 2013, in the United States,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8" w:name="page49"/>
    <w:bookmarkEnd w:id="48"/>
    <w:p>
      <w:pPr>
        <w:ind w:firstLine="518"/>
        <w:spacing w:after="0" w:line="258"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28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or our licensors are not currently involved in any litigation, we may become involved in lawsuits to protect or enforce our patent or other intellectual property rights, which could be expensive, time-consuming and unsuccessful.</w:t>
      </w:r>
    </w:p>
    <w:p>
      <w:pPr>
        <w:spacing w:after="0" w:line="51"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interference proceedings, derivation proceedings, and equivalent proceedings in foreign jurisdictions (e.g., opposition proceedings).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outcome following legal assertions of invalidity and unenforceability is unpredictable.</w:t>
      </w:r>
    </w:p>
    <w:p>
      <w:pPr>
        <w:spacing w:after="0" w:line="193"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89" w:lineRule="exact"/>
        <w:rPr>
          <w:sz w:val="20"/>
          <w:szCs w:val="20"/>
          <w:color w:val="auto"/>
        </w:rPr>
      </w:pPr>
    </w:p>
    <w:p>
      <w:pPr>
        <w:ind w:right="160" w:firstLine="518"/>
        <w:spacing w:after="0" w:line="255"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85"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51"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9" w:name="page50"/>
    <w:bookmarkEnd w:id="49"/>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 party intellectual property is invalid or that our activities and 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8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89"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84" w:lineRule="exact"/>
        <w:rPr>
          <w:sz w:val="20"/>
          <w:szCs w:val="20"/>
          <w:color w:val="auto"/>
        </w:rPr>
      </w:pPr>
    </w:p>
    <w:p>
      <w:pPr>
        <w:ind w:right="80" w:firstLine="518"/>
        <w:spacing w:after="0" w:line="253" w:lineRule="auto"/>
        <w:rPr>
          <w:sz w:val="20"/>
          <w:szCs w:val="20"/>
          <w:color w:val="auto"/>
        </w:rPr>
      </w:pPr>
      <w:r>
        <w:rPr>
          <w:rFonts w:ascii="Times New Roman" w:cs="Times New Roman" w:eastAsia="Times New Roman" w:hAnsi="Times New Roman"/>
          <w:sz w:val="18"/>
          <w:szCs w:val="18"/>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29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51"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0" w:name="page51"/>
    <w:bookmarkEnd w:id="50"/>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5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29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51" w:lineRule="exact"/>
        <w:rPr>
          <w:sz w:val="20"/>
          <w:szCs w:val="20"/>
          <w:color w:val="auto"/>
        </w:rPr>
      </w:pPr>
    </w:p>
    <w:p>
      <w:pPr>
        <w:ind w:right="40" w:firstLine="518"/>
        <w:spacing w:after="0" w:line="252" w:lineRule="auto"/>
        <w:rPr>
          <w:sz w:val="20"/>
          <w:szCs w:val="20"/>
          <w:color w:val="auto"/>
        </w:rPr>
      </w:pPr>
      <w:r>
        <w:rPr>
          <w:rFonts w:ascii="Times New Roman" w:cs="Times New Roman" w:eastAsia="Times New Roman" w:hAnsi="Times New Roman"/>
          <w:sz w:val="18"/>
          <w:szCs w:val="18"/>
          <w:color w:val="auto"/>
        </w:rPr>
        <w:t>We are party to license and funding agreements, such as the GSK Agreement, that impose, and we may enter into additional licensing and funding arrangements with third parties that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used in our product engine, all of which are non-exclusive. While we still face all of the risks described herein with respect to those agreements, we cannot prevent third parties from also accessing those technologies. In addition, our licenses may place restrictions on our future business opportunities. For example, under our license with GSK, GSK has certain rights of first negotiation if we wish to sublicense any of the patent or data rights licensed by GSK to us to a third party for use outside the United States. This may prevent or delay certain transactions, which could have an adverse effect on the development and commercialization of losmapimod and on our business.</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117" w:lineRule="exact"/>
        <w:rPr>
          <w:sz w:val="20"/>
          <w:szCs w:val="20"/>
          <w:color w:val="auto"/>
        </w:rPr>
      </w:pPr>
    </w:p>
    <w:p>
      <w:pPr>
        <w:ind w:left="900" w:hanging="379"/>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 related issues;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900" w:right="140" w:hanging="379"/>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1" w:name="page52"/>
    <w:bookmarkEnd w:id="51"/>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80"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121" w:lineRule="exact"/>
        <w:rPr>
          <w:sz w:val="20"/>
          <w:szCs w:val="20"/>
          <w:color w:val="auto"/>
        </w:rPr>
      </w:pPr>
    </w:p>
    <w:p>
      <w:pPr>
        <w:ind w:right="160" w:firstLine="518"/>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89"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184"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84"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2" w:name="page53"/>
    <w:bookmarkEnd w:id="52"/>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67"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p>
    <w:p>
      <w:pPr>
        <w:spacing w:after="0" w:line="184"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184"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our product candidates, we also rely on trade secrets and confidentiality agreements to protect our unpatented know-how, technology and other proprietary information, to maintain our competitive position, including certain aspects of our proprietary product engine. We seek to protect our trade secrets and other proprietary technology, in part, by entering into non-disclosure and confidentiality agreements with parties who have access to them, such as our employees, corporate collaborators, outside scientific collaborators, contract research organizations, contract manufacturers,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900" w:right="160" w:hanging="379"/>
        <w:spacing w:after="0" w:line="266"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our product engine are protected by trade secrets, but much of our product engine is not protected by intellectual property, including patents, trade secrets and know-how, and we may not be able to develop, acquire or in-license any patentable technologies or other intellectual property related to the unprotected portions of our product engine;</w:t>
      </w:r>
    </w:p>
    <w:p>
      <w:pPr>
        <w:spacing w:after="0" w:line="68"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ours but that are not covered by the claims of the patents that we own;</w:t>
      </w:r>
    </w:p>
    <w:p>
      <w:pPr>
        <w:spacing w:after="0" w:line="117" w:lineRule="exact"/>
        <w:rPr>
          <w:rFonts w:ascii="Times New Roman" w:cs="Times New Roman" w:eastAsia="Times New Roman" w:hAnsi="Times New Roman"/>
          <w:sz w:val="18"/>
          <w:szCs w:val="18"/>
          <w:color w:val="auto"/>
        </w:rPr>
      </w:pPr>
    </w:p>
    <w:p>
      <w:pPr>
        <w:ind w:left="900" w:right="80" w:hanging="379"/>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53" w:lineRule="exact"/>
        <w:rPr>
          <w:rFonts w:ascii="Times New Roman" w:cs="Times New Roman" w:eastAsia="Times New Roman" w:hAnsi="Times New Roman"/>
          <w:sz w:val="18"/>
          <w:szCs w:val="18"/>
          <w:color w:val="auto"/>
        </w:rPr>
      </w:pPr>
    </w:p>
    <w:p>
      <w:pPr>
        <w:ind w:left="900" w:right="280" w:hanging="379"/>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file patent applications covering certain of our or their inventions;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53" w:name="page54"/>
    <w:bookmarkEnd w:id="53"/>
    <w:p>
      <w:pPr>
        <w:ind w:left="900" w:right="260" w:hanging="379"/>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in-licensed intellectual property rights;</w:t>
      </w:r>
    </w:p>
    <w:p>
      <w:pPr>
        <w:spacing w:after="0" w:line="53" w:lineRule="exact"/>
        <w:rPr>
          <w:rFonts w:ascii="Times New Roman" w:cs="Times New Roman" w:eastAsia="Times New Roman" w:hAnsi="Times New Roman"/>
          <w:sz w:val="18"/>
          <w:szCs w:val="18"/>
          <w:color w:val="auto"/>
        </w:rPr>
      </w:pPr>
    </w:p>
    <w:p>
      <w:pPr>
        <w:ind w:left="900" w:right="220" w:hanging="379"/>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and in-licensed pending patent applications or those we may own or in-license in the future will not lead to issued patents;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900" w:right="80" w:hanging="379"/>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53" w:lineRule="exact"/>
        <w:rPr>
          <w:rFonts w:ascii="Times New Roman" w:cs="Times New Roman" w:eastAsia="Times New Roman" w:hAnsi="Times New Roman"/>
          <w:sz w:val="18"/>
          <w:szCs w:val="18"/>
          <w:color w:val="auto"/>
        </w:rPr>
      </w:pPr>
    </w:p>
    <w:p>
      <w:pPr>
        <w:ind w:left="900" w:right="160" w:hanging="379"/>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our commercial activities or product candidates will not infringe upon the patents of others;</w:t>
      </w:r>
    </w:p>
    <w:p>
      <w:pPr>
        <w:spacing w:after="0" w:line="117" w:lineRule="exact"/>
        <w:rPr>
          <w:rFonts w:ascii="Times New Roman" w:cs="Times New Roman" w:eastAsia="Times New Roman" w:hAnsi="Times New Roman"/>
          <w:sz w:val="18"/>
          <w:szCs w:val="18"/>
          <w:color w:val="auto"/>
        </w:rPr>
      </w:pPr>
    </w:p>
    <w:p>
      <w:pPr>
        <w:ind w:left="900" w:right="580" w:hanging="379"/>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we will be able to successfully commercialize our product candidates on a substantial scale, if approved, before the relevant patents that we own or license expire;</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17" w:lineRule="exact"/>
        <w:rPr>
          <w:rFonts w:ascii="Times New Roman" w:cs="Times New Roman" w:eastAsia="Times New Roman" w:hAnsi="Times New Roman"/>
          <w:sz w:val="18"/>
          <w:szCs w:val="18"/>
          <w:color w:val="auto"/>
        </w:rPr>
      </w:pPr>
    </w:p>
    <w:p>
      <w:pPr>
        <w:ind w:left="900" w:right="560" w:hanging="379"/>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73"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design, testing, manufacture, packaging, recordkeeping, labeling, storage, approval, advertising, promotion, sale and distribution, export, import and adverse event reporting, are subject to comprehensive regulation by the FDA and other regulatory agencies in the United States and by the EMA and similar regulatory authorities outside of the United States. Marketing approval of drugs in the United States requires the submission of a new drug application, or NDA, to the FDA and we are not permitted to market any drug candidate in the United States until we obtain approval from the FDA of the NDA for that product.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189"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We have only limited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54" w:name="page55"/>
    <w:bookmarkEnd w:id="54"/>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85"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6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exclusivity for our product candidates and, even if we do, that exclusivity may not prevent the FDA or the EMA from approving other competing products.</w:t>
      </w:r>
    </w:p>
    <w:p>
      <w:pPr>
        <w:spacing w:after="0" w:line="51"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We plan to apply for orphan drug designation for FSHD in the United States and Europe, and we may seek orphan drug designation for our other current or future product candidates. 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w:t>
      </w:r>
    </w:p>
    <w:p>
      <w:pPr>
        <w:spacing w:after="0" w:line="180"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drug for that time period. The applicable period is seven years in the United States and ten years in Europe. The exclusivity period in Europe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188"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80"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On August 3, 2017, the U.S.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Fast Track designation by the FDA may not lead to a faster development or regulatory review or approval process.</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We may seek Fast Track designation for some of our product candidates.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we cannot assure stockholders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55" w:name="page56"/>
    <w:bookmarkEnd w:id="55"/>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51" w:lineRule="exact"/>
        <w:rPr>
          <w:sz w:val="20"/>
          <w:szCs w:val="20"/>
          <w:color w:val="auto"/>
        </w:rPr>
      </w:pPr>
    </w:p>
    <w:p>
      <w:pPr>
        <w:ind w:right="140" w:firstLine="518"/>
        <w:spacing w:after="0" w:line="274" w:lineRule="auto"/>
        <w:rPr>
          <w:sz w:val="20"/>
          <w:szCs w:val="20"/>
          <w:color w:val="auto"/>
        </w:rPr>
      </w:pPr>
      <w:r>
        <w:rPr>
          <w:rFonts w:ascii="Times New Roman" w:cs="Times New Roman" w:eastAsia="Times New Roman" w:hAnsi="Times New Roman"/>
          <w:sz w:val="17"/>
          <w:szCs w:val="17"/>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74"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29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Accelerated approval by the FDA, even if granted for our product candidates, may not lead to a faster development or regulatory review or approval process and it does not increase the likelihood that our product candidates will receive marketing approval.</w:t>
      </w:r>
    </w:p>
    <w:p>
      <w:pPr>
        <w:spacing w:after="0" w:line="51"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We may seek approval of our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biomarker efficacy endpoint that is reasonably likely to predict clinical benefit or on a clinical endpoint that can be measured earlier than irreversible morbidity or mortality, or IMM, that is reasonably likely to predict an effect on IMM or other clinical benefit. The FDA or other applicable regulatory agency makes the determination regarding whether a biomarker efficacy endpoint is reasonably likely to predict long-term clinical benefit.</w:t>
      </w:r>
    </w:p>
    <w:p>
      <w:pPr>
        <w:spacing w:after="0" w:line="184"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Prior to seeking such accelerated approval, we will seek feedback from the FDA and otherwise evaluate our ability to seek and receive such accelerated approval. As a condition of approval, the FDA may require that a sponsor of a drug or biologic product candidate receiving accelerated approval perform adequate and well-controlled post-marketing clinical trials. These confirmatory trials must be completed with due diligence and we may be required to evaluate different or additional endpoints in these post-marketing confirmatory trials. In addition, the FDA currently requires as a condition for accelerated approval pre-approval of promotional materials, which could adversely impact the timing of the commercial launch of the product.</w:t>
      </w:r>
    </w:p>
    <w:p>
      <w:pPr>
        <w:spacing w:after="0" w:line="184"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FDA will agree with our biomarker efficacy endpoints or intermediate clinical endpoints, such as measuring DUX4-driven gene expression in muscle tissue biopsies or measuring the fraction of muscle tissue by replaced by fat, or that we will decide to pursue or submit an NDA for accelerated approval or any other form of expedited development, review or approval. Similarly, 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188"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Moreover, as noted above, for drugs granted accelerated approval, the FDA typically requires post-marketing confirmatory trials to evaluate the anticipated effect on IMM or other clinical benefit. These confirmatory trials must be completed with due diligence. We may be required to evaluate additional or different clinical endpoints in these post-marketing confirmatory trials. These confirmatory trials may require enrollment of more patients than we currently anticipate and will result in additional costs, which may be greater than the estimated costs we currently anticipate. The FDA may withdraw approval of a product candidate approved under the accelerated approval pathway if, for example, the trial required to verify the predicted clinical benefit of our product candidate fails to verify such benefit or does not demonstrate sufficient clinical benefit to justify the risks associated with the drug. The FDA may also withdraw approval if other evidence demonstrates that our product candidate is not shown to be safe or effective under the conditions of use, we fail to conduct any required post approval trial of our product candidate with due diligence or we disseminate false or misleading promotional materials relating to our product candidate. A failure to obtain accelerated approval or any other form of expedited development, review or approval for our product candidates, or withdrawal of a product candidate, would result in a longer time period for commercialization of such product candidate, could increase the cost of development of such product candidate and could harm our competitive position in the marketplace.</w:t>
      </w:r>
    </w:p>
    <w:p>
      <w:pPr>
        <w:spacing w:after="0" w:line="193"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Even if we do receive accelerated approval, we may not experience a faster development or regulatory review or approval process, and receiving accelerated approval does not provide assurance of ultimate FDA approval.</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our product candidates from being marketed abroad.</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We or our potential third-party collaborators may not obtain approvals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necessary approvals to commercialize our products in any market.</w:t>
      </w:r>
    </w:p>
    <w:p>
      <w:pPr>
        <w:spacing w:after="0" w:line="186" w:lineRule="exact"/>
        <w:rPr>
          <w:sz w:val="20"/>
          <w:szCs w:val="20"/>
          <w:color w:val="auto"/>
        </w:rPr>
      </w:pPr>
    </w:p>
    <w:p>
      <w:pPr>
        <w:ind w:right="100" w:firstLine="518"/>
        <w:spacing w:after="0" w:line="253" w:lineRule="auto"/>
        <w:rPr>
          <w:sz w:val="20"/>
          <w:szCs w:val="20"/>
          <w:color w:val="auto"/>
        </w:rPr>
      </w:pPr>
      <w:r>
        <w:rPr>
          <w:rFonts w:ascii="Times New Roman" w:cs="Times New Roman" w:eastAsia="Times New Roman" w:hAnsi="Times New Roman"/>
          <w:sz w:val="18"/>
          <w:szCs w:val="18"/>
          <w:color w:val="auto"/>
        </w:rPr>
        <w:t>Additionally, on June 23, 2016, the electorate in the United Kingdom voted in favor of leaving the European Union, commonly referred to as Brexit. On March 29, 2017, the United Kingdom formally notified the European Union of its intention to withdraw pursuant to Article 50 of the Lisbon Treaty. The United Kingdom had a period of a maximum of two years from the date of its formal notification to negotiate the terms of its withdrawal from, and future relationship with, the European Union. If no formal withdrawal agreement can be reached between the United Kingdom and the European Union, then it is expected that the United Kingdom’s membership of the European Union would automatically terminate on the deadline, which was initially March 29, 2019. On October 28, 2019, that deadline was extended from October 31, 2019 to January 31, 2020 to allow the parties to continue to negotiate a withdrawal agreement. The United Kingdom could leave the European Union earlier if the Parliament approves the withdrawal but that has proven to be extremely difficult to date. Discussions between the United Kingdom and the European Union will continue to focus on withdrawal issues and transition agreements. However, limited progress to date in these negotiations and ongoing uncertainty within the government of the United Kingdom sustains the possibility of the United Kingdom leaving the European Union without a withdrawal agreement and associated transition period in place, which is likely to cause significant market and economic disruption.</w:t>
      </w:r>
    </w:p>
    <w:p>
      <w:pPr>
        <w:spacing w:after="0" w:line="193"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Since a significant proportion of the regulatory framework in the United Kingdom is derived from European Union directives and regulations, Brexit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29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67"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185"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for their approved indications, we may be subject to enforcement action for off-label marketing. Violations of the Federal Food, Drug and Cosmetic Act, or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7" w:name="page58"/>
    <w:bookmarkEnd w:id="57"/>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54" w:lineRule="exact"/>
        <w:rPr>
          <w:sz w:val="20"/>
          <w:szCs w:val="20"/>
          <w:color w:val="auto"/>
        </w:rPr>
      </w:pPr>
    </w:p>
    <w:p>
      <w:pPr>
        <w:ind w:left="900" w:hanging="379"/>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or 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warnings on the labeling or marketing of a product;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using our products.</w:t>
      </w:r>
    </w:p>
    <w:p>
      <w:pPr>
        <w:spacing w:after="0" w:line="225"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76"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or quality assurance standards applicable to medical device manufacturers, which include requirements relating to quality control and quality assurance as well as the corresponding maintenance of records and documentation and reporting requirements. We, any contract manufacturers we may engage in the future, our future collaborators and their contract manufacturers will also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efforts of the Trump administration to pursue regulatory reform may limit the FDA’s ability to engage in oversight and implementation activities in the normal course, and that could negatively impact our business.</w:t>
      </w:r>
    </w:p>
    <w:p>
      <w:pPr>
        <w:spacing w:after="0" w:line="5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On January 30, 2017, President Trump issued an executive order, applicable to all executive agencies, including the FDA, requiring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within the Office of Management and on February 2, 2017, the Trump administration indicates that the “two-for-one” provisions may apply not only to agency regulations, but also to significant agency guidance documents.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8" w:name="page59"/>
    <w:bookmarkEnd w:id="58"/>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67"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Restrictions under applicable federal and state healthcare laws and regulations include the following:</w:t>
      </w:r>
    </w:p>
    <w:p>
      <w:pPr>
        <w:spacing w:after="0" w:line="80" w:lineRule="exact"/>
        <w:rPr>
          <w:sz w:val="20"/>
          <w:szCs w:val="20"/>
          <w:color w:val="auto"/>
        </w:rPr>
      </w:pPr>
    </w:p>
    <w:p>
      <w:pPr>
        <w:ind w:left="900" w:hanging="379"/>
        <w:spacing w:after="0" w:line="261"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69" w:lineRule="exact"/>
        <w:rPr>
          <w:rFonts w:ascii="Times New Roman" w:cs="Times New Roman" w:eastAsia="Times New Roman" w:hAnsi="Times New Roman"/>
          <w:sz w:val="18"/>
          <w:szCs w:val="18"/>
          <w:color w:val="auto"/>
        </w:rPr>
      </w:pPr>
    </w:p>
    <w:p>
      <w:pPr>
        <w:ind w:left="900" w:right="40" w:hanging="379"/>
        <w:spacing w:after="0" w:line="259"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False Claims Act imposes criminal and civil penalties, including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$5,500 to $11,000 per false claim;</w:t>
      </w:r>
    </w:p>
    <w:p>
      <w:pPr>
        <w:spacing w:after="0" w:line="73" w:lineRule="exact"/>
        <w:rPr>
          <w:rFonts w:ascii="Times New Roman" w:cs="Times New Roman" w:eastAsia="Times New Roman" w:hAnsi="Times New Roman"/>
          <w:sz w:val="18"/>
          <w:szCs w:val="18"/>
          <w:color w:val="auto"/>
        </w:rPr>
      </w:pPr>
    </w:p>
    <w:p>
      <w:pPr>
        <w:ind w:left="900" w:right="20" w:hanging="379"/>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53" w:lineRule="exact"/>
        <w:rPr>
          <w:rFonts w:ascii="Times New Roman" w:cs="Times New Roman" w:eastAsia="Times New Roman" w:hAnsi="Times New Roman"/>
          <w:sz w:val="18"/>
          <w:szCs w:val="18"/>
          <w:color w:val="auto"/>
        </w:rPr>
      </w:pPr>
    </w:p>
    <w:p>
      <w:pPr>
        <w:ind w:left="900" w:right="80" w:hanging="379"/>
        <w:spacing w:after="0" w:line="266"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and their respective implementing regulations, also imposes obligations, including mandatory contractual terms, with respect to safeguarding the privacy, security and transmission of individually identifiable health information;</w:t>
      </w:r>
    </w:p>
    <w:p>
      <w:pPr>
        <w:spacing w:after="0" w:line="68"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FDCA, which prohibits, among other things, the adulteration or misbranding of drugs, biologics and medical devices;</w:t>
      </w:r>
    </w:p>
    <w:p>
      <w:pPr>
        <w:spacing w:after="0" w:line="117" w:lineRule="exact"/>
        <w:rPr>
          <w:rFonts w:ascii="Times New Roman" w:cs="Times New Roman" w:eastAsia="Times New Roman" w:hAnsi="Times New Roman"/>
          <w:sz w:val="18"/>
          <w:szCs w:val="18"/>
          <w:color w:val="auto"/>
        </w:rPr>
      </w:pPr>
    </w:p>
    <w:p>
      <w:pPr>
        <w:ind w:left="900" w:right="80" w:hanging="379"/>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applicable manufacturers of covered drugs to report payments and other transfers of value to physicians and teaching hospitals; and</w:t>
      </w:r>
    </w:p>
    <w:p>
      <w:pPr>
        <w:spacing w:after="0" w:line="53" w:lineRule="exact"/>
        <w:rPr>
          <w:rFonts w:ascii="Times New Roman" w:cs="Times New Roman" w:eastAsia="Times New Roman" w:hAnsi="Times New Roman"/>
          <w:sz w:val="18"/>
          <w:szCs w:val="18"/>
          <w:color w:val="auto"/>
        </w:rPr>
      </w:pPr>
    </w:p>
    <w:p>
      <w:pPr>
        <w:ind w:left="900" w:right="120" w:hanging="379"/>
        <w:spacing w:after="0" w:line="266"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non-governmental third-party payors, including private insurers.</w:t>
      </w:r>
    </w:p>
    <w:p>
      <w:pPr>
        <w:spacing w:after="0" w:line="176" w:lineRule="exact"/>
        <w:rPr>
          <w:sz w:val="20"/>
          <w:szCs w:val="20"/>
          <w:color w:val="auto"/>
        </w:rPr>
      </w:pPr>
    </w:p>
    <w:p>
      <w:pPr>
        <w:ind w:right="200" w:firstLine="518"/>
        <w:spacing w:after="0" w:line="258" w:lineRule="auto"/>
        <w:rPr>
          <w:sz w:val="20"/>
          <w:szCs w:val="20"/>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84"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59" w:name="page60"/>
    <w:bookmarkEnd w:id="59"/>
    <w:p>
      <w:pPr>
        <w:jc w:val="both"/>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67"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Union, including personal health data, is subject to the EU General Data Protection Regulation, or the GDPR, which took effect across all member states of the European Economic Area, or EEA, in May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increases our obligations with respect to clinical trials conducted in the EEA by expanding the definition of personal data to include coded data and requiring changes to informed consent practices and more detailed notices for clinical trial subjects and investigators. In addition, the GDPR also imposes strict rules on the transfer of personal data to countries outside the European Union, including the United States and, as a result, increases the scrutiny that clinical trial sites located in the EEA should apply to transfers of personal data from such sites to countries that are considered to lack an adequate level of data protection, such as the United States. The GDPR also permits data protection authorities to require destruction of improperly gathered or used personal information and/or impose substantial fines for violations of the GDPR, which can be up to four percent of global revenues or 20 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 member states may make their own further laws and regulations limiting the processing of personal data, including genetic, biometric or health data.</w:t>
      </w:r>
    </w:p>
    <w:p>
      <w:pPr>
        <w:spacing w:after="0" w:line="195" w:lineRule="exact"/>
        <w:rPr>
          <w:sz w:val="20"/>
          <w:szCs w:val="20"/>
          <w:color w:val="auto"/>
        </w:rPr>
      </w:pPr>
    </w:p>
    <w:p>
      <w:pPr>
        <w:ind w:right="100" w:firstLine="518"/>
        <w:spacing w:after="0" w:line="254" w:lineRule="auto"/>
        <w:rPr>
          <w:sz w:val="20"/>
          <w:szCs w:val="20"/>
          <w:color w:val="auto"/>
        </w:rPr>
      </w:pPr>
      <w:r>
        <w:rPr>
          <w:rFonts w:ascii="Times New Roman" w:cs="Times New Roman" w:eastAsia="Times New Roman" w:hAnsi="Times New Roman"/>
          <w:sz w:val="18"/>
          <w:szCs w:val="18"/>
          <w:color w:val="auto"/>
        </w:rPr>
        <w:t>Given the breadth and depth of changes in data protection obligations, preparing for and complying with the GDPR’s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 Similarly, failure to comply with federal and state laws regarding privacy and security of personal information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290"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 for any products that are approved in the United States or foreign jurisdictions.</w:t>
      </w:r>
    </w:p>
    <w:p>
      <w:pPr>
        <w:spacing w:after="0" w:line="51" w:lineRule="exact"/>
        <w:rPr>
          <w:sz w:val="20"/>
          <w:szCs w:val="20"/>
          <w:color w:val="auto"/>
        </w:rPr>
      </w:pPr>
    </w:p>
    <w:p>
      <w:pPr>
        <w:ind w:right="240" w:firstLine="518"/>
        <w:spacing w:after="0" w:line="258"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w:t>
      </w:r>
    </w:p>
    <w:p>
      <w:pPr>
        <w:spacing w:after="0" w:line="184"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60" w:name="page61"/>
    <w:bookmarkEnd w:id="60"/>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In March 2010, President Obama signed into law the Patient Protection and Affordable Care Act, as amended by the Health Care and Education Reconciliation Act of 2010, or collectively the ACA. Among the provisions of the ACA of potential importance to our business, including, without limitation, our ability to commercialize and the prices we may obtain for any of our product candidates that are approved for sale, are the following:</w:t>
      </w:r>
    </w:p>
    <w:p>
      <w:pPr>
        <w:spacing w:after="0" w:line="68" w:lineRule="exact"/>
        <w:rPr>
          <w:sz w:val="20"/>
          <w:szCs w:val="20"/>
          <w:color w:val="auto"/>
        </w:rPr>
      </w:pPr>
    </w:p>
    <w:p>
      <w:pPr>
        <w:ind w:left="900" w:right="220" w:hanging="379"/>
        <w:spacing w:after="0" w:line="26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 although this fee would not apply to sales of certain products approved exclusively for orphan indications;</w:t>
      </w:r>
    </w:p>
    <w:p>
      <w:pPr>
        <w:spacing w:after="0" w:line="68"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w:t>
      </w:r>
    </w:p>
    <w:p>
      <w:pPr>
        <w:spacing w:after="0" w:line="117" w:lineRule="exact"/>
        <w:rPr>
          <w:rFonts w:ascii="Times New Roman" w:cs="Times New Roman" w:eastAsia="Times New Roman" w:hAnsi="Times New Roman"/>
          <w:sz w:val="18"/>
          <w:szCs w:val="18"/>
          <w:color w:val="auto"/>
        </w:rPr>
      </w:pPr>
    </w:p>
    <w:p>
      <w:pPr>
        <w:ind w:left="900" w:right="500" w:hanging="379"/>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Medicare Part D coverage gap discount program, in which manufacturers must agree to offer 70% point-of-sale discounts off negotiated prices;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report certain financial arrangements with physicians and teaching hospitals;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annually report drug samples that manufacturers and distributors provide to physicians; and</w:t>
      </w:r>
    </w:p>
    <w:p>
      <w:pPr>
        <w:spacing w:after="0" w:line="117" w:lineRule="exact"/>
        <w:rPr>
          <w:rFonts w:ascii="Times New Roman" w:cs="Times New Roman" w:eastAsia="Times New Roman" w:hAnsi="Times New Roman"/>
          <w:sz w:val="18"/>
          <w:szCs w:val="18"/>
          <w:color w:val="auto"/>
        </w:rPr>
      </w:pPr>
    </w:p>
    <w:p>
      <w:pPr>
        <w:ind w:left="900" w:right="180" w:hanging="379"/>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Patient-Centered Outcomes Research Institute to oversee, identify priorities in, and conduct comparative clinical effectiveness research, along with funding for such research.</w:t>
      </w:r>
    </w:p>
    <w:p>
      <w:pPr>
        <w:spacing w:after="0" w:line="162"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2027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189"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88"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With enactment of the TCJA, which was signed by the President on December 22, 2017, Congress repealed the “individual mandate.” The repeal of this provision, which requires most Americans to carry a minimal level of health insurance, is effective as of 2019. According to the Congressional Budget Office, the repeal of the individual mandate will cause an estimated 13 million fewer Americans to be insured in 2027 and premiums in insurance markets may rise.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amends the ACA, effective January 1, 2019, to increase from 50% to 70% the point-of-sale discount that is owed by pharmaceutical manufacturers who participate in Medicare Part D and to close the coverage gap in most Medicare drug plans, commonly referred to as the “donut hole”.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1" w:name="page62"/>
    <w:bookmarkEnd w:id="61"/>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Trump administration has also taken executive actions to undermine or delay implementation of the ACA. 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w:t>
      </w:r>
    </w:p>
    <w:p>
      <w:pPr>
        <w:spacing w:after="0" w:line="189"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In addition, the Centers for Medicare &amp; Medicaid Services, or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June 14, 2018, U.S. Court of Appeals for the Federal Circuit ruled that the federal government was not required to pay more than $12 billion in ACA risk corridor payments to third-party payors who argued were owed to them. The effects of this gap in reimbursement on third-party payors, the viability of the ACA marketplace, providers, and potentially our business, are not yet known. On November 30, 2018, CMS announced a proposed rule that would amend the Medicare Advantage and Medicare Part D prescription drug benefit regulations to reduce out of pocket costs for plan enrollees and allow Medicare plans to negotiate lower rates for certain drugs. Among other things, the proposed rule changes would allow Medicare Advantage plans to use pre authorization (PA) and step therapy (ST) for six protected classes of drugs, with certain exceptions; permit plans to implement PA and ST in Medicare Part B drugs; and change the definition of “negotiated prices” as well as add a definition of “price concession” in the regulations. It is unclear whether these proposed changes we be accepted, and if so, what effect such changes will have on our business. Litigation and legislation over the ACA are likely to continue, with unpredictable and uncertain results.</w:t>
      </w:r>
    </w:p>
    <w:p>
      <w:pPr>
        <w:spacing w:after="0" w:line="193"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Further, on December 14, 2018, a U.S. District Court judge in the Northern District of Texas ruled that the individual mandate portion of the ACA is an essential and inseverable feature of the ACA, and therefore because the mandate was repealed as part of the TCJA, the remaining provisions of the ACA are invalid as well. The Trump administration and CMS have both stated that the ruling will have no immediate effect, and on December 30, 2018 the same judge issued an order staying the judgment pending appeal. The Trump administration thereafter represented to the Court of Appeals considering this judgment that it does not oppose the lower court’s ruling. On July 10, 2019, the Court of Appeals for the Fifth Circuit heard oral argument in this case. In those arguments, the Trump administration argued in support of upholding the lower court decision. It is unclear how this decision and any subsequent appeals and other efforts to repeal and replace the ACA will impact the ACA and our business. Litigation and legislation over the ACA are likely to continue, with unpredictable and uncertain results.</w:t>
      </w:r>
    </w:p>
    <w:p>
      <w:pPr>
        <w:spacing w:after="0" w:line="185"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The costs of prescription pharmaceuticals have also been the subject of considerable discussion in the United States, and members of Congress and the Trump administration have stated that they will address such costs through new legislative and administrative measures. To date, there have been several recent U.S. congressional inquiries and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62" w:name="page63"/>
    <w:bookmarkEnd w:id="62"/>
    <w:p>
      <w:pPr>
        <w:ind w:right="20" w:firstLine="518"/>
        <w:spacing w:after="0" w:line="252" w:lineRule="auto"/>
        <w:rPr>
          <w:sz w:val="20"/>
          <w:szCs w:val="20"/>
          <w:color w:val="auto"/>
        </w:rPr>
      </w:pPr>
      <w:r>
        <w:rPr>
          <w:rFonts w:ascii="Times New Roman" w:cs="Times New Roman" w:eastAsia="Times New Roman" w:hAnsi="Times New Roman"/>
          <w:sz w:val="18"/>
          <w:szCs w:val="18"/>
          <w:color w:val="auto"/>
        </w:rPr>
        <w:t>Specifically,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Trump administration have each indicated that it will continue to seek new legislative and/or administrative measures to control drug costs. For example, on May 11, 2018, the Trump administration issued a plan to lower drug prices. Under this blueprint for action, the Trump administration indicated that the Department of Health and Human Services, or HHS, will: take steps to end the gaming of regulatory and patent processes by drug makers to unfairly protect monopolies; advance biosimilars and generics to boost price competition; evaluate the inclusion of prices in drug makers’ advertisements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improving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 members be provided with an annual statement of plan payments, out-of-pocket spending, and drug price increases. More recently, on January 31, 2019, the HHS Office of Inspector General proposed modifications to the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w:t>
      </w:r>
    </w:p>
    <w:p>
      <w:pPr>
        <w:spacing w:after="0" w:line="196"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85"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Increased scrutiny by the U.S. Congress of the FDA’s approval process may significantly delay or prevent marketing approval, as well as subject us to more stringent product labeling and post-marketing testing and other requirements.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if any.</w:t>
      </w:r>
    </w:p>
    <w:p>
      <w:pPr>
        <w:spacing w:after="0" w:line="121"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8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5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3" w:name="page64"/>
    <w:bookmarkEnd w:id="63"/>
    <w:p>
      <w:pPr>
        <w:jc w:val="both"/>
        <w:ind w:right="40" w:firstLine="518"/>
        <w:spacing w:after="0" w:line="261" w:lineRule="auto"/>
        <w:rPr>
          <w:sz w:val="20"/>
          <w:szCs w:val="20"/>
          <w:color w:val="auto"/>
        </w:rPr>
      </w:pPr>
      <w:r>
        <w:rPr>
          <w:rFonts w:ascii="Times New Roman" w:cs="Times New Roman" w:eastAsia="Times New Roman" w:hAnsi="Times New Roman"/>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6" w:lineRule="exact"/>
        <w:rPr>
          <w:sz w:val="20"/>
          <w:szCs w:val="20"/>
          <w:color w:val="auto"/>
        </w:rPr>
      </w:pPr>
    </w:p>
    <w:p>
      <w:pPr>
        <w:ind w:right="260" w:firstLine="518"/>
        <w:spacing w:after="0" w:line="258" w:lineRule="auto"/>
        <w:rPr>
          <w:sz w:val="20"/>
          <w:szCs w:val="20"/>
          <w:color w:val="auto"/>
        </w:rPr>
      </w:pPr>
      <w:r>
        <w:rPr>
          <w:rFonts w:ascii="Times New Roman" w:cs="Times New Roman" w:eastAsia="Times New Roman" w:hAnsi="Times New Roman"/>
          <w:sz w:val="18"/>
          <w:szCs w:val="18"/>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28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73"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85"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184"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85"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Securities and Exchange Commission, or SEC, also may suspend or bar issuers from trading securities on U.S. exchanges for violations of the FCPA’s accounting provisions. Any investigation of any potential violations of the Bribery Act, the FCPA, other anti-corruption laws or Trade Control laws by United Kingdom, U.S. or other authorities could also have an adverse impact on our reputation, our business, results of operations and financial condition.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64" w:name="page65"/>
    <w:bookmarkEnd w:id="64"/>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51" w:lineRule="exact"/>
        <w:rPr>
          <w:sz w:val="20"/>
          <w:szCs w:val="20"/>
          <w:color w:val="auto"/>
        </w:rPr>
      </w:pPr>
    </w:p>
    <w:p>
      <w:pPr>
        <w:ind w:firstLine="518"/>
        <w:spacing w:after="0" w:line="269" w:lineRule="auto"/>
        <w:rPr>
          <w:sz w:val="20"/>
          <w:szCs w:val="20"/>
          <w:color w:val="auto"/>
        </w:rPr>
      </w:pPr>
      <w:r>
        <w:rPr>
          <w:rFonts w:ascii="Times New Roman" w:cs="Times New Roman" w:eastAsia="Times New Roman" w:hAnsi="Times New Roman"/>
          <w:sz w:val="17"/>
          <w:szCs w:val="17"/>
          <w:color w:val="auto"/>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European Union Data Protection Directive.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51" w:lineRule="exact"/>
        <w:rPr>
          <w:sz w:val="20"/>
          <w:szCs w:val="20"/>
          <w:color w:val="auto"/>
        </w:rPr>
      </w:pPr>
    </w:p>
    <w:p>
      <w:pPr>
        <w:ind w:right="80" w:firstLine="518"/>
        <w:spacing w:after="0" w:line="253" w:lineRule="auto"/>
        <w:rPr>
          <w:sz w:val="20"/>
          <w:szCs w:val="20"/>
          <w:color w:val="auto"/>
        </w:rPr>
      </w:pPr>
      <w:r>
        <w:rPr>
          <w:rFonts w:ascii="Times New Roman" w:cs="Times New Roman" w:eastAsia="Times New Roman" w:hAnsi="Times New Roman"/>
          <w:sz w:val="18"/>
          <w:szCs w:val="18"/>
          <w:color w:val="auto"/>
        </w:rPr>
        <w:t>Our internal computer systems and those of any collaborators, contractors or consultants are vulnerable to damage from computer viruses, unauthorized access, natural disasters, terrorism, war and telecommunication and electrical failures. Such systems are also vulnerable to service interruptions or to security breaches from inadvertent or intentional actions by our employees, third-party vendors and/or business partners, or from cyber-attacks by malicious third parties.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and other means to affect service reliability and threaten the confidentiality, integrity and availability of information. For example, we make extensive use of cloud-based storage systems, and in October 2018, we experienced a breach of one such system. While this breach did not result in the permanent loss or theft of any of our critical information or any other material consequences, it could have, and while we took steps to remediate this breach, such as establishing multi-factor authentication and implementing improvements to our data securities protocols, we cannot guarantee that the measures we have taken to date, and actions we may take in the future, will be sufficient to remediate any future breaches. Cyber-attacks also could include phishing attempts or e-mail fraud to cause payments or information to be transmitted to an unintended recipient.</w:t>
      </w:r>
    </w:p>
    <w:p>
      <w:pPr>
        <w:spacing w:after="0" w:line="193"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65" w:name="page66"/>
    <w:bookmarkEnd w:id="65"/>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29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51"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have the ability to control all matters submitted to stockholders for approval.</w:t>
      </w:r>
    </w:p>
    <w:p>
      <w:pPr>
        <w:spacing w:after="0" w:line="5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As of November 8, 2019, our executive officers and directors and our stockholders who owned more than 5% of our outstanding common stock in the aggregate owned shares representing approximately 50.5% of our capital stock. As a result, if these stockholders were to choose to act together, they would be able to control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concentration of ownership control may:</w:t>
      </w:r>
    </w:p>
    <w:p>
      <w:pPr>
        <w:spacing w:after="0" w:line="117" w:lineRule="exact"/>
        <w:rPr>
          <w:sz w:val="20"/>
          <w:szCs w:val="20"/>
          <w:color w:val="auto"/>
        </w:rPr>
      </w:pPr>
    </w:p>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and board of directors; or</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prevent a merger, consolidation, takeover or other business combination involving us that other stockholders may desire.</w:t>
      </w:r>
    </w:p>
    <w:p>
      <w:pPr>
        <w:spacing w:after="0" w:line="329" w:lineRule="exact"/>
        <w:rPr>
          <w:sz w:val="20"/>
          <w:szCs w:val="20"/>
          <w:color w:val="auto"/>
        </w:rPr>
      </w:pPr>
    </w:p>
    <w:p>
      <w:pPr>
        <w:jc w:val="both"/>
        <w:ind w:right="5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28"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0" w:lineRule="exact"/>
        <w:rPr>
          <w:sz w:val="20"/>
          <w:szCs w:val="20"/>
          <w:color w:val="auto"/>
        </w:rPr>
      </w:pPr>
    </w:p>
    <w:p>
      <w:pPr>
        <w:ind w:left="900" w:hanging="379"/>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only one of three classes of directors is elected each year;</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our board of directors;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6" w:name="page67"/>
    <w:bookmarkEnd w:id="66"/>
    <w:p>
      <w:pPr>
        <w:ind w:left="900" w:right="320" w:hanging="379"/>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17" w:lineRule="exact"/>
        <w:rPr>
          <w:rFonts w:ascii="Times New Roman" w:cs="Times New Roman" w:eastAsia="Times New Roman" w:hAnsi="Times New Roman"/>
          <w:sz w:val="18"/>
          <w:szCs w:val="18"/>
          <w:color w:val="auto"/>
        </w:rPr>
      </w:pPr>
    </w:p>
    <w:p>
      <w:pPr>
        <w:jc w:val="both"/>
        <w:ind w:left="900" w:right="60" w:hanging="379"/>
        <w:spacing w:after="0" w:line="266"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8" w:lineRule="exact"/>
        <w:rPr>
          <w:rFonts w:ascii="Times New Roman" w:cs="Times New Roman" w:eastAsia="Times New Roman" w:hAnsi="Times New Roman"/>
          <w:sz w:val="18"/>
          <w:szCs w:val="18"/>
          <w:color w:val="auto"/>
        </w:rPr>
      </w:pPr>
    </w:p>
    <w:p>
      <w:pPr>
        <w:ind w:left="900" w:right="360" w:hanging="379"/>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specified provisions of our certificate of incorporation or bylaws.</w:t>
      </w:r>
    </w:p>
    <w:p>
      <w:pPr>
        <w:spacing w:after="0" w:line="162"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121" w:lineRule="exact"/>
        <w:rPr>
          <w:sz w:val="20"/>
          <w:szCs w:val="20"/>
          <w:color w:val="auto"/>
        </w:rPr>
      </w:pPr>
    </w:p>
    <w:p>
      <w:pPr>
        <w:ind w:right="100" w:firstLine="518"/>
        <w:spacing w:after="0" w:line="289" w:lineRule="auto"/>
        <w:rPr>
          <w:sz w:val="20"/>
          <w:szCs w:val="20"/>
          <w:color w:val="auto"/>
        </w:rPr>
      </w:pPr>
      <w:r>
        <w:rPr>
          <w:rFonts w:ascii="Times New Roman" w:cs="Times New Roman" w:eastAsia="Times New Roman" w:hAnsi="Times New Roman"/>
          <w:sz w:val="17"/>
          <w:szCs w:val="17"/>
          <w:color w:val="auto"/>
        </w:rPr>
        <w:t>Our shares of common stock began trading on the Nasdaq Global Market on July 18, 2019. Given the limited trading history of our common stock, there is a risk that an active trading market for our shares may not continue to develop or be sustained. If an active market for our common stock does not continue to develop or is not sustained, it may be difficult for our stockholders to sell their shares without depressing the market price for the shares, or at all.</w:t>
      </w:r>
    </w:p>
    <w:p>
      <w:pPr>
        <w:spacing w:after="0" w:line="26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5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There can be no assurance that existing analysts will continue to cover us or that new analysts will begin to cover us. There is also no assurance that any covering analyst will provide favorable coverage. Although we have obtained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our stockholders.</w:t>
      </w:r>
    </w:p>
    <w:p>
      <w:pPr>
        <w:spacing w:after="0" w:line="121"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Our stock price is likely to be volatile. The stock market in general and the market for smaller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68" w:lineRule="exact"/>
        <w:rPr>
          <w:sz w:val="20"/>
          <w:szCs w:val="20"/>
          <w:color w:val="auto"/>
        </w:rPr>
      </w:pPr>
    </w:p>
    <w:p>
      <w:pPr>
        <w:ind w:left="900" w:hanging="37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or developments in preclinical studies and clinical trials of our product candidates or those of our competitors or potential collaborators;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commercializing our product candidates, if and when approved;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or proprietary rights;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900" w:right="60" w:hanging="379"/>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7" w:name="page68"/>
    <w:bookmarkEnd w:id="67"/>
    <w:p>
      <w:pPr>
        <w:ind w:left="900" w:hanging="379"/>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the financial results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right="360" w:firstLine="518"/>
        <w:spacing w:after="0" w:line="25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29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5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shares intend to sell shares, could reduce the market price of our common stock. As of November 8, 2019, we had 23,340,544 shares of common stock outstanding. This includes the 4,500,000 shares that we sold in our IPO, which may be resold in the public market immediately without restriction, unless purchased by our affiliates or existing stockholders. The remaining shares are currently restricted as a result of securities laws or lock-up agreements but will be able to be sold in the near future. Moreover, beginning 180 days after the completion of our IPO, holders of an aggregate of 16,357,132 shares of our common stock will have rights, subject to specified conditions, to require us to file registration statements covering their shares or to include their shares in registration statements that we may file for ourselves or other stockholders. In August 2019, we filed a registration statement registering all shares of common stock that we may issue under our equity compensation plans. These shares can be freely sold in the public market upon issuance, subject to volume limitations applicable to affiliates and the lock-up agreements entered into in connection with our IPO.</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51"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or EGC, as defined in the Jumpstart Our Business Startups Act of 2012, or the JOBS Act. We may remain an EGC until December 31, 2024, although if the market value of our common stock that is held by non-affiliates exceeds $700 million as of any June 30 before that time or if we have annual gross revenues of $1.07 billion or more in any fiscal year, we would cease to be an EGC as of December 31 of the applicable year. We also would cease to be an EGC if we issue more than $1 billion of non-convertible debt over a three-year period. For so long as we remain an EGC, we are permitted and intend to rely on exemptions from certain disclosure requirements that are applicable to other public companies that are not EGCs. These exemptions include:</w:t>
      </w:r>
    </w:p>
    <w:p>
      <w:pPr>
        <w:spacing w:after="0" w:line="80" w:lineRule="exact"/>
        <w:rPr>
          <w:sz w:val="20"/>
          <w:szCs w:val="20"/>
          <w:color w:val="auto"/>
        </w:rPr>
      </w:pPr>
    </w:p>
    <w:p>
      <w:pPr>
        <w:ind w:left="900" w:hanging="379"/>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117" w:lineRule="exact"/>
        <w:rPr>
          <w:rFonts w:ascii="Times New Roman" w:cs="Times New Roman" w:eastAsia="Times New Roman" w:hAnsi="Times New Roman"/>
          <w:sz w:val="18"/>
          <w:szCs w:val="18"/>
          <w:color w:val="auto"/>
        </w:rPr>
      </w:pPr>
    </w:p>
    <w:p>
      <w:pPr>
        <w:ind w:left="900" w:right="720" w:hanging="379"/>
        <w:spacing w:after="0" w:line="266"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8"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17" w:lineRule="exact"/>
        <w:rPr>
          <w:rFonts w:ascii="Times New Roman" w:cs="Times New Roman" w:eastAsia="Times New Roman" w:hAnsi="Times New Roman"/>
          <w:sz w:val="18"/>
          <w:szCs w:val="18"/>
          <w:color w:val="auto"/>
        </w:rPr>
      </w:pPr>
    </w:p>
    <w:p>
      <w:pPr>
        <w:ind w:left="900" w:right="320" w:hanging="379"/>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62"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We may choose to take advantage of some or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68" w:name="page69"/>
    <w:bookmarkEnd w:id="68"/>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w:t>
      </w:r>
    </w:p>
    <w:p>
      <w:pPr>
        <w:spacing w:after="0" w:line="2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as a result of operating as a public company, and our management will be required to devote substantial time to new compliance initiatives and corporate governance practices.</w:t>
      </w:r>
    </w:p>
    <w:p>
      <w:pPr>
        <w:spacing w:after="0" w:line="5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As a public company we have incurred, and particularly after we are no longer an EGC, we will continue to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89"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0"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Pursuant to Section 404 of the Sarbanes-Oxley Act of 2002, or Section 404, we will be required to furnish a report by our management on our internal control over financial reporting.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290"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51"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2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spacing w:after="0" w:line="5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of 1933, as amended, or the Securities Exchange Act of 1934, as amended.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69" w:name="page70"/>
    <w:bookmarkEnd w:id="69"/>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right="820" w:firstLine="518"/>
        <w:spacing w:after="0" w:line="282" w:lineRule="auto"/>
        <w:rPr>
          <w:sz w:val="20"/>
          <w:szCs w:val="20"/>
          <w:color w:val="auto"/>
        </w:rPr>
      </w:pPr>
      <w:r>
        <w:rPr>
          <w:rFonts w:ascii="Times New Roman" w:cs="Times New Roman" w:eastAsia="Times New Roman" w:hAnsi="Times New Roman"/>
          <w:sz w:val="18"/>
          <w:szCs w:val="18"/>
          <w:color w:val="auto"/>
        </w:rPr>
        <w:t>Set forth below is information regarding shares of equity securities sold or issued, and options granted, by us during the three months ended September 30, 2019 that were not registered under the Securities Act of 1933, as amended, or the Securities 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Equity Securities</w:t>
      </w:r>
    </w:p>
    <w:p>
      <w:pPr>
        <w:spacing w:after="0" w:line="119" w:lineRule="exact"/>
        <w:rPr>
          <w:sz w:val="20"/>
          <w:szCs w:val="20"/>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Issuances of Common Stock upon Conversion of Preferred Stock</w:t>
      </w:r>
    </w:p>
    <w:p>
      <w:pPr>
        <w:spacing w:after="0" w:line="227" w:lineRule="exact"/>
        <w:rPr>
          <w:sz w:val="20"/>
          <w:szCs w:val="20"/>
          <w:color w:val="auto"/>
        </w:rPr>
      </w:pPr>
    </w:p>
    <w:p>
      <w:pPr>
        <w:jc w:val="both"/>
        <w:ind w:right="100" w:firstLine="518"/>
        <w:spacing w:after="0" w:line="266" w:lineRule="auto"/>
        <w:rPr>
          <w:sz w:val="20"/>
          <w:szCs w:val="20"/>
          <w:color w:val="auto"/>
        </w:rPr>
      </w:pPr>
      <w:r>
        <w:rPr>
          <w:rFonts w:ascii="Times New Roman" w:cs="Times New Roman" w:eastAsia="Times New Roman" w:hAnsi="Times New Roman"/>
          <w:sz w:val="18"/>
          <w:szCs w:val="18"/>
          <w:color w:val="auto"/>
        </w:rPr>
        <w:t>On July 22, 2019, in connection with the closing of our initial public offering of our common stock, or IPO, all of our outstanding shares of preferred stock were converted into an aggregate of 16,071,418 shares of common stock. The conversion of preferred stock into common stock occurred in accordance with the terms of our certificate of incorporation and did not constitute a sale for purposes of the Securities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Initial Public Offering</w:t>
      </w:r>
    </w:p>
    <w:p>
      <w:pPr>
        <w:spacing w:after="0" w:line="121"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On July 22, 2019, we completed our IPO, pursuant to which we issued and sold 4,500,000 shares of our common stock at a public offering price of $16.00 per share.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offer and sale of all of the shares of our common stock in our IPO were registered under the Securities Act pursuant to a registration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Form S-1 (File No. 333-232260), which was declared effective by the Securities and Exchange Commission, or SEC, on July 17, 2019. Morgan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Stanley &amp; Co. LLC, BofA Securities, Inc. and SVB Leerink LLC. acted as joint book-running managers for our IPO. The IPO commenced on July 17, 2019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terminated without the sale of the 675,000 shares registered for potential issuance upon exercise of the underwriters’ option to purchase additional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IPO.</w:t>
      </w:r>
    </w:p>
    <w:p>
      <w:pPr>
        <w:spacing w:after="0" w:line="247"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We received aggregate gross proceeds from our IPO of $72.0 million, or aggregate net proceeds of $64.0 million after deducting underwriting discounts and commissions and estimated offering expenses of $3.0 million. None of the underwriting discounts and commissions or offering expenses were incurred or paid to directors or officers of ours or their associates or to persons owning 10% or more of our common stock or to any of our affiliates.</w:t>
      </w:r>
    </w:p>
    <w:p>
      <w:pPr>
        <w:spacing w:after="0" w:line="176"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We had not used any of the net proceeds from the IPO as of September 30, 2019 as we have continued to fund operations from proceeds received through our preferred stock financings. We have invested the unused net proceeds from the offering in money market accounts. There has been no material change in our planned use of the net proceeds from our IPO as described in our final prospectus filed pursuant to Rule 424(b)(4) under the Securities Act with the SEC on July 18, 2019.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5540" w:type="dxa"/>
            <w:vAlign w:val="bottom"/>
            <w:gridSpan w:val="7"/>
          </w:tcPr>
          <w:p>
            <w:pPr>
              <w:ind w:left="1120"/>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3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(a) Total Number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 Average Price</w:t>
            </w:r>
          </w:p>
        </w:tc>
        <w:tc>
          <w:tcPr>
            <w:tcW w:w="24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 Total Number of 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(d) Approximate Dollar Value of</w:t>
            </w:r>
          </w:p>
        </w:tc>
        <w:tc>
          <w:tcPr>
            <w:tcW w:w="0" w:type="dxa"/>
            <w:vAlign w:val="bottom"/>
          </w:tcPr>
          <w:p>
            <w:pPr>
              <w:spacing w:after="0"/>
              <w:rPr>
                <w:sz w:val="1"/>
                <w:szCs w:val="1"/>
                <w:color w:val="auto"/>
              </w:rPr>
            </w:pPr>
          </w:p>
        </w:tc>
      </w:tr>
      <w:tr>
        <w:trPr>
          <w:trHeight w:val="149"/>
        </w:trPr>
        <w:tc>
          <w:tcPr>
            <w:tcW w:w="3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4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 Purchased</w:t>
            </w:r>
          </w:p>
        </w:tc>
        <w:tc>
          <w:tcPr>
            <w:tcW w:w="0" w:type="dxa"/>
            <w:vAlign w:val="bottom"/>
          </w:tcPr>
          <w:p>
            <w:pPr>
              <w:spacing w:after="0"/>
              <w:rPr>
                <w:sz w:val="1"/>
                <w:szCs w:val="1"/>
                <w:color w:val="auto"/>
              </w:rPr>
            </w:pPr>
          </w:p>
        </w:tc>
      </w:tr>
      <w:tr>
        <w:trPr>
          <w:trHeight w:val="173"/>
        </w:trPr>
        <w:tc>
          <w:tcPr>
            <w:tcW w:w="3380" w:type="dxa"/>
            <w:vAlign w:val="bottom"/>
            <w:vMerge w:val="continue"/>
          </w:tcPr>
          <w:p>
            <w:pPr>
              <w:spacing w:after="0"/>
              <w:rPr>
                <w:sz w:val="15"/>
                <w:szCs w:val="15"/>
                <w:color w:val="auto"/>
              </w:rPr>
            </w:pPr>
          </w:p>
        </w:tc>
        <w:tc>
          <w:tcPr>
            <w:tcW w:w="13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Purchased(1)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Under the Plans or Programs</w:t>
            </w: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 2019 through July 31, 2019</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3,946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shd w:val="clear" w:color="auto" w:fill="CFF0FC"/>
          </w:tcPr>
          <w:p>
            <w:pPr>
              <w:spacing w:after="0"/>
              <w:rPr>
                <w:sz w:val="19"/>
                <w:szCs w:val="19"/>
                <w:color w:val="auto"/>
              </w:rPr>
            </w:pPr>
          </w:p>
        </w:tc>
        <w:tc>
          <w:tcPr>
            <w:tcW w:w="2460" w:type="dxa"/>
            <w:vAlign w:val="bottom"/>
            <w:gridSpan w:val="2"/>
            <w:shd w:val="clear" w:color="auto" w:fill="CFF0FC"/>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August 1, 2019 through August 31, 2019</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1,005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tcPr>
          <w:p>
            <w:pPr>
              <w:spacing w:after="0"/>
              <w:rPr>
                <w:sz w:val="19"/>
                <w:szCs w:val="19"/>
                <w:color w:val="auto"/>
              </w:rPr>
            </w:pPr>
          </w:p>
        </w:tc>
        <w:tc>
          <w:tcPr>
            <w:tcW w:w="246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1, 2019 through September 30,</w:t>
            </w: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gridSpan w:val="2"/>
            <w:shd w:val="clear" w:color="auto" w:fill="CFF0FC"/>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4,951</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tcPr>
          <w:p>
            <w:pPr>
              <w:spacing w:after="0"/>
              <w:rPr>
                <w:sz w:val="19"/>
                <w:szCs w:val="19"/>
                <w:color w:val="auto"/>
              </w:rPr>
            </w:pPr>
          </w:p>
        </w:tc>
        <w:tc>
          <w:tcPr>
            <w:tcW w:w="2320" w:type="dxa"/>
            <w:vAlign w:val="bottom"/>
            <w:tcBorders>
              <w:top w:val="single" w:sz="8" w:color="auto"/>
              <w:bottom w:val="single" w:sz="8" w:color="auto"/>
            </w:tcBorders>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0" w:type="dxa"/>
            <w:vAlign w:val="bottom"/>
            <w:tcBorders>
              <w:top w:val="single" w:sz="8" w:color="auto"/>
              <w:bottom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right="54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unvested common stock that were repurchased by us from certain former employees upon termination of employment in accordance with the terms of the applicable employee's restricted stock agreement. We repurchased the shares from the former employees at the original purchase price.</w:t>
      </w:r>
    </w:p>
    <w:p>
      <w:pPr>
        <w:spacing w:after="0" w:line="176" w:lineRule="exact"/>
        <w:rPr>
          <w:sz w:val="20"/>
          <w:szCs w:val="20"/>
          <w:color w:val="auto"/>
        </w:rPr>
      </w:pPr>
    </w:p>
    <w:p>
      <w:pPr>
        <w:ind w:right="820" w:firstLine="518"/>
        <w:spacing w:after="0" w:line="282" w:lineRule="auto"/>
        <w:rPr>
          <w:sz w:val="20"/>
          <w:szCs w:val="20"/>
          <w:color w:val="auto"/>
        </w:rPr>
      </w:pPr>
      <w:r>
        <w:rPr>
          <w:rFonts w:ascii="Times New Roman" w:cs="Times New Roman" w:eastAsia="Times New Roman" w:hAnsi="Times New Roman"/>
          <w:sz w:val="18"/>
          <w:szCs w:val="18"/>
          <w:color w:val="auto"/>
        </w:rPr>
        <w:t>The share figures set forth in this Item 2 have been retroactively adjusted, as appropriate, to reflect a one-for-seven reverse stock split of the Company’s common stock on July 5, 2019.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200" w:type="dxa"/>
            <w:vAlign w:val="bottom"/>
            <w:gridSpan w:val="21"/>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6200" w:type="dxa"/>
            <w:vAlign w:val="bottom"/>
            <w:gridSpan w:val="2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tcBorders>
              <w:top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10360" w:type="dxa"/>
            <w:vAlign w:val="bottom"/>
            <w:tcBorders>
              <w:top w:val="single" w:sz="8" w:color="auto"/>
              <w:bottom w:val="single" w:sz="8" w:color="0000EE"/>
            </w:tcBorders>
            <w:gridSpan w:val="21"/>
          </w:tcPr>
          <w:p>
            <w:pPr>
              <w:spacing w:after="0" w:line="182"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Restated Certificate of Incorporation of the Registrant (incorporated by reference to Exhibit 3.1 to the Registrant’s Current Report on Form 8-K</w:t>
              </w:r>
            </w:hyperlink>
          </w:p>
        </w:tc>
        <w:tc>
          <w:tcPr>
            <w:tcW w:w="160" w:type="dxa"/>
            <w:vAlign w:val="bottom"/>
            <w:tcBorders>
              <w:top w:val="single" w:sz="8" w:color="auto"/>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20" w:type="dxa"/>
            <w:vAlign w:val="bottom"/>
            <w:gridSpan w:val="25"/>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(File No. 001-38978) filed with the Securities and Exchange Commission on July 22, 2019).</w:t>
              </w:r>
            </w:hyperlink>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10520" w:type="dxa"/>
            <w:vAlign w:val="bottom"/>
            <w:gridSpan w:val="25"/>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Amended and Restated Bylaws of the Registrant (incorporated by reference to Exhibit 3.2 to the Registrant’s Current Report on Form 8-K (File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4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No. 001-38978) filed with the Securities and Exchange Commission on July 22, 2019).</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102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2019 Stock Incentive Plan (incorporated by reference to Exhibit 10.6 to Amendment No. 1 to Registrant’s Registration Statement on Form S-1</w:t>
              </w:r>
            </w:hyperlink>
          </w:p>
        </w:tc>
        <w:tc>
          <w:tcPr>
            <w:tcW w:w="24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20" w:type="dxa"/>
            <w:vAlign w:val="bottom"/>
            <w:gridSpan w:val="25"/>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(File No. 333-232260) filed with the Securities and Exchange Commission on July 8, 2019).</w:t>
              </w:r>
            </w:hyperlink>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99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Form of Stock Option Agreement under the 2019 Stock Incentive Plan (incorporated by reference to Exhibit 10.7 to Amendment No. 1 to</w:t>
              </w:r>
            </w:hyperlink>
          </w:p>
        </w:tc>
        <w:tc>
          <w:tcPr>
            <w:tcW w:w="60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Registrant’s Registration Statement on Form S-1 (File No. 333-232260) filed with the Securities and Exchange Commission on July 8, 2019).</w:t>
              </w:r>
            </w:hyperlink>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103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2019 Employee Stock Purchase Plan (incorporated by reference to Exhibit 10.8 to Amendment No. 1 to Registrant’s Registration Statement on</w:t>
              </w:r>
            </w:hyperlink>
          </w:p>
        </w:tc>
        <w:tc>
          <w:tcPr>
            <w:tcW w:w="22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Form S-1 (File No. 333-232260) filed with the Securities and Exchange Commission on July 8, 2019).</w:t>
              </w:r>
            </w:hyperlink>
          </w:p>
        </w:tc>
        <w:tc>
          <w:tcPr>
            <w:tcW w:w="31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10520" w:type="dxa"/>
            <w:vAlign w:val="bottom"/>
            <w:gridSpan w:val="25"/>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Summary of Non-Employee Director Compensation Program (incorporated by reference to Exhibit 10.9 to Amendment No. 1 to Registrant’s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Registration Statement on Form S-1 (File No. 333-232260) filed with the Securities and Exchange Commission on July 8, 2019).</w:t>
              </w:r>
            </w:hyperlink>
          </w:p>
        </w:tc>
        <w:tc>
          <w:tcPr>
            <w:tcW w:w="840" w:type="dxa"/>
            <w:vAlign w:val="bottom"/>
            <w:tcBorders>
              <w:top w:val="single" w:sz="8" w:color="0000EE"/>
            </w:tcBorders>
            <w:gridSpan w:val="6"/>
          </w:tcPr>
          <w:p>
            <w:pPr>
              <w:spacing w:after="0"/>
              <w:rPr>
                <w:sz w:val="17"/>
                <w:szCs w:val="17"/>
                <w:color w:val="auto"/>
              </w:rPr>
            </w:pPr>
          </w:p>
        </w:tc>
        <w:tc>
          <w:tcPr>
            <w:tcW w:w="3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10520" w:type="dxa"/>
            <w:vAlign w:val="bottom"/>
            <w:gridSpan w:val="25"/>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 of Employment Agreement for Executive Officers (incorporated by reference to Exhibit 10.12 to Amendment No. 1 to Registrant’s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Registration Statement on Form S-1 (File No. 333-232260) filed with the Securities and Exchange Commission on July 8, 2019).</w:t>
              </w:r>
            </w:hyperlink>
          </w:p>
        </w:tc>
        <w:tc>
          <w:tcPr>
            <w:tcW w:w="560" w:type="dxa"/>
            <w:vAlign w:val="bottom"/>
            <w:tcBorders>
              <w:top w:val="single" w:sz="8" w:color="0000EE"/>
            </w:tcBorders>
            <w:gridSpan w:val="2"/>
          </w:tcPr>
          <w:p>
            <w:pPr>
              <w:spacing w:after="0"/>
              <w:rPr>
                <w:sz w:val="17"/>
                <w:szCs w:val="17"/>
                <w:color w:val="auto"/>
              </w:rPr>
            </w:pPr>
          </w:p>
        </w:tc>
        <w:tc>
          <w:tcPr>
            <w:tcW w:w="6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10520" w:type="dxa"/>
            <w:vAlign w:val="bottom"/>
            <w:gridSpan w:val="25"/>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Employment Agreement, dated June 30, 2019, by and between the Registrant and Robert J. Gould (incorporated by reference to Exhibit 10.13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2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Amendment No. 2 to Registrant’s Registration Statement on Form S-1 (File No. 333-232260) filed with the Securities and Exchange</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6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Commission on July 12, 2019).</w:t>
              </w:r>
            </w:hyperlink>
          </w:p>
        </w:tc>
        <w:tc>
          <w:tcPr>
            <w:tcW w:w="9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4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100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Employment Agreement, dated July 3, 2019, by and between the Registrant and Bryan Stuart (incorporated by reference to Exhibit 10.14 to</w:t>
              </w:r>
            </w:hyperlink>
          </w:p>
        </w:tc>
        <w:tc>
          <w:tcPr>
            <w:tcW w:w="44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20" w:type="dxa"/>
            <w:vAlign w:val="bottom"/>
            <w:gridSpan w:val="25"/>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Amendment No. 2 to Registrant’s Registration Statement on Form S-1 (File No. 333-232260) filed with the Securities and Exchange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6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Commission on July 12, 2019).</w:t>
              </w:r>
            </w:hyperlink>
          </w:p>
        </w:tc>
        <w:tc>
          <w:tcPr>
            <w:tcW w:w="9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40" w:type="dxa"/>
            <w:vAlign w:val="bottom"/>
            <w:gridSpan w:val="8"/>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8"/>
                <w:szCs w:val="18"/>
                <w:color w:val="auto"/>
              </w:rPr>
            </w:pPr>
          </w:p>
        </w:tc>
        <w:tc>
          <w:tcPr>
            <w:tcW w:w="103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Employment Agreement, dated June 30, 2019, by and between the Registrant and Diego Cadavid (incorporated by reference to Exhibit 10.15 to</w:t>
              </w:r>
            </w:hyperlink>
          </w:p>
        </w:tc>
        <w:tc>
          <w:tcPr>
            <w:tcW w:w="1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20" w:type="dxa"/>
            <w:vAlign w:val="bottom"/>
            <w:gridSpan w:val="25"/>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Amendment No. 2 to Registrant’s Registration Statement on Form S-1 (File No. 333-232260) filed with the Securities and Exchange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6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Commission on July 12, 2019).</w:t>
              </w:r>
            </w:hyperlink>
          </w:p>
        </w:tc>
        <w:tc>
          <w:tcPr>
            <w:tcW w:w="9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40" w:type="dxa"/>
            <w:vAlign w:val="bottom"/>
            <w:gridSpan w:val="8"/>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c>
          <w:tcPr>
            <w:tcW w:w="10520" w:type="dxa"/>
            <w:vAlign w:val="bottom"/>
            <w:gridSpan w:val="25"/>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Form of Indemnification Agreement between the Registrant and each of its Executive Officers and Directors (incorporated by reference to</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5640" w:type="dxa"/>
            <w:vAlign w:val="bottom"/>
            <w:gridSpan w:val="8"/>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Exhibit 10.15 to Registrant’s Registration Statement on Form S-1 (File No. 333-232260) filed with the Securities and Exchange Commission on</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June 21, 2019).</w:t>
              </w:r>
            </w:hyperlink>
          </w:p>
        </w:tc>
        <w:tc>
          <w:tcPr>
            <w:tcW w:w="940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10520" w:type="dxa"/>
            <w:vAlign w:val="bottom"/>
            <w:gridSpan w:val="25"/>
          </w:tcPr>
          <w:p>
            <w:pPr>
              <w:spacing w:after="0"/>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Certification of Principal Executive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Pursuant to Section 302 of the Sarbanes-Oxley Act of 2002.</w:t>
              </w:r>
            </w:hyperlink>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5920" w:type="dxa"/>
            <w:vAlign w:val="bottom"/>
            <w:gridSpan w:val="1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102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74">
              <w:r>
                <w:rPr>
                  <w:rFonts w:ascii="Times New Roman" w:cs="Times New Roman" w:eastAsia="Times New Roman" w:hAnsi="Times New Roman"/>
                  <w:sz w:val="18"/>
                  <w:szCs w:val="18"/>
                  <w:color w:val="0000EE"/>
                  <w:w w:val="99"/>
                </w:rPr>
                <w:t>Certification of Principal Financial Officer Pursuant to Rules 13a-14(a) and 15d-14(a) under the Securities Exchange Act of 1934, as Adopted</w:t>
              </w:r>
            </w:hyperlink>
          </w:p>
        </w:tc>
        <w:tc>
          <w:tcPr>
            <w:tcW w:w="28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20" w:type="dxa"/>
            <w:vAlign w:val="bottom"/>
            <w:gridSpan w:val="25"/>
          </w:tcPr>
          <w:p>
            <w:pPr>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Pursuant to Section 302 of the Sarbanes-Oxley Act of 2002.</w:t>
              </w:r>
            </w:hyperlink>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6000" w:type="dxa"/>
            <w:vAlign w:val="bottom"/>
            <w:gridSpan w:val="1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8"/>
                <w:szCs w:val="18"/>
                <w:color w:val="auto"/>
              </w:rPr>
            </w:pPr>
          </w:p>
        </w:tc>
        <w:tc>
          <w:tcPr>
            <w:tcW w:w="10520" w:type="dxa"/>
            <w:vAlign w:val="bottom"/>
            <w:gridSpan w:val="25"/>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6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of 2002.</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720" w:type="dxa"/>
            <w:vAlign w:val="bottom"/>
            <w:gridSpan w:val="18"/>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8"/>
                <w:szCs w:val="18"/>
                <w:color w:val="auto"/>
              </w:rPr>
            </w:pPr>
          </w:p>
        </w:tc>
        <w:tc>
          <w:tcPr>
            <w:tcW w:w="103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76">
              <w:r>
                <w:rPr>
                  <w:rFonts w:ascii="Times New Roman" w:cs="Times New Roman" w:eastAsia="Times New Roman" w:hAnsi="Times New Roman"/>
                  <w:sz w:val="18"/>
                  <w:szCs w:val="18"/>
                  <w:color w:val="0000EE"/>
                  <w:w w:val="99"/>
                </w:rPr>
                <w:t>Certification of Principal Financial Officer Pursuant to 18 U.S.C. Section 1350, as Adopted Pursuant to Section 906 of the Sarbanes-Oxley Act</w:t>
              </w:r>
            </w:hyperlink>
          </w:p>
        </w:tc>
        <w:tc>
          <w:tcPr>
            <w:tcW w:w="20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20" w:type="dxa"/>
            <w:vAlign w:val="bottom"/>
            <w:gridSpan w:val="25"/>
          </w:tcPr>
          <w:p>
            <w:pPr>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of 2002.</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92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105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30"/>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105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105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105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0"/>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105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3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105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1"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2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FULCRUM THERAPEUTICS, INC.</w:t>
            </w:r>
          </w:p>
        </w:tc>
      </w:tr>
      <w:tr>
        <w:trPr>
          <w:trHeight w:val="45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2019</w:t>
            </w:r>
          </w:p>
        </w:tc>
        <w:tc>
          <w:tcPr>
            <w:tcW w:w="20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J. Gould</w:t>
            </w:r>
          </w:p>
        </w:tc>
      </w:tr>
      <w:tr>
        <w:trPr>
          <w:trHeight w:val="218"/>
        </w:trPr>
        <w:tc>
          <w:tcPr>
            <w:tcW w:w="36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J. Gould, Ph.D.</w:t>
            </w:r>
          </w:p>
        </w:tc>
      </w:tr>
      <w:tr>
        <w:trPr>
          <w:trHeight w:val="234"/>
        </w:trPr>
        <w:tc>
          <w:tcPr>
            <w:tcW w:w="36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President, Director</w:t>
            </w:r>
          </w:p>
        </w:tc>
      </w:tr>
      <w:tr>
        <w:trPr>
          <w:trHeight w:val="45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2019</w:t>
            </w:r>
          </w:p>
        </w:tc>
        <w:tc>
          <w:tcPr>
            <w:tcW w:w="20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Bryan Stuart</w:t>
            </w:r>
          </w:p>
        </w:tc>
      </w:tr>
      <w:tr>
        <w:trPr>
          <w:trHeight w:val="228"/>
        </w:trPr>
        <w:tc>
          <w:tcPr>
            <w:tcW w:w="36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Bryan Stuart</w:t>
            </w:r>
          </w:p>
        </w:tc>
      </w:tr>
    </w:tbl>
    <w:p>
      <w:pPr>
        <w:ind w:left="6660"/>
        <w:spacing w:after="0"/>
        <w:rPr>
          <w:sz w:val="20"/>
          <w:szCs w:val="20"/>
          <w:color w:val="auto"/>
        </w:rPr>
      </w:pPr>
      <w:r>
        <w:rPr>
          <w:rFonts w:ascii="Times New Roman" w:cs="Times New Roman" w:eastAsia="Times New Roman" w:hAnsi="Times New Roman"/>
          <w:sz w:val="18"/>
          <w:szCs w:val="18"/>
          <w:color w:val="auto"/>
        </w:rPr>
        <w:t>Chief Operating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333" w:right="2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Gould, certify that:</w:t>
      </w:r>
    </w:p>
    <w:p>
      <w:pPr>
        <w:spacing w:after="0" w:line="117" w:lineRule="exact"/>
        <w:rPr>
          <w:sz w:val="20"/>
          <w:szCs w:val="20"/>
          <w:color w:val="auto"/>
        </w:rPr>
      </w:pPr>
    </w:p>
    <w:p>
      <w:pPr>
        <w:ind w:left="800" w:hanging="172"/>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Fulcrum Therapeutics, Inc.;</w:t>
      </w:r>
    </w:p>
    <w:p>
      <w:pPr>
        <w:spacing w:after="0" w:line="117" w:lineRule="exact"/>
        <w:rPr>
          <w:rFonts w:ascii="Times New Roman" w:cs="Times New Roman" w:eastAsia="Times New Roman" w:hAnsi="Times New Roman"/>
          <w:sz w:val="18"/>
          <w:szCs w:val="18"/>
          <w:color w:val="auto"/>
        </w:rPr>
      </w:pPr>
    </w:p>
    <w:p>
      <w:pPr>
        <w:ind w:right="140" w:firstLine="628"/>
        <w:spacing w:after="0" w:line="282" w:lineRule="auto"/>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100" w:firstLine="628"/>
        <w:spacing w:after="0" w:line="282" w:lineRule="auto"/>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140" w:firstLine="628"/>
        <w:spacing w:after="0" w:line="282" w:lineRule="auto"/>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620" w:right="480" w:firstLine="594"/>
        <w:spacing w:after="0" w:line="266" w:lineRule="auto"/>
        <w:tabs>
          <w:tab w:leader="none" w:pos="145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460" w:hanging="246"/>
        <w:spacing w:after="0"/>
        <w:tabs>
          <w:tab w:leader="none" w:pos="14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117" w:lineRule="exact"/>
        <w:rPr>
          <w:rFonts w:ascii="Times New Roman" w:cs="Times New Roman" w:eastAsia="Times New Roman" w:hAnsi="Times New Roman"/>
          <w:sz w:val="18"/>
          <w:szCs w:val="18"/>
          <w:color w:val="auto"/>
        </w:rPr>
      </w:pPr>
    </w:p>
    <w:p>
      <w:pPr>
        <w:ind w:left="620" w:right="260" w:firstLine="594"/>
        <w:spacing w:after="0" w:line="282" w:lineRule="auto"/>
        <w:tabs>
          <w:tab w:leader="none" w:pos="145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620" w:right="220" w:firstLine="594"/>
        <w:spacing w:after="0" w:line="266" w:lineRule="auto"/>
        <w:tabs>
          <w:tab w:leader="none" w:pos="146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100" w:firstLine="628"/>
        <w:spacing w:after="0" w:line="282" w:lineRule="auto"/>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20" w:right="480" w:firstLine="594"/>
        <w:spacing w:after="0" w:line="282" w:lineRule="auto"/>
        <w:tabs>
          <w:tab w:leader="none" w:pos="145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20" w:right="160" w:firstLine="594"/>
        <w:spacing w:after="0" w:line="282" w:lineRule="auto"/>
        <w:tabs>
          <w:tab w:leader="none" w:pos="146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2019</w:t>
            </w:r>
          </w:p>
        </w:tc>
        <w:tc>
          <w:tcPr>
            <w:tcW w:w="704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By: /s/ Robert J. Gould</w:t>
            </w:r>
          </w:p>
        </w:tc>
      </w:tr>
      <w:tr>
        <w:trPr>
          <w:trHeight w:val="191"/>
        </w:trPr>
        <w:tc>
          <w:tcPr>
            <w:tcW w:w="43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Robert J. Gould, Ph.D.</w:t>
            </w:r>
          </w:p>
        </w:tc>
      </w:tr>
      <w:tr>
        <w:trPr>
          <w:trHeight w:val="216"/>
        </w:trPr>
        <w:tc>
          <w:tcPr>
            <w:tcW w:w="43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3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117" w:right="2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Bryan Stuart, certify that:</w:t>
      </w:r>
    </w:p>
    <w:p>
      <w:pPr>
        <w:spacing w:after="0" w:line="117" w:lineRule="exact"/>
        <w:rPr>
          <w:sz w:val="20"/>
          <w:szCs w:val="20"/>
          <w:color w:val="auto"/>
        </w:rPr>
      </w:pPr>
    </w:p>
    <w:p>
      <w:pPr>
        <w:ind w:left="800" w:hanging="172"/>
        <w:spacing w:after="0"/>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Fulcrum Therapeutics, Inc.;</w:t>
      </w:r>
    </w:p>
    <w:p>
      <w:pPr>
        <w:spacing w:after="0" w:line="117" w:lineRule="exact"/>
        <w:rPr>
          <w:rFonts w:ascii="Times New Roman" w:cs="Times New Roman" w:eastAsia="Times New Roman" w:hAnsi="Times New Roman"/>
          <w:sz w:val="18"/>
          <w:szCs w:val="18"/>
          <w:color w:val="auto"/>
        </w:rPr>
      </w:pPr>
    </w:p>
    <w:p>
      <w:pPr>
        <w:ind w:right="140" w:firstLine="628"/>
        <w:spacing w:after="0" w:line="282" w:lineRule="auto"/>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100" w:firstLine="628"/>
        <w:spacing w:after="0" w:line="282" w:lineRule="auto"/>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140" w:firstLine="628"/>
        <w:spacing w:after="0" w:line="282" w:lineRule="auto"/>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620" w:right="480" w:firstLine="594"/>
        <w:spacing w:after="0" w:line="266" w:lineRule="auto"/>
        <w:tabs>
          <w:tab w:leader="none" w:pos="145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460" w:hanging="246"/>
        <w:spacing w:after="0"/>
        <w:tabs>
          <w:tab w:leader="none" w:pos="14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117" w:lineRule="exact"/>
        <w:rPr>
          <w:rFonts w:ascii="Times New Roman" w:cs="Times New Roman" w:eastAsia="Times New Roman" w:hAnsi="Times New Roman"/>
          <w:sz w:val="18"/>
          <w:szCs w:val="18"/>
          <w:color w:val="auto"/>
        </w:rPr>
      </w:pPr>
    </w:p>
    <w:p>
      <w:pPr>
        <w:ind w:left="620" w:right="260" w:firstLine="594"/>
        <w:spacing w:after="0" w:line="282" w:lineRule="auto"/>
        <w:tabs>
          <w:tab w:leader="none" w:pos="145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620" w:right="220" w:firstLine="594"/>
        <w:spacing w:after="0" w:line="266" w:lineRule="auto"/>
        <w:tabs>
          <w:tab w:leader="none" w:pos="146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100" w:firstLine="628"/>
        <w:spacing w:after="0" w:line="282" w:lineRule="auto"/>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20" w:right="480" w:firstLine="594"/>
        <w:spacing w:after="0" w:line="282" w:lineRule="auto"/>
        <w:tabs>
          <w:tab w:leader="none" w:pos="145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20" w:right="160" w:firstLine="594"/>
        <w:spacing w:after="0" w:line="282" w:lineRule="auto"/>
        <w:tabs>
          <w:tab w:leader="none" w:pos="146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2019</w:t>
            </w:r>
          </w:p>
        </w:tc>
        <w:tc>
          <w:tcPr>
            <w:tcW w:w="704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By: /s/ Bryan Stuart</w:t>
            </w:r>
          </w:p>
        </w:tc>
      </w:tr>
      <w:tr>
        <w:trPr>
          <w:trHeight w:val="191"/>
        </w:trPr>
        <w:tc>
          <w:tcPr>
            <w:tcW w:w="43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Bryan Stuart</w:t>
            </w:r>
          </w:p>
        </w:tc>
      </w:tr>
      <w:tr>
        <w:trPr>
          <w:trHeight w:val="216"/>
        </w:trPr>
        <w:tc>
          <w:tcPr>
            <w:tcW w:w="43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34"/>
        </w:trPr>
        <w:tc>
          <w:tcPr>
            <w:tcW w:w="43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420"/>
          </w:cols>
          <w:pgMar w:left="240" w:top="117" w:right="2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Fulcrum Therapeutics, Inc. (the “Company”) for the period ended September 30, 2019, as filed with the Securities and Exchange Commission on the date hereof (the “Report”), the undersigned, Robert J. Gould, President and Chief Executive Officer of the Company, hereby certifies, pursuant to 18 U.S.C. Section 1350, as adopted pursuant to Section 906 of the Sarbanes-Oxley Act of 2002, that to his knowledge:</w:t>
      </w:r>
    </w:p>
    <w:p>
      <w:pPr>
        <w:spacing w:after="0" w:line="180" w:lineRule="exact"/>
        <w:rPr>
          <w:sz w:val="20"/>
          <w:szCs w:val="20"/>
          <w:color w:val="auto"/>
        </w:rPr>
      </w:pPr>
    </w:p>
    <w:p>
      <w:pPr>
        <w:ind w:left="780" w:hanging="254"/>
        <w:spacing w:after="0"/>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80" w:hanging="254"/>
        <w:spacing w:after="0"/>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November 14,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J. Gould</w:t>
      </w:r>
    </w:p>
    <w:p>
      <w:pPr>
        <w:spacing w:after="0" w:line="5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Robert J. Gould,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-127635</wp:posOffset>
            </wp:positionV>
            <wp:extent cx="34048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347" w:right="2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18"/>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on Form 10-Q of Fulcrum Therapeutics, Inc. (the “Company”) for the period ended September 30, 2019, as filed with the Securities and Exchange Commission on the date hereof (the “Report”), the undersigned, Bryan Stuart, Chief Operating Officer of the Company, hereby certifies, pursuant to 18 U.S.C. Section 1350, as adopted pursuant to Section 906 of the Sarbanes-Oxley Act of 2002, that to his knowledge:</w:t>
      </w:r>
    </w:p>
    <w:p>
      <w:pPr>
        <w:spacing w:after="0" w:line="158" w:lineRule="exact"/>
        <w:rPr>
          <w:sz w:val="20"/>
          <w:szCs w:val="20"/>
          <w:color w:val="auto"/>
        </w:rPr>
      </w:pPr>
    </w:p>
    <w:p>
      <w:pPr>
        <w:ind w:left="780" w:hanging="254"/>
        <w:spacing w:after="0"/>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80" w:hanging="254"/>
        <w:spacing w:after="0"/>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November 14,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Bryan Stuart</w:t>
      </w:r>
    </w:p>
    <w:p>
      <w:pPr>
        <w:spacing w:after="0" w:line="5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-127635</wp:posOffset>
            </wp:positionV>
            <wp:extent cx="34048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3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1)"/>
      <w:numFmt w:val="lowerLetter"/>
      <w:start w:val="1"/>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92" Type="http://schemas.openxmlformats.org/officeDocument/2006/relationships/hyperlink" Target="http://www.sec.gov/Archives/edgar/data/0001680581/000104746919004324/a2239321zex-3_1.htm" TargetMode="External"/><Relationship Id="rId93" Type="http://schemas.openxmlformats.org/officeDocument/2006/relationships/hyperlink" Target="http://www.sec.gov/Archives/edgar/data/0001680581/000104746919004324/a2239321zex-3_2.htm" TargetMode="External"/><Relationship Id="rId94" Type="http://schemas.openxmlformats.org/officeDocument/2006/relationships/hyperlink" Target="http://www.sec.gov/Archives/edgar/data/0001680581/000104746919004014/a2239182zex-10_6.htm" TargetMode="External"/><Relationship Id="rId95" Type="http://schemas.openxmlformats.org/officeDocument/2006/relationships/hyperlink" Target="http://www.sec.gov/Archives/edgar/data/0001680581/000104746919004014/a2239182zex-10_7.htm" TargetMode="External"/><Relationship Id="rId96" Type="http://schemas.openxmlformats.org/officeDocument/2006/relationships/hyperlink" Target="http://www.sec.gov/Archives/edgar/data/0001680581/000104746919004014/a2239182zex-10_8.htm" TargetMode="External"/><Relationship Id="rId97" Type="http://schemas.openxmlformats.org/officeDocument/2006/relationships/hyperlink" Target="http://www.sec.gov/Archives/edgar/data/0001680581/000104746919004014/a2239182zex-10_9.htm" TargetMode="External"/><Relationship Id="rId98" Type="http://schemas.openxmlformats.org/officeDocument/2006/relationships/hyperlink" Target="http://www.sec.gov/Archives/edgar/data/0001680581/000104746919004014/a2239182zex-10_12.htm" TargetMode="External"/><Relationship Id="rId99" Type="http://schemas.openxmlformats.org/officeDocument/2006/relationships/hyperlink" Target="http://www.sec.gov/Archives/edgar/data/0001680581/000104746919004158/a2239256zex-10_13.htm" TargetMode="External"/><Relationship Id="rId100" Type="http://schemas.openxmlformats.org/officeDocument/2006/relationships/hyperlink" Target="http://www.sec.gov/Archives/edgar/data/0001680581/000104746919004158/a2239256zex-10_14.htm" TargetMode="External"/><Relationship Id="rId101" Type="http://schemas.openxmlformats.org/officeDocument/2006/relationships/hyperlink" Target="http://www.sec.gov/Archives/edgar/data/0001680581/000104746919004158/a2239256zex-10_15.htm" TargetMode="External"/><Relationship Id="rId102" Type="http://schemas.openxmlformats.org/officeDocument/2006/relationships/hyperlink" Target="http://www.sec.gov/Archives/edgar/data/0001680581/000104746919003793/a2239080zex-10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2019-12-28T01:39:52Z</dcterms:created>
  <dcterms:modified xsi:type="dcterms:W3CDTF">2019-12-28T01:39:52Z</dcterms:modified>
</cp:coreProperties>
</file>