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70"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6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3"/>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104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Dorton Katina</w:t>
              </w:r>
            </w:hyperlink>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Fulcrum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1200" w:type="dxa"/>
            <w:vAlign w:val="bottom"/>
            <w:gridSpan w:val="4"/>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26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06/27/2023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tcPr>
          <w:p>
            <w:pPr>
              <w:ind w:left="20"/>
              <w:spacing w:after="0" w:line="183" w:lineRule="exact"/>
              <w:rPr>
                <w:sz w:val="20"/>
                <w:szCs w:val="20"/>
                <w:color w:val="auto"/>
              </w:rPr>
            </w:pPr>
            <w:r>
              <w:rPr>
                <w:rFonts w:ascii="Arial" w:cs="Arial" w:eastAsia="Arial" w:hAnsi="Arial"/>
                <w:sz w:val="17"/>
                <w:szCs w:val="17"/>
                <w:color w:val="0000FF"/>
              </w:rPr>
              <w:t>26 LANDSDOWNE STREET</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3"/>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11"/>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restart"/>
          </w:tcPr>
          <w:p>
            <w:pPr>
              <w:ind w:left="20"/>
              <w:spacing w:after="0" w:line="164" w:lineRule="exact"/>
              <w:rPr>
                <w:sz w:val="20"/>
                <w:szCs w:val="20"/>
                <w:color w:val="auto"/>
              </w:rPr>
            </w:pPr>
            <w:r>
              <w:rPr>
                <w:rFonts w:ascii="Arial" w:cs="Arial" w:eastAsia="Arial" w:hAnsi="Arial"/>
                <w:sz w:val="17"/>
                <w:szCs w:val="17"/>
                <w:color w:val="0000FF"/>
              </w:rPr>
              <w:t>CAMBRIDGE   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02139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480" w:type="dxa"/>
            <w:vAlign w:val="bottom"/>
            <w:tcBorders>
              <w:bottom w:val="single" w:sz="8" w:color="2C2C2C"/>
            </w:tcBorders>
            <w:gridSpan w:val="7"/>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gridSpan w:val="5"/>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1"/>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w w:val="90"/>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w:t>
            </w:r>
          </w:p>
        </w:tc>
        <w:tc>
          <w:tcPr>
            <w:tcW w:w="160" w:type="dxa"/>
            <w:vAlign w:val="bottom"/>
          </w:tcPr>
          <w:p>
            <w:pPr>
              <w:spacing w:after="0"/>
              <w:rPr>
                <w:sz w:val="17"/>
                <w:szCs w:val="17"/>
                <w:color w:val="auto"/>
              </w:rPr>
            </w:pPr>
          </w:p>
        </w:tc>
        <w:tc>
          <w:tcPr>
            <w:tcW w:w="1040" w:type="dxa"/>
            <w:vAlign w:val="bottom"/>
          </w:tcPr>
          <w:p>
            <w:pPr>
              <w:jc w:val="right"/>
              <w:ind w:right="111"/>
              <w:spacing w:after="0"/>
              <w:rPr>
                <w:sz w:val="20"/>
                <w:szCs w:val="20"/>
                <w:color w:val="auto"/>
              </w:rPr>
            </w:pPr>
            <w:r>
              <w:rPr>
                <w:rFonts w:ascii="Arial" w:cs="Arial" w:eastAsia="Arial" w:hAnsi="Arial"/>
                <w:sz w:val="13"/>
                <w:szCs w:val="13"/>
                <w:color w:val="0000FF"/>
              </w:rPr>
              <w:t>06/27/2023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color w:val="0000FF"/>
              </w:rPr>
              <w:t>30,000</w:t>
            </w:r>
          </w:p>
        </w:tc>
        <w:tc>
          <w:tcPr>
            <w:tcW w:w="7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00" w:type="dxa"/>
            <w:vAlign w:val="bottom"/>
            <w:gridSpan w:val="3"/>
          </w:tcPr>
          <w:p>
            <w:pPr>
              <w:ind w:left="120"/>
              <w:spacing w:after="0"/>
              <w:rPr>
                <w:sz w:val="20"/>
                <w:szCs w:val="20"/>
                <w:color w:val="auto"/>
              </w:rPr>
            </w:pPr>
            <w:r>
              <w:rPr>
                <w:rFonts w:ascii="Arial" w:cs="Arial" w:eastAsia="Arial" w:hAnsi="Arial"/>
                <w:sz w:val="13"/>
                <w:szCs w:val="13"/>
                <w:color w:val="0000FF"/>
              </w:rPr>
              <w:t>06/26/2033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ind w:right="189"/>
              <w:spacing w:after="0"/>
              <w:rPr>
                <w:sz w:val="20"/>
                <w:szCs w:val="20"/>
                <w:color w:val="auto"/>
              </w:rPr>
            </w:pPr>
            <w:r>
              <w:rPr>
                <w:rFonts w:ascii="Arial" w:cs="Arial" w:eastAsia="Arial" w:hAnsi="Arial"/>
                <w:sz w:val="17"/>
                <w:szCs w:val="17"/>
                <w:color w:val="0000FF"/>
              </w:rPr>
              <w:t>0</w:t>
            </w:r>
          </w:p>
        </w:tc>
        <w:tc>
          <w:tcPr>
            <w:tcW w:w="16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30,000</w:t>
            </w:r>
          </w:p>
        </w:tc>
        <w:tc>
          <w:tcPr>
            <w:tcW w:w="26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-5675630</wp:posOffset>
            </wp:positionV>
            <wp:extent cx="7045325" cy="5829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58293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800" w:firstLine="4"/>
        <w:spacing w:after="0" w:line="25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27, 2023 and is scheduled to vest with respect to all shares on the first anniversary of the grant date or, if earlier, immediately prior to the first annual meeting of stockholders occurring after the grant date, subject to continued service.</w:t>
      </w:r>
    </w:p>
    <w:p>
      <w:pPr>
        <w:spacing w:after="0" w:line="4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021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Katina</w:t>
      </w:r>
      <w:r>
        <w:rPr>
          <w:sz w:val="20"/>
          <w:szCs w:val="20"/>
          <w:color w:val="auto"/>
        </w:rPr>
        <w:tab/>
      </w:r>
      <w:r>
        <w:rPr>
          <w:rFonts w:ascii="Arial" w:cs="Arial" w:eastAsia="Arial" w:hAnsi="Arial"/>
          <w:sz w:val="15"/>
          <w:szCs w:val="15"/>
          <w:color w:val="0000FF"/>
        </w:rPr>
        <w:t>06/29/2023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8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30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60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617541" TargetMode="External"/><Relationship Id="rId9"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2023-06-29T15:25:07Z</dcterms:created>
  <dcterms:modified xsi:type="dcterms:W3CDTF">2023-06-29T15:25:07Z</dcterms:modified>
</cp:coreProperties>
</file>