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-10795</wp:posOffset>
            </wp:positionV>
            <wp:extent cx="142240" cy="192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240" cy="192405"/>
                    </a:xfrm>
                    <a:prstGeom prst="rect">
                      <a:avLst/>
                    </a:prstGeom>
                    <a:noFill/>
                  </pic:spPr>
                </pic:pic>
              </a:graphicData>
            </a:graphic>
          </wp:anchor>
        </w:drawing>
      </w:r>
    </w:p>
    <w:p>
      <w:pPr>
        <w:jc w:val="both"/>
        <w:ind w:left="340" w:right="360" w:hanging="256"/>
        <w:spacing w:after="0" w:line="183"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7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68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68790"/>
                    </a:xfrm>
                    <a:prstGeom prst="rect">
                      <a:avLst/>
                    </a:prstGeom>
                    <a:noFill/>
                  </pic:spPr>
                </pic:pic>
              </a:graphicData>
            </a:graphic>
          </wp:anchor>
        </w:drawing>
      </w:r>
    </w:p>
    <w:p>
      <w:pPr>
        <w:spacing w:after="0" w:line="43" w:lineRule="exact"/>
        <w:rPr>
          <w:sz w:val="24"/>
          <w:szCs w:val="24"/>
          <w:color w:val="auto"/>
        </w:rPr>
      </w:pPr>
    </w:p>
    <w:p>
      <w:pPr>
        <w:sectPr>
          <w:pgSz w:w="11900" w:h="16847" w:orient="portrait"/>
          <w:cols w:equalWidth="0" w:num="2">
            <w:col w:w="2280" w:space="44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Section 32 Fund 2, LP</w:t>
              </w:r>
            </w:hyperlink>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8"/>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vMerge w:val="restart"/>
          </w:tcPr>
          <w:p>
            <w:pPr>
              <w:spacing w:after="0"/>
              <w:rPr>
                <w:sz w:val="20"/>
                <w:szCs w:val="20"/>
                <w:color w:val="auto"/>
              </w:rPr>
            </w:pPr>
            <w:r>
              <w:rPr>
                <w:rFonts w:ascii="Arial" w:cs="Arial" w:eastAsia="Arial" w:hAnsi="Arial"/>
                <w:sz w:val="17"/>
                <w:szCs w:val="17"/>
                <w:color w:val="0000FF"/>
                <w:w w:val="99"/>
              </w:rPr>
              <w:t>2033 SAN ELIJO AVENUE, #565</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6"/>
          </w:tcPr>
          <w:p>
            <w:pPr>
              <w:ind w:left="300"/>
              <w:spacing w:after="0"/>
              <w:rPr>
                <w:sz w:val="20"/>
                <w:szCs w:val="20"/>
                <w:color w:val="auto"/>
              </w:rPr>
            </w:pPr>
            <w:r>
              <w:rPr>
                <w:rFonts w:ascii="Arial" w:cs="Arial" w:eastAsia="Arial" w:hAnsi="Arial"/>
                <w:sz w:val="17"/>
                <w:szCs w:val="17"/>
                <w:color w:val="0000FF"/>
              </w:rPr>
              <w:t>07/22/2019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gridSpan w:val="2"/>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380" w:type="dxa"/>
            <w:vAlign w:val="bottom"/>
            <w:tcBorders>
              <w:bottom w:val="single" w:sz="8" w:color="2C2C2C"/>
            </w:tcBorders>
            <w:gridSpan w:val="4"/>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gridSpan w:val="2"/>
          </w:tcPr>
          <w:p>
            <w:pPr>
              <w:spacing w:after="0"/>
              <w:rPr>
                <w:sz w:val="19"/>
                <w:szCs w:val="19"/>
                <w:color w:val="auto"/>
              </w:rPr>
            </w:pPr>
          </w:p>
        </w:tc>
        <w:tc>
          <w:tcPr>
            <w:tcW w:w="2960" w:type="dxa"/>
            <w:vAlign w:val="bottom"/>
            <w:tcBorders>
              <w:bottom w:val="single" w:sz="8" w:color="2C2C2C"/>
            </w:tcBorders>
            <w:gridSpan w:val="5"/>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46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CARDIFF BY</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92007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THE SEA</w:t>
            </w:r>
          </w:p>
        </w:tc>
        <w:tc>
          <w:tcPr>
            <w:tcW w:w="1260" w:type="dxa"/>
            <w:vAlign w:val="bottom"/>
            <w:gridSpan w:val="4"/>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20"/>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4"/>
                <w:szCs w:val="14"/>
                <w:color w:val="auto"/>
              </w:rPr>
            </w:pPr>
          </w:p>
        </w:tc>
        <w:tc>
          <w:tcPr>
            <w:tcW w:w="20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6"/>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7"/>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40"/>
              <w:spacing w:after="0"/>
              <w:rPr>
                <w:sz w:val="20"/>
                <w:szCs w:val="20"/>
                <w:color w:val="auto"/>
              </w:rPr>
            </w:pPr>
            <w:r>
              <w:rPr>
                <w:rFonts w:ascii="Arial" w:cs="Arial" w:eastAsia="Arial" w:hAnsi="Arial"/>
                <w:sz w:val="17"/>
                <w:szCs w:val="17"/>
                <w:color w:val="0000FF"/>
              </w:rPr>
              <w:t>07/22/2019</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C</w:t>
            </w:r>
          </w:p>
        </w:tc>
        <w:tc>
          <w:tcPr>
            <w:tcW w:w="8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1"/>
              </w:rPr>
              <w:t>464,285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464,285</w:t>
            </w:r>
          </w:p>
        </w:tc>
        <w:tc>
          <w:tcPr>
            <w:tcW w:w="960" w:type="dxa"/>
            <w:vAlign w:val="bottom"/>
            <w:tcBorders>
              <w:bottom w:val="single" w:sz="8" w:color="2C2C2C"/>
            </w:tcBorders>
            <w:gridSpan w:val="2"/>
          </w:tcPr>
          <w:p>
            <w:pPr>
              <w:ind w:left="300"/>
              <w:spacing w:after="0" w:line="315"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760" w:type="dxa"/>
            <w:vAlign w:val="bottom"/>
            <w:gridSpan w:val="17"/>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14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4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Disposed 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14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6"/>
                <w:szCs w:val="16"/>
                <w:color w:val="auto"/>
              </w:rPr>
            </w:pP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464,285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restart"/>
          </w:tcPr>
          <w:p>
            <w:pPr>
              <w:ind w:left="24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7"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220"/>
              <w:spacing w:after="0" w:line="127" w:lineRule="exact"/>
              <w:rPr>
                <w:sz w:val="20"/>
                <w:szCs w:val="20"/>
                <w:color w:val="auto"/>
              </w:rPr>
            </w:pPr>
            <w:r>
              <w:rPr>
                <w:rFonts w:ascii="Arial" w:cs="Arial" w:eastAsia="Arial" w:hAnsi="Arial"/>
                <w:sz w:val="13"/>
                <w:szCs w:val="13"/>
                <w:color w:val="0000FF"/>
              </w:rPr>
              <w:t>07/22/2019</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5"/>
          </w:tcPr>
          <w:p>
            <w:pPr>
              <w:ind w:left="140"/>
              <w:spacing w:after="0" w:line="127" w:lineRule="exact"/>
              <w:rPr>
                <w:sz w:val="20"/>
                <w:szCs w:val="20"/>
                <w:color w:val="auto"/>
              </w:rPr>
            </w:pPr>
            <w:r>
              <w:rPr>
                <w:rFonts w:ascii="Arial" w:cs="Arial" w:eastAsia="Arial" w:hAnsi="Arial"/>
                <w:sz w:val="13"/>
                <w:szCs w:val="13"/>
                <w:color w:val="0000FF"/>
              </w:rPr>
              <w:t>C</w:t>
            </w:r>
          </w:p>
        </w:tc>
        <w:tc>
          <w:tcPr>
            <w:tcW w:w="1000" w:type="dxa"/>
            <w:vAlign w:val="bottom"/>
          </w:tcPr>
          <w:p>
            <w:pPr>
              <w:ind w:left="360"/>
              <w:spacing w:after="0" w:line="127" w:lineRule="exact"/>
              <w:rPr>
                <w:sz w:val="20"/>
                <w:szCs w:val="20"/>
                <w:color w:val="auto"/>
              </w:rPr>
            </w:pPr>
            <w:r>
              <w:rPr>
                <w:rFonts w:ascii="Arial" w:cs="Arial" w:eastAsia="Arial" w:hAnsi="Arial"/>
                <w:sz w:val="13"/>
                <w:szCs w:val="13"/>
                <w:color w:val="0000FF"/>
              </w:rPr>
              <w:t>3,250,000</w:t>
            </w: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420"/>
              <w:spacing w:after="0" w:line="127"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5"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Section 32 Fund 2, LP</w:t>
              </w:r>
            </w:hyperlink>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6"/>
          </w:tcPr>
          <w:p>
            <w:pPr>
              <w:spacing w:after="0"/>
              <w:rPr>
                <w:sz w:val="20"/>
                <w:szCs w:val="20"/>
                <w:color w:val="auto"/>
              </w:rPr>
            </w:pPr>
            <w:r>
              <w:rPr>
                <w:rFonts w:ascii="Arial" w:cs="Arial" w:eastAsia="Arial" w:hAnsi="Arial"/>
                <w:sz w:val="17"/>
                <w:szCs w:val="17"/>
                <w:color w:val="0000FF"/>
                <w:w w:val="99"/>
              </w:rPr>
              <w:t>2033 SAN ELIJO AVENUE, #565</w:t>
            </w: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spacing w:after="0" w:line="290" w:lineRule="exact"/>
              <w:rPr>
                <w:sz w:val="20"/>
                <w:szCs w:val="20"/>
                <w:color w:val="auto"/>
              </w:rPr>
            </w:pPr>
            <w:r>
              <w:rPr>
                <w:rFonts w:ascii="Arial" w:cs="Arial" w:eastAsia="Arial" w:hAnsi="Arial"/>
                <w:sz w:val="17"/>
                <w:szCs w:val="17"/>
                <w:color w:val="0000FF"/>
              </w:rPr>
              <w:t xml:space="preserve">CARDIFF BY THE </w:t>
            </w:r>
            <w:r>
              <w:rPr>
                <w:rFonts w:ascii="Arial" w:cs="Arial" w:eastAsia="Arial" w:hAnsi="Arial"/>
                <w:sz w:val="33"/>
                <w:szCs w:val="33"/>
                <w:color w:val="0000FF"/>
                <w:vertAlign w:val="subscript"/>
              </w:rPr>
              <w:t>CA</w:t>
            </w:r>
          </w:p>
        </w:tc>
        <w:tc>
          <w:tcPr>
            <w:tcW w:w="1080" w:type="dxa"/>
            <w:vAlign w:val="bottom"/>
          </w:tcPr>
          <w:p>
            <w:pPr>
              <w:ind w:left="400"/>
              <w:spacing w:after="0"/>
              <w:rPr>
                <w:sz w:val="20"/>
                <w:szCs w:val="20"/>
                <w:color w:val="auto"/>
              </w:rPr>
            </w:pPr>
            <w:r>
              <w:rPr>
                <w:rFonts w:ascii="Arial" w:cs="Arial" w:eastAsia="Arial" w:hAnsi="Arial"/>
                <w:sz w:val="17"/>
                <w:szCs w:val="17"/>
                <w:color w:val="0000FF"/>
              </w:rPr>
              <w:t>92007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SEA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Section 32 GP 2, LLC</w:t>
              </w:r>
            </w:hyperlink>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6"/>
          </w:tcPr>
          <w:p>
            <w:pPr>
              <w:spacing w:after="0"/>
              <w:rPr>
                <w:sz w:val="20"/>
                <w:szCs w:val="20"/>
                <w:color w:val="auto"/>
              </w:rPr>
            </w:pPr>
            <w:r>
              <w:rPr>
                <w:rFonts w:ascii="Arial" w:cs="Arial" w:eastAsia="Arial" w:hAnsi="Arial"/>
                <w:sz w:val="17"/>
                <w:szCs w:val="17"/>
                <w:color w:val="0000FF"/>
                <w:w w:val="99"/>
              </w:rPr>
              <w:t>2033 SAN ELIJO AVENUE, #565</w:t>
            </w: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spacing w:after="0" w:line="290" w:lineRule="exact"/>
              <w:rPr>
                <w:sz w:val="20"/>
                <w:szCs w:val="20"/>
                <w:color w:val="auto"/>
              </w:rPr>
            </w:pPr>
            <w:r>
              <w:rPr>
                <w:rFonts w:ascii="Arial" w:cs="Arial" w:eastAsia="Arial" w:hAnsi="Arial"/>
                <w:sz w:val="17"/>
                <w:szCs w:val="17"/>
                <w:color w:val="0000FF"/>
              </w:rPr>
              <w:t xml:space="preserve">CARDIFF BY THE </w:t>
            </w:r>
            <w:r>
              <w:rPr>
                <w:rFonts w:ascii="Arial" w:cs="Arial" w:eastAsia="Arial" w:hAnsi="Arial"/>
                <w:sz w:val="33"/>
                <w:szCs w:val="33"/>
                <w:color w:val="0000FF"/>
                <w:vertAlign w:val="subscript"/>
              </w:rPr>
              <w:t>CA</w:t>
            </w:r>
          </w:p>
        </w:tc>
        <w:tc>
          <w:tcPr>
            <w:tcW w:w="1080" w:type="dxa"/>
            <w:vAlign w:val="bottom"/>
          </w:tcPr>
          <w:p>
            <w:pPr>
              <w:ind w:left="400"/>
              <w:spacing w:after="0"/>
              <w:rPr>
                <w:sz w:val="20"/>
                <w:szCs w:val="20"/>
                <w:color w:val="auto"/>
              </w:rPr>
            </w:pPr>
            <w:r>
              <w:rPr>
                <w:rFonts w:ascii="Arial" w:cs="Arial" w:eastAsia="Arial" w:hAnsi="Arial"/>
                <w:sz w:val="17"/>
                <w:szCs w:val="17"/>
                <w:color w:val="0000FF"/>
              </w:rPr>
              <w:t>92007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SEA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spacing w:after="0" w:line="219" w:lineRule="exact"/>
              <w:rPr>
                <w:rFonts w:ascii="Arial" w:cs="Arial" w:eastAsia="Arial" w:hAnsi="Arial"/>
                <w:sz w:val="21"/>
                <w:szCs w:val="21"/>
                <w:color w:val="0000EE"/>
                <w:w w:val="99"/>
              </w:rPr>
            </w:pPr>
            <w:hyperlink r:id="rId15">
              <w:r>
                <w:rPr>
                  <w:rFonts w:ascii="Arial" w:cs="Arial" w:eastAsia="Arial" w:hAnsi="Arial"/>
                  <w:sz w:val="21"/>
                  <w:szCs w:val="21"/>
                  <w:color w:val="0000EE"/>
                  <w:w w:val="99"/>
                </w:rPr>
                <w:t>Maris William J</w:t>
              </w:r>
            </w:hyperlink>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-5968365</wp:posOffset>
            </wp:positionV>
            <wp:extent cx="24130" cy="1819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81927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2033 SAN ELIJO AVENUE, #565</w:t>
      </w:r>
    </w:p>
    <w:p>
      <w:pPr>
        <w:sectPr>
          <w:pgSz w:w="11900" w:h="16847" w:orient="portrait"/>
          <w:cols w:equalWidth="0" w:num="1">
            <w:col w:w="11520"/>
          </w:cols>
          <w:pgMar w:left="240" w:top="223" w:right="139" w:bottom="0" w:gutter="0" w:footer="0" w:header="0"/>
          <w:type w:val="continuous"/>
        </w:sect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47" w:orient="portrait"/>
          <w:cols w:equalWidth="0" w:num="1">
            <w:col w:w="11520"/>
          </w:cols>
          <w:pgMar w:left="240" w:top="223" w:right="1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10"/>
        </w:trPr>
        <w:tc>
          <w:tcPr>
            <w:tcW w:w="2380" w:type="dxa"/>
            <w:vAlign w:val="bottom"/>
            <w:gridSpan w:val="2"/>
          </w:tcPr>
          <w:p>
            <w:pPr>
              <w:spacing w:after="0"/>
              <w:rPr>
                <w:sz w:val="20"/>
                <w:szCs w:val="20"/>
                <w:color w:val="auto"/>
              </w:rPr>
            </w:pPr>
            <w:r>
              <w:rPr>
                <w:rFonts w:ascii="Arial" w:cs="Arial" w:eastAsia="Arial" w:hAnsi="Arial"/>
                <w:sz w:val="17"/>
                <w:szCs w:val="17"/>
                <w:color w:val="0000FF"/>
              </w:rPr>
              <w:t>CARDIFF BY THE CA</w:t>
            </w:r>
          </w:p>
        </w:tc>
        <w:tc>
          <w:tcPr>
            <w:tcW w:w="1960" w:type="dxa"/>
            <w:vAlign w:val="bottom"/>
          </w:tcPr>
          <w:p>
            <w:pPr>
              <w:ind w:left="540"/>
              <w:spacing w:after="0"/>
              <w:rPr>
                <w:sz w:val="20"/>
                <w:szCs w:val="20"/>
                <w:color w:val="auto"/>
              </w:rPr>
            </w:pPr>
            <w:r>
              <w:rPr>
                <w:rFonts w:ascii="Arial" w:cs="Arial" w:eastAsia="Arial" w:hAnsi="Arial"/>
                <w:sz w:val="17"/>
                <w:szCs w:val="17"/>
                <w:color w:val="0000FF"/>
              </w:rPr>
              <w:t>92007</w:t>
            </w:r>
          </w:p>
        </w:tc>
      </w:tr>
      <w:tr>
        <w:trPr>
          <w:trHeight w:val="216"/>
        </w:trPr>
        <w:tc>
          <w:tcPr>
            <w:tcW w:w="900" w:type="dxa"/>
            <w:vAlign w:val="bottom"/>
          </w:tcPr>
          <w:p>
            <w:pPr>
              <w:spacing w:after="0"/>
              <w:rPr>
                <w:sz w:val="20"/>
                <w:szCs w:val="20"/>
                <w:color w:val="auto"/>
              </w:rPr>
            </w:pPr>
            <w:r>
              <w:rPr>
                <w:rFonts w:ascii="Arial" w:cs="Arial" w:eastAsia="Arial" w:hAnsi="Arial"/>
                <w:sz w:val="17"/>
                <w:szCs w:val="17"/>
                <w:color w:val="0000FF"/>
              </w:rPr>
              <w:t>SEA</w:t>
            </w: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53"/>
        </w:trPr>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1"/>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5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-565785</wp:posOffset>
            </wp:positionV>
            <wp:extent cx="2920365" cy="647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0365" cy="64706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right="180" w:firstLine="5"/>
        <w:spacing w:after="0" w:line="297" w:lineRule="auto"/>
        <w:tabs>
          <w:tab w:leader="none" w:pos="13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22, 2019, the Series B Preferred Stock converted into Common Stock on a seven-for-one basis upon the closing of the Issuer's initial public offering without payment of consideration. The Series B Preferred Stock was convertible at any time at the holder's election and automatically upon the closing of the Issuer's initial public offering. The shares had no expiration date.</w:t>
      </w:r>
    </w:p>
    <w:p>
      <w:pPr>
        <w:jc w:val="both"/>
        <w:ind w:firstLine="5"/>
        <w:spacing w:after="0" w:line="347" w:lineRule="auto"/>
        <w:tabs>
          <w:tab w:leader="none" w:pos="13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reported securities are held of record by Section 32 Fund 2, LP ("Fund 2"). Section 32 GP 2, LLC (the "GP"), the general partner of Fund 2, and William J. Maris, the managing member of the GP, may be deemed to share voting and dispositive power over the shares held by Fund 2. Such person and entity disclaim beneficial ownership of shares held by Fund 2 except to the extent of any pecuniary interest therein.</w:t>
      </w:r>
    </w:p>
    <w:p>
      <w:pPr>
        <w:sectPr>
          <w:pgSz w:w="11900" w:h="16838" w:orient="portrait"/>
          <w:cols w:equalWidth="0" w:num="1">
            <w:col w:w="11080"/>
          </w:cols>
          <w:pgMar w:left="280" w:top="131" w:right="539" w:bottom="1440" w:gutter="0" w:footer="0" w:header="0"/>
        </w:sectPr>
      </w:pPr>
    </w:p>
    <w:p>
      <w:pPr>
        <w:spacing w:after="0" w:line="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Jennifer L. Kercher,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4445</wp:posOffset>
            </wp:positionV>
            <wp:extent cx="1417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in-fact on behalf of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-6350</wp:posOffset>
            </wp:positionV>
            <wp:extent cx="1322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Fund 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-13335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Jennifer L. Kercher,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4445</wp:posOffset>
            </wp:positionV>
            <wp:extent cx="1417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in-fact on behalf of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-6350</wp:posOffset>
            </wp:positionV>
            <wp:extent cx="1322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GP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-13335</wp:posOffset>
            </wp:positionV>
            <wp:extent cx="478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Jennifer L. Kercher,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4445</wp:posOffset>
            </wp:positionV>
            <wp:extent cx="1417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in-fact on behalf of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-13335</wp:posOffset>
            </wp:positionV>
            <wp:extent cx="130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-13335</wp:posOffset>
            </wp:positionV>
            <wp:extent cx="252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52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494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494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494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9060" w:space="40"/>
            <w:col w:w="1980"/>
          </w:cols>
          <w:pgMar w:left="280" w:top="131" w:right="539" w:bottom="1440" w:gutter="0" w:footer="0" w:header="0"/>
          <w:type w:val="continuous"/>
        </w:sect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500"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2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2" Type="http://schemas.openxmlformats.org/officeDocument/2006/relationships/hyperlink" Target="http://www.sec.gov/cgi-bin/browse-edgar?action=getcompany&amp;CIK=0001725306"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725307" TargetMode="External"/><Relationship Id="rId15" Type="http://schemas.openxmlformats.org/officeDocument/2006/relationships/hyperlink" Target="http://www.sec.gov/cgi-bin/browse-edgar?action=getcompany&amp;CIK=0001722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2019-12-23T20:30:10Z</dcterms:created>
  <dcterms:modified xsi:type="dcterms:W3CDTF">2019-12-23T20:30:10Z</dcterms:modified>
</cp:coreProperties>
</file>