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FULCRUM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359616109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359616109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Nantahala Capital Management, LLC</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4,777,912.00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4,777,912.00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4,777,912.00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7.6568 %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359616109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Wilmot B. Harkey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4,777,912.00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4,777,912.00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4,777,912.00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7.6568 %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359616109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Daniel Mack</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4,777,912.00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4,777,912.00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4,777,912.00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7.6568 %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72"/>
        <w:gridCol w:w="8978"/>
        <w:gridCol w:w="155"/>
      </w:tblGrid>
      <w:tr>
        <w:trPr/>
        <w:tc>
          <w:tcPr>
            <w:tcW w:w="1072" w:type="dxa"/>
            <w:tcBorders/>
            <w:vAlign w:val="center"/>
          </w:tcPr>
          <w:p>
            <w:pPr>
              <w:pStyle w:val="TableContents"/>
              <w:bidi w:val="0"/>
              <w:spacing w:before="0" w:after="283"/>
              <w:jc w:val="left"/>
              <w:rPr/>
            </w:pPr>
            <w:r>
              <w:rPr/>
              <w:t>Item 1.</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issuer: </w:t>
            </w:r>
          </w:p>
          <w:p>
            <w:pPr>
              <w:pStyle w:val="TableContents"/>
              <w:bidi w:val="0"/>
              <w:spacing w:before="0" w:after="0"/>
              <w:jc w:val="left"/>
              <w:rPr/>
            </w:pPr>
            <w:r>
              <w:rPr/>
              <w:t>FULCRUM THERAPEUTICS, INC.</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2.</w:t>
            </w:r>
          </w:p>
        </w:tc>
        <w:tc>
          <w:tcPr>
            <w:tcW w:w="89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(1) Nantahala Capital Management, LLC ("Nantahala") (2) Wilmot B. Harkey (3) Daniel Mack (together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 Main St. 2nd Floor, New Canaan, CT 06840</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jc w:val="left"/>
              <w:rPr/>
            </w:pPr>
            <w:r>
              <w:rPr/>
              <w:t xml:space="preserve">Citizenship: </w:t>
            </w:r>
          </w:p>
          <w:p>
            <w:pPr>
              <w:pStyle w:val="TableContents"/>
              <w:bidi w:val="0"/>
              <w:spacing w:before="0" w:after="0"/>
              <w:jc w:val="left"/>
              <w:rPr/>
            </w:pPr>
            <w:r>
              <w:rPr/>
              <w:t>(1) Nantahala is a Massachusetts limited liability company. (2) Each of Messrs. Harkey and Mack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jc w:val="left"/>
              <w:rPr/>
            </w:pPr>
            <w:r>
              <w:rPr/>
              <w:t xml:space="preserve">CUSIP No.: </w:t>
            </w:r>
          </w:p>
          <w:p>
            <w:pPr>
              <w:pStyle w:val="TableContents"/>
              <w:bidi w:val="0"/>
              <w:spacing w:before="0" w:after="0"/>
              <w:jc w:val="left"/>
              <w:rPr/>
            </w:pPr>
            <w:r>
              <w:rPr/>
              <w:t>359616109</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3.</w:t>
            </w:r>
          </w:p>
        </w:tc>
        <w:tc>
          <w:tcPr>
            <w:tcW w:w="89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(d)</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(e)</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(f)</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(g)</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(h)</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(j)</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(k)</w:t>
            </w:r>
          </w:p>
        </w:tc>
        <w:tc>
          <w:tcPr>
            <w:tcW w:w="897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9133" w:type="dxa"/>
            <w:gridSpan w:val="2"/>
            <w:tcBorders/>
            <w:vAlign w:val="center"/>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4.</w:t>
            </w:r>
          </w:p>
        </w:tc>
        <w:tc>
          <w:tcPr>
            <w:tcW w:w="89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(a)</w:t>
            </w:r>
          </w:p>
        </w:tc>
        <w:tc>
          <w:tcPr>
            <w:tcW w:w="89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September 30, 2024, Nantahala may be deemed to be the beneficial owner of 4,777,912 Shares held by funds and separately managed accounts under its control, and as the managing members of Nantahala, each of Messrs. Harkey and Mack may be deemed to be a beneficial owner of those Shares.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(b)</w:t>
            </w:r>
          </w:p>
        </w:tc>
        <w:tc>
          <w:tcPr>
            <w:tcW w:w="89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September 30, 2024, each of the Reporting Persons may be deemed to be the beneficial owner of the following percentage of the total number of Shares outstanding: (1) Nantahala Capital Management, LLC ("Nantahala") : 7.6568% (2) Wilmot B. Harkey: 7.6568% (3) Daniel Mack: 7.6568%  %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(c)</w:t>
            </w:r>
          </w:p>
        </w:tc>
        <w:tc>
          <w:tcPr>
            <w:tcW w:w="89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 Nantahala Capital Management, LLC ("Nantahala") : 4,777,912 Shares. (2) Wilmot B. Harkey: 4,777,912 Shares. (3) Daniel Mack: 4,777,912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 Nantahala Capital Management, LLC ("Nantahala") : 0 Shares. (2) Wilmot B. Harkey: 0 Shares. (3) Daniel Mack: 0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 Nantahala Capital Management, LLC ("Nantahala") : 4,777,912 Shares. (2) Wilmot B. Harkey: 4,777,912 Shares. (3) Daniel Mack: 4,777,912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5.</w:t>
            </w:r>
          </w:p>
        </w:tc>
        <w:tc>
          <w:tcPr>
            <w:tcW w:w="89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6.</w:t>
            </w:r>
          </w:p>
        </w:tc>
        <w:tc>
          <w:tcPr>
            <w:tcW w:w="89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7.</w:t>
            </w:r>
          </w:p>
        </w:tc>
        <w:tc>
          <w:tcPr>
            <w:tcW w:w="89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Each of Messrs. Harkey and Mack is filing this Schedule 13G as a control person in respect of shares beneficially owned by Nantahala, an investment adviser as described in ss. 240.13d-1(b)(1)(ii)(E). See Item 4(a).</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8.</w:t>
            </w:r>
          </w:p>
        </w:tc>
        <w:tc>
          <w:tcPr>
            <w:tcW w:w="89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Item 9.</w:t>
            </w:r>
          </w:p>
        </w:tc>
        <w:tc>
          <w:tcPr>
            <w:tcW w:w="89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2" w:type="dxa"/>
            <w:tcBorders/>
            <w:vAlign w:val="center"/>
          </w:tcPr>
          <w:p>
            <w:pPr>
              <w:pStyle w:val="TableContents"/>
              <w:bidi w:val="0"/>
              <w:spacing w:before="0" w:after="283"/>
              <w:jc w:val="left"/>
              <w:rPr/>
            </w:pPr>
            <w:r>
              <w:rPr/>
              <w:t> </w:t>
            </w:r>
          </w:p>
        </w:tc>
        <w:tc>
          <w:tcPr>
            <w:tcW w:w="89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Nantahala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Taki Vasilakis</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Taki Vasilakis / Chief Compliance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11/14/2024</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4104" w:type="dxa"/>
        <w:jc w:val="left"/>
        <w:tblInd w:w="0" w:type="dxa"/>
        <w:tblLayout w:type="fixed"/>
        <w:tblCellMar>
          <w:top w:w="28" w:type="dxa"/>
          <w:left w:w="28" w:type="dxa"/>
          <w:bottom w:w="28" w:type="dxa"/>
          <w:right w:w="28" w:type="dxa"/>
        </w:tblCellMar>
      </w:tblPr>
      <w:tblGrid>
        <w:gridCol w:w="2052"/>
        <w:gridCol w:w="2052"/>
      </w:tblGrid>
      <w:tr>
        <w:trPr/>
        <w:tc>
          <w:tcPr>
            <w:tcW w:w="2052" w:type="dxa"/>
            <w:tcBorders/>
            <w:vAlign w:val="center"/>
          </w:tcPr>
          <w:p>
            <w:pPr>
              <w:pStyle w:val="TableContents"/>
              <w:bidi w:val="0"/>
              <w:spacing w:before="0" w:after="0"/>
              <w:jc w:val="left"/>
              <w:rPr/>
            </w:pPr>
            <w:r>
              <w:rPr/>
              <w:t> </w:t>
            </w:r>
          </w:p>
          <w:tbl>
            <w:tblPr>
              <w:tblW w:w="1921" w:type="dxa"/>
              <w:jc w:val="left"/>
              <w:tblInd w:w="0" w:type="dxa"/>
              <w:tblLayout w:type="fixed"/>
              <w:tblCellMar>
                <w:top w:w="28" w:type="dxa"/>
                <w:left w:w="28" w:type="dxa"/>
                <w:bottom w:w="28" w:type="dxa"/>
                <w:right w:w="28" w:type="dxa"/>
              </w:tblCellMar>
            </w:tblPr>
            <w:tblGrid>
              <w:gridCol w:w="1921"/>
            </w:tblGrid>
            <w:tr>
              <w:trPr/>
              <w:tc>
                <w:tcPr>
                  <w:tcW w:w="1921" w:type="dxa"/>
                  <w:tcBorders/>
                  <w:vAlign w:val="center"/>
                </w:tcPr>
                <w:p>
                  <w:pPr>
                    <w:pStyle w:val="TableContents"/>
                    <w:bidi w:val="0"/>
                    <w:spacing w:before="0" w:after="0"/>
                    <w:jc w:val="left"/>
                    <w:rPr/>
                  </w:pPr>
                  <w:r>
                    <w:rPr/>
                    <w:t>Wilmot B. Harkey</w:t>
                  </w:r>
                </w:p>
              </w:tc>
            </w:tr>
          </w:tbl>
          <w:p>
            <w:pPr>
              <w:pStyle w:val="TableContents"/>
              <w:bidi w:val="0"/>
              <w:spacing w:before="0" w:after="283"/>
              <w:jc w:val="left"/>
              <w:rPr/>
            </w:pPr>
            <w:r>
              <w:rPr/>
            </w:r>
          </w:p>
        </w:tc>
        <w:tc>
          <w:tcPr>
            <w:tcW w:w="205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6"/>
        <w:gridCol w:w="4429"/>
      </w:tblGrid>
      <w:tr>
        <w:trPr/>
        <w:tc>
          <w:tcPr>
            <w:tcW w:w="577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/s/ Wilmot B. Harkey</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Wilmot B. Harkey</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11/14/2024</w:t>
                  </w:r>
                </w:p>
              </w:tc>
            </w:tr>
          </w:tbl>
          <w:p>
            <w:pPr>
              <w:pStyle w:val="TableContents"/>
              <w:bidi w:val="0"/>
              <w:spacing w:before="0" w:after="283"/>
              <w:jc w:val="left"/>
              <w:rPr/>
            </w:pPr>
            <w:r>
              <w:rPr/>
            </w:r>
          </w:p>
        </w:tc>
        <w:tc>
          <w:tcPr>
            <w:tcW w:w="4429"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Daniel Mack</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Daniel Mack</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Daniel Mack</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11/14/2024</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1286</Words>
  <Characters>6721</Characters>
  <CharactersWithSpaces>7952</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