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 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FULCRUM THERAPEUTICS,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4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208280</wp:posOffset>
            </wp:positionV>
            <wp:extent cx="203136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1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June 17, 2024</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are cordially invited to virtually attend the 2024 annual meeting of stockholders, or the Annual Meeting, of Fulcrum Therapeutics, Inc. The Annual Meeting will be held via the Internet at a virtual audio web conference at www.proxydocs.com/FULC on Monday, June 17, 2024 at 9:00 a.m., Eastern time.</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Only stockholders who owned shares of our common stock at the close of business on April 18, 2024 are entitled to notice of and to vote at the Annual Meeting or any adjournment thereof. At the Annual Meeting, the stockholders will consider and vote on the following matters:</w:t>
      </w:r>
    </w:p>
    <w:p>
      <w:pPr>
        <w:spacing w:after="0" w:line="67" w:lineRule="exact"/>
        <w:rPr>
          <w:sz w:val="20"/>
          <w:szCs w:val="20"/>
          <w:color w:val="auto"/>
        </w:rPr>
      </w:pPr>
    </w:p>
    <w:p>
      <w:pPr>
        <w:ind w:left="1080" w:right="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II directors, James Collins, James Geraghty, and Alex Sapir, nominated by our board of directors, each to serve for a three-year term expiring at the 2027 annual meeting of stockholders;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2024;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that may properly come before the Annual Meeting or any adjournment or postponement thereof.</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Sunday, June 16, 2024 at 11:59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You can find more information, including the nominees for director, in the proxy statement for the Annual Meeting, which is available for viewing, printing and downloading at www.proxydocs.com/FULC. The board of directors recommends that you vote “FOR” each of the Class II directors (Proposal 1), and “FOR” the ratification of the appointment of the proposed independent registered public accounting firm (Proposal 2) as outlined in the attached proxy statement.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2023, or the 2023 Annual Report.</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We will mail the Notice of Availability on or about April 24, 2024, and the Notice of Availability contains instructions on how to access our proxy materials over the Internet. The Notice of Availability also contains</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instructions on how each of our stockholders can receive a paper copy of our proxy materials, including the proxy statement, our 2023 Annual Report, and a form of proxy card.</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43180</wp:posOffset>
            </wp:positionV>
            <wp:extent cx="994410" cy="1036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441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Alex C. Sapir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Cambridge, MA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w:t>
      </w:r>
      <w:r>
        <w:rPr>
          <w:rFonts w:ascii="Times New Roman" w:cs="Times New Roman" w:eastAsia="Times New Roman" w:hAnsi="Times New Roman"/>
          <w:sz w:val="18"/>
          <w:szCs w:val="18"/>
          <w:color w:val="auto"/>
        </w:rPr>
        <w:t>The proxy statement and our 2023 Annual Report, which includes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on Form 10-K for the fiscal year ended December 31, 2023,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2023 are also available on the SEC’s website at http://www.sec.gov.</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INFORMATION CONCERNING SOLICITATION AND VOTING</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IMPORTANT INFORMATION ABOUT THE ANNUAL MEETING AND VOTING</w:t>
            </w:r>
          </w:p>
        </w:tc>
        <w:tc>
          <w:tcPr>
            <w:tcW w:w="44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5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NO. 1—ELECTION OF THREE CLASS II DIRECTORS</w:t>
            </w:r>
          </w:p>
        </w:tc>
        <w:tc>
          <w:tcPr>
            <w:tcW w:w="54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0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2—RATIFICATION OF THE APPOINTMENT OF ERNST &amp; YOUNG LLP AS OUR INDEPENDENT REGISTERED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ACCOUNTING FIRM FOR THE FISCAL YEAR ENDING DECEMBER 31, 2024</w:t>
            </w:r>
          </w:p>
        </w:tc>
        <w:tc>
          <w:tcPr>
            <w:tcW w:w="27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832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2"/>
        </w:trPr>
        <w:tc>
          <w:tcPr>
            <w:tcW w:w="3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4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3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TRANSACTIONS WITH RELATED PERSONS</w:t>
            </w:r>
          </w:p>
        </w:tc>
        <w:tc>
          <w:tcPr>
            <w:tcW w:w="710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828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5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SECTION 16(A) BENEFICIAL OWNERSHIP REPORTING COMPLIANCE</w:t>
            </w:r>
          </w:p>
        </w:tc>
        <w:tc>
          <w:tcPr>
            <w:tcW w:w="498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10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HOUSEHOLDING</w:t>
            </w:r>
          </w:p>
        </w:tc>
        <w:tc>
          <w:tcPr>
            <w:tcW w:w="4260" w:type="dxa"/>
            <w:vAlign w:val="bottom"/>
            <w:tcBorders>
              <w:top w:val="single" w:sz="8" w:color="0000EE"/>
            </w:tcBorders>
            <w:gridSpan w:val="9"/>
          </w:tcPr>
          <w:p>
            <w:pPr>
              <w:spacing w:after="0"/>
              <w:rPr>
                <w:sz w:val="24"/>
                <w:szCs w:val="24"/>
                <w:color w:val="auto"/>
              </w:rPr>
            </w:pPr>
          </w:p>
        </w:tc>
        <w:tc>
          <w:tcPr>
            <w:tcW w:w="49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0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STOCKHOLDER PROPOSALS FOR OUR 2023 ANNUAL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5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540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208280</wp:posOffset>
            </wp:positionV>
            <wp:extent cx="203136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17, 2024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about the Annual Meeting of Stockholders of Fulcrum Therapeutics, Inc., or the Annual Meeting, to be held on Monday, June 17, 2024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Securities and Exchange Commission’s, or SEC’s, “notice and access” rules. As a result, we are mailing to our stockholders a Notice of Internet Availability of Proxy Materials, or Notice of Availability, instead of a paper copy of this proxy statement and our annual report for the fiscal year ended December 31, 2023, or the 2023 Annual Report. We are sending the Notice of Availability on or about April 24, 2024, and it contains instructions on how to access those documents over the Internet. The Notice of Availability also contains instructions on how each of our stockholders can receive a paper copy of our proxy materials, including this proxy statement, our 2023 Annual Report, and a form of proxy card.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17, 2024: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statement and our 2023 Annual Report are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www.proxydocs.com/FULC.</w:t>
      </w:r>
    </w:p>
    <w:p>
      <w:pPr>
        <w:spacing w:after="0" w:line="95" w:lineRule="exact"/>
        <w:rPr>
          <w:sz w:val="20"/>
          <w:szCs w:val="20"/>
          <w:color w:val="auto"/>
        </w:rPr>
      </w:pPr>
    </w:p>
    <w:p>
      <w:pPr>
        <w:ind w:left="340" w:right="360"/>
        <w:spacing w:after="0" w:line="262"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2023, as filed with the SEC except for exhibits, will be furnished without charge to any stockholder upon written request to Fulcrum Therapeutics, Inc., 26 Landsdowne Street, Cambridge, Massachusetts 02139. This proxy statement and our annual report on Form 10-K for the fiscal year ended December 31, 2023 are also available on the SEC’s website at http://www.sec.gov.</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Annual Meeting, our stockholders will consider and vote on the following matters:</w:t>
      </w:r>
    </w:p>
    <w:p>
      <w:pPr>
        <w:spacing w:after="0" w:line="131" w:lineRule="exact"/>
        <w:rPr>
          <w:sz w:val="20"/>
          <w:szCs w:val="20"/>
          <w:color w:val="auto"/>
        </w:rPr>
      </w:pPr>
    </w:p>
    <w:p>
      <w:pPr>
        <w:ind w:left="1080" w:right="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James Collins, James Geraghty, and Alex Sapir, nominated by our board of directors, each to serve for a three-year term expiring at the 2027 annual meeting of stockholders;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2024;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that may properly come before the annual meeting or any adjournment or postponement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four items noted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22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nominees to serve as Class II directors on our board of directors, each for a three- year term expiring at the 2027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w:t>
      </w:r>
    </w:p>
    <w:p>
      <w:pPr>
        <w:spacing w:after="0" w:line="155"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proxy materials, including this proxy statement, a proxy card and our 2023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of April 18, 2024 are entitled to receive notice of the Annual Meeting and to vote the shares of our common stock that they held on that date. As of April 18, 2024, there were 62,153,638 shares of our common stock issued and outstanding. Each share of common stock is entitled to one vote on each matter properly brought before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 Between a “Stockholder of Record” and a Beneficial Owner of Shares Held in “Street Name”</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Trust Company, then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80"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 of Shares Held in Street Name</w:t>
      </w:r>
      <w:r>
        <w:rPr>
          <w:rFonts w:ascii="Times New Roman" w:cs="Times New Roman" w:eastAsia="Times New Roman" w:hAnsi="Times New Roman"/>
          <w:sz w:val="18"/>
          <w:szCs w:val="18"/>
          <w:color w:val="auto"/>
        </w:rPr>
        <w:t>. If your shares are held by a bank, broker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those shares, which are held in “street name.” In this case, your Notice of Availability will be sent to you by that organization. The organization holding your shares is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121" w:lineRule="exact"/>
        <w:rPr>
          <w:sz w:val="20"/>
          <w:szCs w:val="20"/>
          <w:color w:val="auto"/>
        </w:rPr>
      </w:pPr>
    </w:p>
    <w:p>
      <w:pPr>
        <w:jc w:val="both"/>
        <w:ind w:left="120" w:right="320"/>
        <w:spacing w:after="0" w:line="289" w:lineRule="auto"/>
        <w:rPr>
          <w:sz w:val="20"/>
          <w:szCs w:val="20"/>
          <w:color w:val="auto"/>
        </w:rPr>
      </w:pPr>
      <w:r>
        <w:rPr>
          <w:rFonts w:ascii="Times New Roman" w:cs="Times New Roman" w:eastAsia="Times New Roman" w:hAnsi="Times New Roman"/>
          <w:sz w:val="17"/>
          <w:szCs w:val="17"/>
          <w:color w:val="auto"/>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2023 Annual Report. We will send the Notice of Availability on or about April 24, 2024.</w:t>
      </w:r>
    </w:p>
    <w:p>
      <w:pPr>
        <w:spacing w:after="0" w:line="158" w:lineRule="exact"/>
        <w:rPr>
          <w:sz w:val="20"/>
          <w:szCs w:val="20"/>
          <w:color w:val="auto"/>
        </w:rPr>
      </w:pPr>
    </w:p>
    <w:p>
      <w:pPr>
        <w:jc w:val="both"/>
        <w:ind w:left="120" w:right="300"/>
        <w:spacing w:after="0" w:line="282" w:lineRule="auto"/>
        <w:rPr>
          <w:sz w:val="20"/>
          <w:szCs w:val="20"/>
          <w:color w:val="auto"/>
        </w:rPr>
      </w:pPr>
      <w:r>
        <w:rPr>
          <w:rFonts w:ascii="Times New Roman" w:cs="Times New Roman" w:eastAsia="Times New Roman" w:hAnsi="Times New Roman"/>
          <w:sz w:val="18"/>
          <w:szCs w:val="18"/>
          <w:color w:val="auto"/>
        </w:rPr>
        <w:t>Detailed instructions on how to access these materials via the Internet may be found in the Notice of Availability. This proxy statement and our 2023 Annual Report are available for viewing, printing and downloading on the Internet at www.proxydocs.com/FULC.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Virtually Attend the Annual Meeting</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Annual Meeting will be a virtual meeting and you may not attend in person. In order to attend the meeting online, you must register in advance at www.proxydocs.com/FULC prior to the deadline of June 16, 2024 at 11:59 p.m., Eastern time. You may attend the Annual Meeting online by following the instructions that you will receive once your registration is complete.</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Online registration for the Annual Meeting will begin on April 24, 2024, and you should allow ample time for the online registration. Upon completing your registration, you will receive further instructions via email, including your unique link that will allow you access to the meeting and you will have the ability to submit questions.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be sure to following the instructions you will receive once your registration is complete.</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Annual Meeting will start at 9:00 a.m., Eastern time, on June 17, 2024. You may log on to the virtual meeting starting one hour before it begins. We will have technicians standing by and ready to assist you with any technical difficulties you may have accessing the virtual meeting starting at 8:00 a.m., Eastern time, on June 17, 2024. If you encounter any difficulties accessing the virtual Annual Meeting, please contact technical support by following the instructions provided to you upon registration for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you are the stockholder of record of your shares</w:t>
      </w:r>
      <w:r>
        <w:rPr>
          <w:rFonts w:ascii="Times New Roman" w:cs="Times New Roman" w:eastAsia="Times New Roman" w:hAnsi="Times New Roman"/>
          <w:sz w:val="18"/>
          <w:szCs w:val="18"/>
          <w:color w:val="auto"/>
        </w:rPr>
        <w:t>, you can vote your shares by proxy prior to the Annual Meeting or online during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If you choose to vote by proxy prior to the Annual Meeting, you may do so by telephone, via the Internet or by mail as follows:</w:t>
      </w:r>
    </w:p>
    <w:p>
      <w:pPr>
        <w:spacing w:after="0" w:line="62" w:lineRule="exact"/>
        <w:rPr>
          <w:sz w:val="20"/>
          <w:szCs w:val="20"/>
          <w:color w:val="auto"/>
        </w:rPr>
      </w:pPr>
    </w:p>
    <w:p>
      <w:pPr>
        <w:ind w:left="1080" w:right="840" w:hanging="424"/>
        <w:spacing w:after="0" w:line="28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 Prior to the Annual Meeting</w:t>
      </w:r>
      <w:r>
        <w:rPr>
          <w:rFonts w:ascii="Times New Roman" w:cs="Times New Roman" w:eastAsia="Times New Roman" w:hAnsi="Times New Roman"/>
          <w:sz w:val="18"/>
          <w:szCs w:val="18"/>
          <w:color w:val="auto"/>
        </w:rPr>
        <w:t>. You may transmit your proxy prior to the Annual Meeting over the phone by calling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866-390-9953 and following the instructions provided in the Notice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Availability and on the proxy card. You will need to have your Notice of Availability or proxy card in hand when you call.</w:t>
      </w:r>
    </w:p>
    <w:p>
      <w:pPr>
        <w:spacing w:after="0" w:line="129" w:lineRule="exact"/>
        <w:rPr>
          <w:sz w:val="20"/>
          <w:szCs w:val="20"/>
          <w:color w:val="auto"/>
        </w:rPr>
      </w:pPr>
    </w:p>
    <w:p>
      <w:pPr>
        <w:ind w:left="1080" w:hanging="424"/>
        <w:spacing w:after="0" w:line="26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 Prior to the Annual Meeting</w:t>
      </w:r>
      <w:r>
        <w:rPr>
          <w:rFonts w:ascii="Times New Roman" w:cs="Times New Roman" w:eastAsia="Times New Roman" w:hAnsi="Times New Roman"/>
          <w:sz w:val="18"/>
          <w:szCs w:val="18"/>
          <w:color w:val="auto"/>
        </w:rPr>
        <w:t>. You may transmit your proxy via the Internet prior to the Annual Meeting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 in the Notice of Availability and on the proxy card. You will need to have your Notice of Availability or proxy card in hand when you access the website. The website for voting is available at www.proxypush.com/FULC.</w:t>
      </w:r>
    </w:p>
    <w:p>
      <w:pPr>
        <w:spacing w:after="0" w:line="78" w:lineRule="exact"/>
        <w:rPr>
          <w:rFonts w:ascii="Times New Roman" w:cs="Times New Roman" w:eastAsia="Times New Roman" w:hAnsi="Times New Roman"/>
          <w:sz w:val="18"/>
          <w:szCs w:val="18"/>
          <w:color w:val="auto"/>
        </w:rPr>
      </w:pPr>
    </w:p>
    <w:p>
      <w:pPr>
        <w:ind w:left="1080" w:right="500" w:hanging="424"/>
        <w:spacing w:after="0" w:line="28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 Prior to the Annual Meeting</w:t>
      </w:r>
      <w:r>
        <w:rPr>
          <w:rFonts w:ascii="Times New Roman" w:cs="Times New Roman" w:eastAsia="Times New Roman" w:hAnsi="Times New Roman"/>
          <w:sz w:val="18"/>
          <w:szCs w:val="18"/>
          <w:color w:val="auto"/>
        </w:rPr>
        <w:t>. If you requested printed copies of proxy materials, you can vote by mailing your proxy card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w:t>
      </w:r>
    </w:p>
    <w:p>
      <w:pPr>
        <w:spacing w:after="0" w:line="63"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during the Annual Meeting</w:t>
      </w:r>
      <w:r>
        <w:rPr>
          <w:rFonts w:ascii="Times New Roman" w:cs="Times New Roman" w:eastAsia="Times New Roman" w:hAnsi="Times New Roman"/>
          <w:sz w:val="18"/>
          <w:szCs w:val="18"/>
          <w:color w:val="auto"/>
        </w:rPr>
        <w:t>. In order to attend the Annual Meeting online and vote online during the Annual Meeting,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in advance at www.proxydocs.com/FULC prior to the deadline of June 16, 2024 at 11:59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spacing w:after="0" w:line="18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June 14, 2024, and mailed proxy cards must be received by 11:59 p.m. Eastern time on June 14, 2024 in order to be counted at the Annual Meeting. If the Annual Meeting is adjourned or postponed, these deadlines may be extended.</w:t>
      </w:r>
    </w:p>
    <w:p>
      <w:pPr>
        <w:spacing w:after="0" w:line="17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If your shares are held in street name</w:t>
      </w:r>
      <w:r>
        <w:rPr>
          <w:rFonts w:ascii="Times New Roman" w:cs="Times New Roman" w:eastAsia="Times New Roman" w:hAnsi="Times New Roman"/>
          <w:sz w:val="18"/>
          <w:szCs w:val="18"/>
          <w:color w:val="auto"/>
        </w:rPr>
        <w:t>, your bank, broker or other nominee is required to vote the shares it holds on your behalf according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14, 2024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 of Internet Availability of Proxy Materials?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Submit a Question at the Annual Meeting?</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If you wish to submit a question during the Annual Meeting, beginning at 8:45 a.m., Eastern time, on June 17, 2024, you may log into, and submit a question on, the virtual meeting platform using the unique link provided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See a List of Stockholders Entitled to Vote as of the Record Date?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spacing w:after="0" w:line="16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Ballot Measures Considered “Discretionary” and “Non-Discretionary”</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election of directors (Proposal No. 1) is considered a non-discretionary matter under applicable rules. A bank, broker or other nominee cannot vote without instructions on non-discretionary matters, and therefore there may be broker non-votes on Proposal No. 1.</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2024 (Proposal No. 2)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Votes Required to Elect a Director and to Ratify Appointment of Ernst &amp; Young LLP</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have no effect on the voting on Proposal No. 1.</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2024 requires the affirmative vote of a majority of the shares of common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stock present or represented by proxy and voted “for” or “against” such matter (Proposal No. 2). Abstentions and broker non-votes will not be counted as votes cast or voted on Proposal No. 2. Accordingly, abstentions and broker non-votes will have no effect on the voting on Proposal No. 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 of Counting Votes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a Proxy; Changing Your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 change your vote before the vote is taken at the Annual Meeting:</w:t>
      </w:r>
    </w:p>
    <w:p>
      <w:pPr>
        <w:spacing w:after="0" w:line="131" w:lineRule="exact"/>
        <w:rPr>
          <w:sz w:val="20"/>
          <w:szCs w:val="20"/>
          <w:color w:val="auto"/>
        </w:rPr>
      </w:pPr>
    </w:p>
    <w:p>
      <w:pPr>
        <w:ind w:left="1080" w:right="4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 using the procedures described in the “How to Vote” section above;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revocation to our corporate secretary before the Annual Meeting.</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virtual attendance at the Annual Meeting, without voting online during the Annual Meeting, will not revoke your proxy.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of Proxy Solicitation</w:t>
      </w:r>
    </w:p>
    <w:p>
      <w:pPr>
        <w:spacing w:after="0" w:line="121" w:lineRule="exact"/>
        <w:rPr>
          <w:sz w:val="20"/>
          <w:szCs w:val="20"/>
          <w:color w:val="auto"/>
        </w:rPr>
      </w:pPr>
    </w:p>
    <w:p>
      <w:pPr>
        <w:jc w:val="both"/>
        <w:ind w:left="120" w:right="660"/>
        <w:spacing w:after="0" w:line="289" w:lineRule="auto"/>
        <w:rPr>
          <w:sz w:val="20"/>
          <w:szCs w:val="20"/>
          <w:color w:val="auto"/>
        </w:rPr>
      </w:pPr>
      <w:r>
        <w:rPr>
          <w:rFonts w:ascii="Times New Roman" w:cs="Times New Roman" w:eastAsia="Times New Roman" w:hAnsi="Times New Roman"/>
          <w:sz w:val="17"/>
          <w:szCs w:val="17"/>
          <w:color w:val="auto"/>
        </w:rPr>
        <w:t>We will bear the costs of soliciting proxies. In addition, we have retained Innisfree M&amp;A Incorporated, a proxy solicitation firm, to assist in the solicitation of proxies for a fee of approximately $25,000, plus reimbursement of certain costs and expenses. Our directors, officers and regular employees, without additional remuneration, may solicit proxies by mail, telephone, facsimile, email, personal interviews and other means.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$1.235 billion or more in any fiscal year, we would cease to be an emerging growth company as of December 31 of the applicable year. We also would cease to be an emerging growth company if we issue more than $1 billion of non-convertible debt over a three-year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1—ELECTION OF THREE CLASS II DIRECTORS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Collins, James Geraghty, and Alex Sapir, and their term expires at the Annual Meeting;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Katina Dorton, Robert Gould and Kate Haviland, and their term expires at the annual meeting of stockholders to be held in 2025;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Alan Ezekowitz and Sonja Banks, and their term expires at the annual meeting of stockholders to be held in 2026.</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of directors has nominated James Collins, James Geraghty, and Alex Sapir for election as Class II directors at the Annual Meeting. Proxies may not be voted for a greater number of persons than the number of nominees named in this proxy statement as only Class II is up for re-election at the Annual Meeting. Mr. Collins, Mr. Geraghty and Mr. Sapir are all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as of March 31, 2024, including principal occupation and business experience during the last five years, for our nominees for election as Class I directors at our Annual Meeting is set forth below.</w:t>
      </w:r>
    </w:p>
    <w:p>
      <w:pPr>
        <w:spacing w:after="0" w:line="15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James J. Collins, Ph.D.</w:t>
      </w:r>
      <w:r>
        <w:rPr>
          <w:rFonts w:ascii="Times New Roman" w:cs="Times New Roman" w:eastAsia="Times New Roman" w:hAnsi="Times New Roman"/>
          <w:sz w:val="18"/>
          <w:szCs w:val="18"/>
          <w:color w:val="auto"/>
        </w:rPr>
        <w:t>, age 58, has served on our board of directors since January 2017. Dr. Collins has served as the Termeer Professor of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and Science in the Institute for Medical Engineering and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Science and the Department of Biological Engineering at MIT since December 2014. Prior to his joining MIT, from October 1990 to November 2014, Dr. Collins served as a professor in biomedical engineering at Boston University. Dr. Collins currently is on the board of directors of Senti Biosciences, Inc. Dr. Collins previously served on the board of directors of Orion Biotech Opportunities Corp. Dr. Collins received a B.A.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Geraghty</w:t>
      </w:r>
      <w:r>
        <w:rPr>
          <w:rFonts w:ascii="Times New Roman" w:cs="Times New Roman" w:eastAsia="Times New Roman" w:hAnsi="Times New Roman"/>
          <w:sz w:val="18"/>
          <w:szCs w:val="18"/>
          <w:color w:val="auto"/>
        </w:rPr>
        <w:t>, age 69, has served on our board of directors since July 2016. Mr. Geraghty is an industry leader with over 30 years of strategic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experience. Mr. Geraghty currently serves as chairman of the board of directors of Pieris Pharmaceuticals, Inc., a publicly traded company, and as a member of the board of directors of Voyager Therapeutics, Inc., a publicly traded company. From May 2013 to December 2016, Mr. Geraghty was an Entrepreneur in Residence at Third Rock Ventures, LLC, or TRV,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He previously served as chairman of the board of Orchard Therapeutics, plc, Idera Pharmaceuticals, Inc. (acquired by Aceragen, Inc.) and Juniper Pharmaceuticals,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2"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Alex C. Sapir</w:t>
      </w:r>
      <w:r>
        <w:rPr>
          <w:rFonts w:ascii="Times New Roman" w:cs="Times New Roman" w:eastAsia="Times New Roman" w:hAnsi="Times New Roman"/>
          <w:sz w:val="17"/>
          <w:szCs w:val="17"/>
          <w:color w:val="auto"/>
        </w:rPr>
        <w:t>, age 57, has served as our president and chief executive officer and as a member of our board of directors since July 2023. Prior to joining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Company, Mr. Sapir served as chief executive officer and a member of the board of directors of ReViral Ltd. (acquired by Pfizer Inc.), or ReViral, a biopharmaceutical company focused on developing novel antiviral therapeutics that target respiratory syncytial virus, from June 2019 until June 2022. From January 2017 to December 2018, Mr. Sapir served as the president and chief executive officer of Dova Pharmaceuticals Inc., or Dova (acquired by</w:t>
      </w:r>
    </w:p>
    <w:p>
      <w:pPr>
        <w:ind w:left="120"/>
        <w:spacing w:after="0"/>
        <w:rPr>
          <w:sz w:val="20"/>
          <w:szCs w:val="20"/>
          <w:color w:val="auto"/>
        </w:rPr>
      </w:pPr>
      <w:r>
        <w:rPr>
          <w:rFonts w:ascii="Times New Roman" w:cs="Times New Roman" w:eastAsia="Times New Roman" w:hAnsi="Times New Roman"/>
          <w:sz w:val="18"/>
          <w:szCs w:val="18"/>
          <w:color w:val="auto"/>
        </w:rPr>
        <w:t>Sobi, Inc.), a pharmaceutical company focused on developing drug candidates for diseases that are treated by specialist physicians, with an initial focus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addressing thrombocytopenia, and as a member of Dova’s board of directors from March 2017 to April 2019. Earlier in his career, Mr. Sapir was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for Marketing and Sales at United Therapeutics Corporation, a biotechnology company focused on the development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commercialization of unique products to address the unmet medical needs of patients with chronic and life-threatening conditions and prior to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Mr. Sapir held commercial positions of increasing responsibility at GlaxoSmithKline and other smaller healthcare companies. Mr. Sapir currently serves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member of the board of directors of PhaseBio Pharmaceuticals, Inc., a biotechnology company. Mr. Sapir received a B.A. in economics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Franklin and Marshall College and an M.B.A. from Harvard Business School. We believe that Mr. Sapir is qualified to serve on our board of directors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his extensive knowledge of our company and his significant background in working with life sciences companies.</w:t>
      </w:r>
    </w:p>
    <w:p>
      <w:pPr>
        <w:spacing w:after="0" w:line="31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voting “FOR” the election of James Collins, James Geraghty and Alex Sapir as Class II directors for a three-year term ending at the annual meeting of stockholders to be held in 2027.</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Biographical information as of March 31, 2024, including principal occupation and business experience during the last five years, for our directors continuing in office after the Annual Meeting is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Sonja L. Banks</w:t>
      </w:r>
      <w:r>
        <w:rPr>
          <w:rFonts w:ascii="Times New Roman" w:cs="Times New Roman" w:eastAsia="Times New Roman" w:hAnsi="Times New Roman"/>
          <w:sz w:val="18"/>
          <w:szCs w:val="18"/>
          <w:color w:val="auto"/>
        </w:rPr>
        <w:t>, age 55, has served on our board of directors since December 2021. Ms. Banks has been the chief executive officer of the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Dyslexia Association since December 2018. Prior to that, Ms. Banks served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various leadership roles at the Sickle Cell Disease Association of America, Inc., or SCDAA, from May 2010 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earned a B.A. in Political Science from the University of Alabama and an M.P.A. in Public Administration &amp; Business from Jacksonville State University. We believe Ms. Bank’s experience in the life sciences industry, in particular her knowledge and understanding regarding access, reimbursement and treatment options in sickle cell disease, among others, qualifies her to serve on our board of directors.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Alan Ezekowitz, MBChB, D.Phil</w:t>
      </w:r>
      <w:r>
        <w:rPr>
          <w:rFonts w:ascii="Times New Roman" w:cs="Times New Roman" w:eastAsia="Times New Roman" w:hAnsi="Times New Roman"/>
          <w:sz w:val="18"/>
          <w:szCs w:val="18"/>
          <w:color w:val="auto"/>
        </w:rPr>
        <w:t>, age 70, has served on our board of directors since December 2016. Dr. Ezekowitz has served as an advisory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TRV since December 2023 and previously as a venture partner at TRV from December 2019 to 2022.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Dr. Ezekowitz currently is on the board of directors of Organon &amp; Co., a global healthcare company.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Katina Dorton</w:t>
      </w:r>
      <w:r>
        <w:rPr>
          <w:rFonts w:ascii="Times New Roman" w:cs="Times New Roman" w:eastAsia="Times New Roman" w:hAnsi="Times New Roman"/>
          <w:sz w:val="18"/>
          <w:szCs w:val="18"/>
          <w:color w:val="auto"/>
        </w:rPr>
        <w:t>, age 66, has served on our board of directors since January 2020. Ms. Dorton currently is on the board of directors of Tscan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clinical stage biotechnology company developing T cell therapies for patients with cancer, and Mallinckrodt, plc, a global business focused on specialty pharmaceutical products and therapies. Previously Ms. Dorton held chief financial officer positions at several biotechnology companies, including Nodthera Inc, from 2020 through 2022, Repare Therapeutics Inc., from 2019 to 2020, AVROBIO, Inc., from 2017 through 2018, and Immatics GmbH, from 2015 through 2017, each a biotechnology company. Ms. Dorton served on the board of directors of US Ecology, Inc., an environmental services company, from 2014 until its acquisition by Republic Services, Inc. in 2022 and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Robert J. Gould, Ph.D.</w:t>
      </w:r>
      <w:r>
        <w:rPr>
          <w:rFonts w:ascii="Times New Roman" w:cs="Times New Roman" w:eastAsia="Times New Roman" w:hAnsi="Times New Roman"/>
          <w:sz w:val="18"/>
          <w:szCs w:val="18"/>
          <w:color w:val="auto"/>
        </w:rPr>
        <w:t>, age 69, has served as a member of our board of directors since July 2016, served as our interim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January 2023 to June 2023, and served as our president and chief executive officer from July 2016 to March 2021.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Turnstone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80"/>
        <w:spacing w:after="0" w:line="261" w:lineRule="auto"/>
        <w:rPr>
          <w:sz w:val="20"/>
          <w:szCs w:val="20"/>
          <w:color w:val="auto"/>
        </w:rPr>
      </w:pPr>
      <w:r>
        <w:rPr>
          <w:rFonts w:ascii="Times New Roman" w:cs="Times New Roman" w:eastAsia="Times New Roman" w:hAnsi="Times New Roman"/>
          <w:sz w:val="18"/>
          <w:szCs w:val="18"/>
          <w:color w:val="auto"/>
        </w:rPr>
        <w:t>Biologics Corp, a biotechnology company. Dr. Gould served as a member of the board of directors of Epizyme from March 2010 to March 2016.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Kate Haviland</w:t>
      </w:r>
      <w:r>
        <w:rPr>
          <w:rFonts w:ascii="Times New Roman" w:cs="Times New Roman" w:eastAsia="Times New Roman" w:hAnsi="Times New Roman"/>
          <w:sz w:val="18"/>
          <w:szCs w:val="18"/>
          <w:color w:val="auto"/>
        </w:rPr>
        <w:t>, age 48, has served on our board of directors since June 2018, and as chair of the board since January 2022. Ms. Haviland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a member of the board of directors of Blueprint Medicines Corporation, or Blueprint, a precision therapy company, since April 2022. Prior to her serving as chief executive officer, Ms. Haviland served as chief operating officer of Blueprint from January 2019 to April 2022, and chief business officer of Blueprint from January 2016 to January 2019. Prior to joining Blueprint, Ms. Haviland served as vice president, rare diseases and oncology program leadership at Idera Pharmaceuticals (acquired by Aceragen, Inc.) from April 2014 to December 2015, as head of commercial development at Sarepta Therapeutics, Inc. from June 2012 to April 2014, as executive director of commercial development at PTC Therapeutics, Inc. from March 2007 to June 2012, and roles in corporate development and project management at Genzyme from July 2005 to April 2007. Ms. Haviland currently serves on the board of directors of Bicara Therapeutics, a private company. Ms. Haviland received a B.A. from Wesleyan University with a double major in biochemistry/molecular biology and economics and an M.B.A. from Harvard Business School. We believe that Ms. Haviland’s extensive experience working with life sciences companies and leadership within the biopharmaceutical industry qualifies her to serve on our board of directors.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Biographical information as of March 31, 2024 for our executive officers who are not directors is listed below.</w:t>
      </w:r>
    </w:p>
    <w:p>
      <w:pPr>
        <w:spacing w:after="0" w:line="2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Patrick Horn</w:t>
      </w:r>
      <w:r>
        <w:rPr>
          <w:rFonts w:ascii="Times New Roman" w:cs="Times New Roman" w:eastAsia="Times New Roman" w:hAnsi="Times New Roman"/>
          <w:sz w:val="18"/>
          <w:szCs w:val="18"/>
          <w:color w:val="auto"/>
        </w:rPr>
        <w:t>, age 69, M.D., Ph.D. has served as our chief medical officer since March 2024. Dr. Horn previously served as chief medical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Hemoshear Therapeutics from January 2022 to March 2024. Dr. Horn served as chief medical officer of Albiero Pharma, Inc., a biopharmaceutical company, from August 2018 through December 2021. Dr. Horn previously served as senior vice president, medical and clinical development at Orphan Technologies Ltd., a biopharmaceutical company, from January 2018 to July 2018. Prior to that, he served as chief medical officer at Tetraphase Pharmaceuticals, Inc., a biopharmaceutical company, from January 2011 to December 2017. Prior to that, he served as vice president, clinical &amp; medical affairs at Dyax Corporation, a biopharmaceutical company, from September 2007 to December 2010. Previously, Dr. Horn served in various positions at Abbott Laboratories, a pharmaceutical company, from 2001 to 2006, most recently serving as medical director, head of clinical pharmacology. Dr. Horn received a B.S. in Chemistry from the University of Illinois, a Ph.D. in the Pharmacological and Physiological Sciences from the University of Chicago and an M.D. from the University of Chicago, Pritzker School of Medicine.</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Alan Musso</w:t>
      </w:r>
      <w:r>
        <w:rPr>
          <w:rFonts w:ascii="Times New Roman" w:cs="Times New Roman" w:eastAsia="Times New Roman" w:hAnsi="Times New Roman"/>
          <w:sz w:val="17"/>
          <w:szCs w:val="17"/>
          <w:color w:val="auto"/>
        </w:rPr>
        <w:t>, age 62, has served as our chief financial officer since August 2023. Previously, Mr. Musso served as chief financial officer of ReViral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October 2019 until September 2022. From September 2018 to September 2019, Mr. Musso served as the chief financial officer of Peloton Therapeutics, Inc. (acquired by Merck &amp; Co., Inc.), a biopharmaceutical company focused on oncology drug discovery and development. From November 2014 to August 2018, Mr. Musso served as the chief financial officer and treasurer of Bellicum Pharmaceuticals, Inc., a public biotechnology company focused on discovering and developing novel, controllable cellular immunotherapies for various forms of cancer. From February 2002 to November 2014,</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Mr. Musso served in various positions at Targacept, Inc., a public biopharmaceutical company, including as senior vice president of finance and administration, chief financial officer and treasurer, and assistant secretary. Mr. Musso is on the board of directors of Aileron Therapeutics, Inc., a biopharmaceutical company. Mr. Musso has over 25 years of biotechnology and pharmaceutical industry experience in both large and emerging growth companies. Mr. Musso received his B.S. in accounting from Saint Mary’s College of California and his graduate degree from the Thunderbird School of Global Management.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Curtis Oltmans, J.D.</w:t>
      </w:r>
      <w:r>
        <w:rPr>
          <w:rFonts w:ascii="Times New Roman" w:cs="Times New Roman" w:eastAsia="Times New Roman" w:hAnsi="Times New Roman"/>
          <w:sz w:val="17"/>
          <w:szCs w:val="17"/>
          <w:color w:val="auto"/>
        </w:rPr>
        <w:t>, age 60, has served as our chief legal officer since August 2022 and previously served as our general counsel from November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Mr. Oltmans previously served as vice president, head of 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w:t>
      </w: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Mr. Oltmans is on the board of directors of Avenue Therapeutics, Inc., a biopharmaceutical company. Mr. Oltmans earned a B.A. in Political Science from the University of Nebraska and a J.D. from the University of Nebraska College of Law.</w:t>
      </w:r>
    </w:p>
    <w:p>
      <w:pPr>
        <w:spacing w:after="0" w:line="18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any of our directors or executive officers and any other person or persons pursuant to which he or she was or is to be selected as a director or executive officer.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60" w:right="18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2—RATIFICATION OF THE APPOINTMENT OF ERNST &amp; YOUNG LLP AS OUR INDEPENDENT REGISTERED PUBLIC ACCOUNTING FIRM FOR THE FISCAL YEAR ENDING DECEMBER 31, 2024</w:t>
      </w:r>
    </w:p>
    <w:p>
      <w:pPr>
        <w:spacing w:after="0" w:line="15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as our independent registered public accounting firm for the fiscal year ending December 31, 2024. Ernst &amp; Young LLP has served as our independent registered public accounting firm since 2017.</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2024.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Ernst &amp; Young LLP for the audit of the consolidated financial statements and for other services provided during the years ended December 31, 2023 and 2022.</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0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 (1)</w:t>
            </w:r>
          </w:p>
        </w:tc>
        <w:tc>
          <w:tcPr>
            <w:tcW w:w="2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462,600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$ 528,350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16,480</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$ 113,500</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479,080</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$ 641,850</w:t>
            </w:r>
          </w:p>
        </w:tc>
      </w:tr>
      <w:tr>
        <w:trPr>
          <w:trHeight w:val="20"/>
        </w:trPr>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compliance, advice and tax planning.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During our 2023 and 2022 fiscal years, no services were provided to us by Ernst &amp; Young LLP other than in accordance with the pre-approval policies and procedures described above.</w:t>
      </w:r>
    </w:p>
    <w:p>
      <w:pPr>
        <w:spacing w:after="0" w:line="15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voting “FOR” Proposal No. 2 to ratify the appointment of Ernst &amp; Young LLP as our independent registered public accounting firm for the fiscal year ending December 31, 2024.</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 recommended nominee for a position on our board of directors are as follows: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our company and our industry and to regularly attend and participate in meetings of our board of directors and its committees.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2024 Annual Meeting.”</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 recommended candidate and recommends his or her election, then his or her name will be included on our proxy card for the next annual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96" w:lineRule="exact"/>
        <w:rPr>
          <w:sz w:val="20"/>
          <w:szCs w:val="20"/>
          <w:color w:val="auto"/>
        </w:rPr>
      </w:pP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In April 2024,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Sapir and Dr. Gould, is an “independent director” as defined under applicable Nasdaq rules, including, in the case of all the members of our audit committee, the independence criteria set forth in Rule 10A-3 under the Exchange Act, and in the case of all the members of our compensation and human capital management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was not an independent director under these rules because he was our interim president and chief executive officer through June 2023, and Mr. Sapir is not an independent director under these rules as he has been serving as our president and chief executive officer since July 2023.</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and human capital management committee, a nominating and corporate governance committee and a science and technology committee. Each of the audit committee, compensation and human capital management committee, nominating and corporate governance committee and science and technology committee operates under a charter, and each such committee reviews its respective charter at least annually. A current copy of the charter for each of the audit committee, the compensation and human capital management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Katina Dorton, James Geraghty and Kate Haviland, and Katina Dorton serves as the chair of the audit committee. Our audit committee met four times during 2023. Our audit committee’s responsibilities include: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 including with respect to cybersecurity;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retention of accounting related complaints and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3"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16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&amp; Human Capital Management Committee</w:t>
      </w:r>
    </w:p>
    <w:p>
      <w:pPr>
        <w:spacing w:after="0" w:line="121"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and human capital management committee are Alan Ezekowitz, Sonja Banks and Katina Dorton, and Alan Ezekowitz serves as chair of the compensation and human capital management committee. Our compensation and human capital management committee met six times during 2023. Our compensation and human capital management committee’s responsibilities include:</w:t>
      </w:r>
    </w:p>
    <w:p>
      <w:pPr>
        <w:spacing w:after="0" w:line="81" w:lineRule="exact"/>
        <w:rPr>
          <w:sz w:val="20"/>
          <w:szCs w:val="20"/>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then required by SEC rules;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any compensation consultant, legal counsel or other advisor retained by the compensation and human capital management committee;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employee demographics and initiatives to foster diversity, equity and inclusion;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hiring, turnover and promotion trends and related programs;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actions and initiatives directed at employee engagement and company culture.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compensation and human capital management committee meets the requirements for independence under current Nasdaq and SEC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James Geraghty and Kate Haviland, and Jim Geraghty serves as chair of the nominating and corporate governance committee. Our nominating and corporate governance committee met three times during 2023. Our nominating and corporate governance committee’s responsibilities include:</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 of directors.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nominating and corporate governance committee meets the requirements for independence under current Nasdaq and SEC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members of our science and technology committee are Robert J. Gould, James Collins and Alan Ezekowitz, and Robert J. Gould serves as chair of the science and technology committee. The science and technology committee assists our board’s oversight of our research activities and assists us in evaluating science and technology issues. Our science and technology committee’s responsibilities include:</w:t>
      </w:r>
    </w:p>
    <w:p>
      <w:pPr>
        <w:spacing w:after="0" w:line="81" w:lineRule="exact"/>
        <w:rPr>
          <w:sz w:val="20"/>
          <w:szCs w:val="20"/>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trends in research and development, and recommending to our board of directors and management emerging technologies for building the company’s technological strength;</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approaches to acquiring and maintaining technology positions (including but not limited to contracts, grants, collaborative efforts, alliances, and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and management on the scientific aspects of business development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our research and development pipeline;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with its oversight responsibility for enterprise risk management in areas affecting our research and development.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believe that it is important that our board of directors reflects the diversity of employees and the communities that we serve. Diversity is an important part of the process that our nominating and corporate governance committee follows when identifying nominees to serve as directors. As required by rules of the Nasdaq Stock Market, we are providing information about the gender and demographic diversity of our directors in the format required by Nasdaq rules.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information in the matrix below is based solely on information provided by our directors about their gender and demographic self-identification as of April 19, 2024. Directors who indicated that they preferred not to answer a question are shown as “did not disclose gender” or “did not disclose demographic background”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see our Board Diversity Matrix as of April 28, 2023, please see our definitive proxy statement filed with the SEC on April 28, 2023.</w:t>
      </w:r>
    </w:p>
    <w:p>
      <w:pPr>
        <w:spacing w:after="0" w:line="200" w:lineRule="exact"/>
        <w:rPr>
          <w:sz w:val="20"/>
          <w:szCs w:val="20"/>
          <w:color w:val="auto"/>
        </w:r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24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Board Diversity Matrix</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4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as of April 19, 2024</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00" w:type="dxa"/>
            <w:vAlign w:val="bottom"/>
            <w:vMerge w:val="restart"/>
          </w:tcPr>
          <w:p>
            <w:pPr>
              <w:spacing w:after="0"/>
              <w:rPr>
                <w:sz w:val="12"/>
                <w:szCs w:val="1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5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580" w:type="dxa"/>
            <w:vAlign w:val="bottom"/>
            <w:vMerge w:val="restart"/>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18"/>
                <w:szCs w:val="18"/>
                <w:color w:val="auto"/>
              </w:rPr>
            </w:pPr>
          </w:p>
        </w:tc>
        <w:tc>
          <w:tcPr>
            <w:tcW w:w="43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96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29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5</w:t>
            </w:r>
          </w:p>
        </w:tc>
      </w:tr>
      <w:tr>
        <w:trPr>
          <w:trHeight w:val="90"/>
        </w:trPr>
        <w:tc>
          <w:tcPr>
            <w:tcW w:w="368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960" w:type="dxa"/>
            <w:vAlign w:val="bottom"/>
          </w:tcPr>
          <w:p>
            <w:pPr>
              <w:spacing w:after="0"/>
              <w:rPr>
                <w:sz w:val="7"/>
                <w:szCs w:val="7"/>
                <w:color w:val="auto"/>
              </w:rPr>
            </w:pPr>
          </w:p>
        </w:tc>
      </w:tr>
      <w:tr>
        <w:trPr>
          <w:trHeight w:val="216"/>
        </w:trPr>
        <w:tc>
          <w:tcPr>
            <w:tcW w:w="3680" w:type="dxa"/>
            <w:vAlign w:val="bottom"/>
            <w:shd w:val="clear" w:color="auto" w:fill="CCEEFF"/>
          </w:tcPr>
          <w:p>
            <w:pPr>
              <w:spacing w:after="0"/>
              <w:rPr>
                <w:sz w:val="18"/>
                <w:szCs w:val="18"/>
                <w:color w:val="auto"/>
              </w:rPr>
            </w:pPr>
          </w:p>
        </w:tc>
        <w:tc>
          <w:tcPr>
            <w:tcW w:w="4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w:t>
            </w:r>
          </w:p>
        </w:tc>
        <w:tc>
          <w:tcPr>
            <w:tcW w:w="4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Hispanic</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Latino</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Native American</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Pacific Islander</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296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38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2023, the members of our compensation and human capital management committee were Alan Ezekowitz, Sonja Banks, and Katina Dorton. None of our executive officers serves, or in the past year has served, as a member of the board of directors or compensation and human capital management committee, or other committee serving an equivalent function, of any other entity that has one or more of its executive officers serving as a member of our board of directors or our compensation and human capital management committee. None of the current members, or members serving during 2023, of our compensation and human capital management committee is, or has ever been, an officer or employee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 Meetings and Attendance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board of directors recognizes the importance of director attendance at board and committee meetings. The full board of directors met eight times during 2023. During 2023, each member of the board of directors attended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responsible for attending the annual meeting of stockholders. All then-serving directors attended our 2023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our board of directors is to oversee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must be independent directors, unless otherwise permitted by Nasdaq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independent advisors;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will oversee an annual self-evaluation of the board to determine whether it and its committees are functioning effectively.</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 copy of the corporate governance guidelines is available on the “Corporate Governance” section of the “Investor Relations” section of our website, which is located at www.fulcrumtx.com.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Oversight of Risk</w:t>
      </w:r>
    </w:p>
    <w:p>
      <w:pPr>
        <w:spacing w:after="0" w:line="121"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spacing w:after="0" w:line="7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those described under “Risk Factors” in our annual report on Form 10-K for the year ended December 31, 2023.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and human capital management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insider trading policy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jc w:val="both"/>
        <w:ind w:left="120" w:right="400"/>
        <w:spacing w:after="0" w:line="289" w:lineRule="auto"/>
        <w:rPr>
          <w:sz w:val="20"/>
          <w:szCs w:val="20"/>
          <w:color w:val="auto"/>
        </w:rPr>
      </w:pPr>
      <w:r>
        <w:rPr>
          <w:rFonts w:ascii="Times New Roman" w:cs="Times New Roman" w:eastAsia="Times New Roman" w:hAnsi="Times New Roman"/>
          <w:sz w:val="17"/>
          <w:szCs w:val="17"/>
          <w:color w:val="auto"/>
        </w:rPr>
        <w:t>Our board of directors has adopted a compensation recovery policy, which became effective in November 2023. The compensation recovery policy establishes the circumstances and procedures under which we may recover erroneously awarded incentive-based compensation from our current or former executive officers in accordance with the Nasdaq listing standards and Rule 10D-1 under the Exchange Act. Specifically, we may recover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erroneously awarded incentive-based compensation (including cash or equity compensation) from our current or former executive officers under certain circumstances if we are required to restate our financial results due to material noncompliance with any financial reporting requirement under the securities laws. The policy is administered by our compensation and human capital management committee. The full text of the compensation recovery policy is included as Exhibit 97.1 to our Annual Report on Form 10-K for the fiscal year ended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Our Directors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0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elements of compensation awarded to, earned by or paid to each of our named executive officers for 2023. Our named executive officers for 2023 were Alex Sapir, Robert J. Gould, Bryan Stuart, Alan Musso, Curtis Oltmans and Mel Hayes. This section also describes the material elements of compensation awarded to, earned by or paid to each of our non-employee directors.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Processes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compensation and human capital management committee of our board of directors, subject to the oversight and approval of our board of directors. Our compensation and human capital management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and human capital management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and human capital management committee has retained Aon’s Talent Solutions practice, a division of Aon plc (formerly known as Radford), or Aon, as its independent compensation consultant, to provide comparative data on executive compensation practices in our industry and to advise on our executive compensation program generally. During 2023, our compensation and human capital management committee directly retained Aon to advise the compensation and human capital management committee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Although our compensation and human capital management committee considers the advice and guidance of Aon as to our executive compensation program and our director compensation program, our compensation and human capital management committee ultimately makes its own decisions about these matters. In the future, we expect that our compensation and human capital management committee will continue to engage independent compensation consultants to provide additional guidance on our executive compensation programs and our director compensation programs and to conduct further competitive benchmarking against a peer group of publicly traded companies.</w:t>
      </w:r>
    </w:p>
    <w:p>
      <w:pPr>
        <w:spacing w:after="0" w:line="19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management committee reviewed information regarding the independence and potential conflicts of interest of Aon, taking into account, among other things, the factors set forth in the Nasdaq listing standards. Based on such review, the compensation and human capital management committee concluded that the engagement of Aon did not raise any conflict of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its charter, the compensation and human capital management committee may form, and delegate authority to, subcommittees, consisting of independent directors, as it deems appropriate. During 2023, the compensation and human capital management committee did not form or delegate authority to such subcommittees. In addition, under its charter, the compensation and human capital management committee may delegate to one or more executive officers the power to grant options or other stock awards pursuant to our equity-based plans or as inducement awards to employees who are not directors or executive officers of the Company. During 2023, the compensation and human capital management committee delegated authority to the current chief executive officer to grant certain stock options to non-executive employees.</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Compensation to executive officers and directors is subject to our policies, including anti-hedging and anti-pledging policies described under “— Corporate Governance” above.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director compensation program is administered by our board of directors with the assistance of the compensation and human capital management committee. The compensation and human capital management committee conducts an annual review of director compensation and makes recommendations to the board of directors with respect thereto.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for the years ended December 31, 2023 and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4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Alex C. Sapir</w:t>
            </w:r>
            <w:r>
              <w:rPr>
                <w:rFonts w:ascii="Times New Roman" w:cs="Times New Roman" w:eastAsia="Times New Roman" w:hAnsi="Times New Roman"/>
                <w:sz w:val="24"/>
                <w:szCs w:val="24"/>
                <w:color w:val="auto"/>
                <w:vertAlign w:val="superscript"/>
              </w:rPr>
              <w:t>(4)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369,419</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6,398,757</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6,990,596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Bryan Stuart</w:t>
            </w:r>
            <w:r>
              <w:rPr>
                <w:rFonts w:ascii="Times New Roman" w:cs="Times New Roman" w:eastAsia="Times New Roman" w:hAnsi="Times New Roman"/>
                <w:sz w:val="26"/>
                <w:szCs w:val="26"/>
                <w:color w:val="auto"/>
                <w:vertAlign w:val="superscript"/>
              </w:rPr>
              <w:t>(5)</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1,294,861(6)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572,450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1,869,696</w:t>
            </w:r>
          </w:p>
        </w:tc>
        <w:tc>
          <w:tcPr>
            <w:tcW w:w="0" w:type="dxa"/>
            <w:vAlign w:val="bottom"/>
          </w:tcPr>
          <w:p>
            <w:pPr>
              <w:spacing w:after="0"/>
              <w:rPr>
                <w:sz w:val="1"/>
                <w:szCs w:val="1"/>
                <w:color w:val="auto"/>
              </w:rPr>
            </w:pPr>
          </w:p>
        </w:tc>
      </w:tr>
      <w:tr>
        <w:trPr>
          <w:trHeight w:val="23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572,450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3,179,306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220,000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3,971,756</w:t>
            </w: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J. Gould</w:t>
            </w:r>
            <w:r>
              <w:rPr>
                <w:rFonts w:ascii="Times New Roman" w:cs="Times New Roman" w:eastAsia="Times New Roman" w:hAnsi="Times New Roman"/>
                <w:sz w:val="25"/>
                <w:szCs w:val="25"/>
                <w:color w:val="auto"/>
                <w:vertAlign w:val="superscript"/>
              </w:rPr>
              <w:t>(7)</w:t>
            </w:r>
          </w:p>
        </w:tc>
        <w:tc>
          <w:tcPr>
            <w:tcW w:w="9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76,404</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48,097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424,501</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Former Interim President and Chief Executive</w:t>
            </w:r>
          </w:p>
        </w:tc>
        <w:tc>
          <w:tcPr>
            <w:tcW w:w="900" w:type="dxa"/>
            <w:vAlign w:val="bottom"/>
            <w:gridSpan w:val="3"/>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80"/>
              <w:spacing w:after="0" w:line="195" w:lineRule="exact"/>
              <w:rPr>
                <w:sz w:val="20"/>
                <w:szCs w:val="20"/>
                <w:color w:val="auto"/>
              </w:rPr>
            </w:pPr>
            <w:r>
              <w:rPr>
                <w:rFonts w:ascii="Times New Roman" w:cs="Times New Roman" w:eastAsia="Times New Roman" w:hAnsi="Times New Roman"/>
                <w:sz w:val="18"/>
                <w:szCs w:val="18"/>
                <w:color w:val="auto"/>
              </w:rPr>
              <w:t>73,342</w:t>
            </w:r>
          </w:p>
        </w:tc>
        <w:tc>
          <w:tcPr>
            <w:tcW w:w="118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45,000</w:t>
            </w:r>
          </w:p>
        </w:tc>
        <w:tc>
          <w:tcPr>
            <w:tcW w:w="88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118,342</w:t>
            </w: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Alan Musso</w:t>
            </w:r>
            <w:r>
              <w:rPr>
                <w:rFonts w:ascii="Times New Roman" w:cs="Times New Roman" w:eastAsia="Times New Roman" w:hAnsi="Times New Roman"/>
                <w:sz w:val="26"/>
                <w:szCs w:val="26"/>
                <w:color w:val="auto"/>
                <w:vertAlign w:val="superscript"/>
              </w:rPr>
              <w:t>(8)</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180,682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1,605,754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31,697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1,879,833</w:t>
            </w:r>
          </w:p>
        </w:tc>
        <w:tc>
          <w:tcPr>
            <w:tcW w:w="0" w:type="dxa"/>
            <w:vAlign w:val="bottom"/>
          </w:tcPr>
          <w:p>
            <w:pPr>
              <w:spacing w:after="0"/>
              <w:rPr>
                <w:sz w:val="1"/>
                <w:szCs w:val="1"/>
                <w:color w:val="auto"/>
              </w:rPr>
            </w:pPr>
          </w:p>
        </w:tc>
      </w:tr>
      <w:tr>
        <w:trPr>
          <w:trHeight w:val="23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Curtis Oltmans</w:t>
            </w:r>
            <w:r>
              <w:rPr>
                <w:rFonts w:ascii="Times New Roman" w:cs="Times New Roman" w:eastAsia="Times New Roman" w:hAnsi="Times New Roman"/>
                <w:sz w:val="25"/>
                <w:szCs w:val="25"/>
                <w:color w:val="auto"/>
                <w:vertAlign w:val="superscript"/>
              </w:rPr>
              <w:t>(9)</w:t>
            </w:r>
          </w:p>
        </w:tc>
        <w:tc>
          <w:tcPr>
            <w:tcW w:w="9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436,800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1,734,261</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148,600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2,319,661</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i w:val="1"/>
                <w:iCs w:val="1"/>
                <w:color w:val="auto"/>
              </w:rPr>
              <w:t>Chief Legal Officer</w:t>
            </w:r>
          </w:p>
        </w:tc>
        <w:tc>
          <w:tcPr>
            <w:tcW w:w="900" w:type="dxa"/>
            <w:vAlign w:val="bottom"/>
            <w:gridSpan w:val="3"/>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411,825</w:t>
            </w:r>
          </w:p>
        </w:tc>
        <w:tc>
          <w:tcPr>
            <w:tcW w:w="66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840,909</w:t>
            </w:r>
          </w:p>
        </w:tc>
        <w:tc>
          <w:tcPr>
            <w:tcW w:w="118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117,600</w:t>
            </w:r>
          </w:p>
        </w:tc>
        <w:tc>
          <w:tcPr>
            <w:tcW w:w="112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1,370,334</w:t>
            </w:r>
          </w:p>
        </w:tc>
        <w:tc>
          <w:tcPr>
            <w:tcW w:w="0" w:type="dxa"/>
            <w:vAlign w:val="bottom"/>
          </w:tcPr>
          <w:p>
            <w:pPr>
              <w:spacing w:after="0"/>
              <w:rPr>
                <w:sz w:val="1"/>
                <w:szCs w:val="1"/>
                <w:color w:val="auto"/>
              </w:rPr>
            </w:pPr>
          </w:p>
        </w:tc>
      </w:tr>
      <w:tr>
        <w:trPr>
          <w:trHeight w:val="248"/>
        </w:trPr>
        <w:tc>
          <w:tcPr>
            <w:tcW w:w="3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Mel Hayes</w:t>
            </w:r>
            <w:r>
              <w:rPr>
                <w:rFonts w:ascii="Times New Roman" w:cs="Times New Roman" w:eastAsia="Times New Roman" w:hAnsi="Times New Roman"/>
                <w:sz w:val="26"/>
                <w:szCs w:val="26"/>
                <w:color w:val="auto"/>
                <w:vertAlign w:val="superscript"/>
              </w:rPr>
              <w:t>(10)</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471,200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1,561,354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160,300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2,192,854</w:t>
            </w:r>
          </w:p>
        </w:tc>
        <w:tc>
          <w:tcPr>
            <w:tcW w:w="0" w:type="dxa"/>
            <w:vAlign w:val="bottom"/>
          </w:tcPr>
          <w:p>
            <w:pPr>
              <w:spacing w:after="0"/>
              <w:rPr>
                <w:sz w:val="1"/>
                <w:szCs w:val="1"/>
                <w:color w:val="auto"/>
              </w:rPr>
            </w:pPr>
          </w:p>
        </w:tc>
      </w:tr>
      <w:tr>
        <w:trPr>
          <w:trHeight w:val="23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Patient Affairs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 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February 27, 2024,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92" w:lineRule="exact"/>
        <w:rPr>
          <w:rFonts w:ascii="Times New Roman" w:cs="Times New Roman" w:eastAsia="Times New Roman" w:hAnsi="Times New Roman"/>
          <w:sz w:val="18"/>
          <w:szCs w:val="18"/>
          <w:color w:val="auto"/>
        </w:rPr>
      </w:pPr>
    </w:p>
    <w:p>
      <w:pPr>
        <w:jc w:val="both"/>
        <w:ind w:left="540" w:right="6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noted otherwise, the amounts reported in the “Non-Equity Incentive Plan” column reflect annual cash bonuses earned by our named executive officers for their performance in 2023 and 2022, respectively, pro rata adjusted for Mr. Sapir and Mr. Musso who joined our company in July and August 2023, respectively. See “—Narrative to Summary Compensation Table—Annual Target Bonus.”</w:t>
      </w:r>
    </w:p>
    <w:p>
      <w:pPr>
        <w:spacing w:after="0" w:line="81"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Sapir, includes $51,000 for a housing and travel allowance and a $21,420 tax gross-up related to the taxable housing and travel allowance; for Mr. Stuart, reflects severance benefits in connection with his January 2023 separation from service; for Dr. Gould, reflects fees for earned for non-employee director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60"/>
        <w:spacing w:after="0" w:line="282" w:lineRule="auto"/>
        <w:rPr>
          <w:sz w:val="20"/>
          <w:szCs w:val="20"/>
          <w:color w:val="auto"/>
        </w:rPr>
      </w:pPr>
      <w:r>
        <w:rPr>
          <w:rFonts w:ascii="Times New Roman" w:cs="Times New Roman" w:eastAsia="Times New Roman" w:hAnsi="Times New Roman"/>
          <w:sz w:val="18"/>
          <w:szCs w:val="18"/>
          <w:color w:val="auto"/>
        </w:rPr>
        <w:t>services after he was replaced as interim chief executive officer; and for Mr. Musso includes $22,322 for housing and travel allowance and a $9,375 tax gross-up related to the housing and travel allowance.</w:t>
      </w:r>
    </w:p>
    <w:p>
      <w:pPr>
        <w:spacing w:after="0" w:line="67" w:lineRule="exact"/>
        <w:rPr>
          <w:sz w:val="20"/>
          <w:szCs w:val="20"/>
          <w:color w:val="auto"/>
        </w:rPr>
      </w:pPr>
    </w:p>
    <w:p>
      <w:pPr>
        <w:ind w:left="540" w:right="120" w:hanging="424"/>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Sapir’s employment commenced in May 2023 as a special advisor to Dr. Gould, then serving as interim president and chief executive officer, and he assumed the role of president and chief executive officer in July 2023. The salary reported reflects the pro rata portion of Mr. Sapir’s annualized salary of $650,000 earned during 2023, and $44,419 earned during his role as a special advisor.</w:t>
      </w:r>
    </w:p>
    <w:p>
      <w:pPr>
        <w:spacing w:after="0" w:line="81" w:lineRule="exact"/>
        <w:rPr>
          <w:rFonts w:ascii="Times New Roman" w:cs="Times New Roman" w:eastAsia="Times New Roman" w:hAnsi="Times New Roman"/>
          <w:sz w:val="18"/>
          <w:szCs w:val="18"/>
          <w:color w:val="auto"/>
        </w:rPr>
      </w:pPr>
    </w:p>
    <w:p>
      <w:pPr>
        <w:ind w:left="540" w:right="280" w:hanging="424"/>
        <w:spacing w:after="0" w:line="312"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2023, we and Mr. Stuart mutually agreed that he would transition from his role as our president and chief executive officer effective immediately. Accordingly, salary for 2023 reflects the pro rata portion of Mr. Stuart’s salary earned in 2023 prior to separation from service.</w:t>
      </w:r>
    </w:p>
    <w:p>
      <w:pPr>
        <w:spacing w:after="0" w:line="45" w:lineRule="exact"/>
        <w:rPr>
          <w:rFonts w:ascii="Times New Roman" w:cs="Times New Roman" w:eastAsia="Times New Roman" w:hAnsi="Times New Roman"/>
          <w:sz w:val="17"/>
          <w:szCs w:val="17"/>
          <w:color w:val="auto"/>
        </w:rPr>
      </w:pPr>
    </w:p>
    <w:p>
      <w:pPr>
        <w:ind w:left="540" w:right="2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amount reflects incremental fair value of the extension of the post-termination exercise period of Mr. Stuart’s vested option awards in connection with his separation from service.</w:t>
      </w:r>
    </w:p>
    <w:p>
      <w:pPr>
        <w:spacing w:after="0" w:line="67"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appointed Dr. Gould as interim president and chief executive officer. Accordingly, salary reported reflects the pro rata portion of Dr. Gould’s $600,000 annualized salary earned during 2023, and his compensation as a non-employee director is reflected under Option Awards and Other Compensation. For 2022, Dr. Gould’s compensation as a non-employee director is reflected under Option Awards and Other Compensation.</w:t>
      </w:r>
    </w:p>
    <w:p>
      <w:pPr>
        <w:spacing w:after="0" w:line="85"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Musso’s employment as chief financial officer commenced in August 2023. Accordingly, salary reported reflects the pro rata portion of Mr. Musso’s annualized salary of $450,000 earned during 2023.</w:t>
      </w:r>
    </w:p>
    <w:p>
      <w:pPr>
        <w:spacing w:after="0" w:line="67"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Oltmans was promoted from senior vice president to chief legal officer in July 2022, and his salary and annual target bonus were increased in connection therewith. Accordingly, 2022 amounts reflect this step up in both salary and bonus mid-year.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Mr. Hayes’ role transitioned to executive vice president, patient affairs.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9"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i w:val="1"/>
          <w:iCs w:val="1"/>
          <w:color w:val="auto"/>
        </w:rPr>
        <w:t>Business Performance</w:t>
      </w:r>
      <w:r>
        <w:rPr>
          <w:rFonts w:ascii="Times New Roman" w:cs="Times New Roman" w:eastAsia="Times New Roman" w:hAnsi="Times New Roman"/>
          <w:sz w:val="18"/>
          <w:szCs w:val="18"/>
          <w:color w:val="auto"/>
        </w:rPr>
        <w:t>. We are a clinical-stage biopharmaceutical company focused on improving the lives of patients with genetically defined rare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in areas of high unmet medical need. Some of our key results and milestones in 2023 are as follows:</w:t>
      </w:r>
    </w:p>
    <w:p>
      <w:pPr>
        <w:spacing w:after="0" w:line="66"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completed a successful equity offering.</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FDA lifted the full clinical hold on the IND for pociredir for the potential treatment of sickle cell disease (SCD). The Phase 1b clinical trial is being re-initiated at the 12 mg once daily dose level, with that cohort expected to enroll approximately 10 patients, followed by an additional cohort of 10 patients at the 20 mg once daily dose level.</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we completed enrollment in the REACH Phase 3 pivotal trial evaluating losmapimod in facioscapulohumeral muscular dystrophy (FSHD) in the United States, Canada and Europe.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was $2.8 million for the year ended December 31, 2023, as compared to $6.3 million for the year ended December 31, 2022. The decrease of $3.5 million was primarily due to the winding down of our collaboration agreement with MyoKardia, Inc., a wholly-owned subsidiary of Bristol-Myers Squibb Company.</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$97.3 million for the year ended December 31, 2023, as compared to a net loss of $109.9 million for the year ended December 31, 2022.</w:t>
      </w:r>
    </w:p>
    <w:p>
      <w:pPr>
        <w:spacing w:after="0" w:line="160"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None of our named executive officers is currently party to (and prior to their respective departures, none of them were party to) an employment agreement or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or arrangement that provides for automatic or scheduled increases in base salary. In January 2023, our board of directors increased</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Mr. Oltman’s base salary by 4% to $436,800, increased Mr. Hayes’ base salary by 4% to $471,200 and fixed Dr. Gould’s compensation as interim chief executive officer at $600,000 annually. In May 2023, in connection with the commencement of Mr. Sapir’s employment, our board of directors set Mr. Sapir’s base salary at $650,000. In August 2023, in connection with the commencement of Mr. Musso’s employment, our board of directors set Mr. Musso’s base salary at $450,000.</w:t>
      </w:r>
    </w:p>
    <w:p>
      <w:pPr>
        <w:spacing w:after="0" w:line="18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In January 2024, our board of directors set Mr. Sapir’s 2024 annual base salary at $650,000, Mr. Musso’s 2024 annual base salary at $457,500, Mr. Oltmans’ 2024 annual base salary at $454,000 and Mr. Hayes’ annual base salary at $471,200.</w:t>
      </w:r>
    </w:p>
    <w:p>
      <w:pPr>
        <w:spacing w:after="0" w:line="160"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Annual Target Bonus. </w:t>
      </w:r>
      <w:r>
        <w:rPr>
          <w:rFonts w:ascii="Times New Roman" w:cs="Times New Roman" w:eastAsia="Times New Roman" w:hAnsi="Times New Roman"/>
          <w:sz w:val="17"/>
          <w:szCs w:val="17"/>
          <w:color w:val="auto"/>
        </w:rPr>
        <w:t>Our employment agreements with our named executive officers (other than Dr. Gould’s letter agreement for services as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interim chief executive officer)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 Our board of directors granted no discretionary annual cash bonuses in 2023.</w:t>
      </w:r>
    </w:p>
    <w:p>
      <w:pPr>
        <w:spacing w:after="0" w:line="17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2023 target bonus amounts, expressed as a percentage of annual base salary, for our named executive officers were 50% for Mr. Sapir, 40% for Mr. Musso, 40% for Mr. Oltmans and 40% for Mr. Hayes. Mr. Stuart was not eligible for a 2023 bonus given his January 2023 separation from service, nor was Dr. Gould under his letter agreement. The 2023 goals included development goals relating to advancing our product candidates for FSHD and SCD, research goals relating to maintaining a portfolio in rare muscle and hematology diseases, business operations goals relating to management of resources, and human resources goals relating to effective utilization and maximum development. The Committee does not assign a particular weighting to these goals, and instead evaluates achievement holistically when determining performance. Based on an assessment of our performance in the goals noted above, the Committee awarded payouts equal to 85% of target for each of our named executive officers other than Mr. Stuart and Dr. Gould. Accordingly, our board of directors awarded bonuses of $150,000, $61,700, $148,600 and $160,300 to Mr. Sapir, Mr. Musso, Mr. Oltmans, and Mr. Hayes, respectively, with Mr. Sapir’s and Mr. Musso’s bonuses pro-rated to reflect their respective employment start dates.</w:t>
      </w:r>
    </w:p>
    <w:p>
      <w:pPr>
        <w:spacing w:after="0" w:line="186"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grants provide our executives with a strong link to our long-term performance, create an ownership culture and help to align the interests of our executives and our stockholders.</w:t>
      </w:r>
    </w:p>
    <w:p>
      <w:pPr>
        <w:spacing w:after="0" w:line="175"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were awarded an initial equity award upon commencement of employment. These initial grants vest as to 25% of the shares underlying the award on the first anniversary of the commencement of employment and as to an additional 6.25% of the original number of shares underlying the award quarterly thereafter.</w:t>
      </w:r>
    </w:p>
    <w:p>
      <w:pPr>
        <w:spacing w:after="0" w:line="168"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Additional equity awards may be granted periodically to specifically incentivize our executive officers to achieve certain corporate goals or to reward them for exceptional performance.</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2023, the board of directors determined that equity would be granted to executive officers in the form of time-vested stock options. The board of directors believes this approach is appropriate because it aligns executive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interests with those of shareholders by motivating shareholder value creation. The option awards that we have granted to our executive officers at times other than in connection with the commencement of employment, including those granted in 2023, typically become exercisable in equal quarterly installments over a term of four years from the applicable vesting commencement date. The number of stock options granted to executive officers was based in part on recommendations from Aon, our independent compensation consultant.</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Vesting rights generally cease upon termination of service and exercise rights for options generally cease shortly after termination, although in connection with a separation of service, we may agree to extend the post-termination exercise period. For example, in connection with our mutual agreement with Mr. Stuart in January 2023 that he would transition from his role as president and chief executive officer with immediate effect, we agreed to an extended exercise period (18-months) for his vested and unexercised options following the January 2, 2023 separation from service, which resulted in the incremental fair value reported in the Summary Compensation Table under “Option Awards”.</w:t>
      </w:r>
    </w:p>
    <w:p>
      <w:pPr>
        <w:spacing w:after="0" w:line="1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See “—Outstanding Equity Awards at December 31, 2023” for information regarding equity awards granted to our named executive officers that remained outstanding as of fiscal year end.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stock options held by each of our named executive officers as of December 31, 2023. We have omitted stock awards from the following table as there are no outstanding stock awards held by our named executive officers as of December 31, 2023.</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2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5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C. Sapir</w:t>
            </w:r>
          </w:p>
        </w:tc>
        <w:tc>
          <w:tcPr>
            <w:tcW w:w="3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2,430,400(1)</w:t>
            </w:r>
          </w:p>
        </w:tc>
        <w:tc>
          <w:tcPr>
            <w:tcW w:w="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Bryan Stuart</w:t>
            </w: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224,571</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12/17/2028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58,928</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1/21/2029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24,999</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7/17/2029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78,750</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16.87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1/22/2030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67,188</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1/24/2031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153,125</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11.78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3/30/2031</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85,000</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1/18/2032</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Gould</w:t>
            </w:r>
          </w:p>
        </w:tc>
        <w:tc>
          <w:tcPr>
            <w:tcW w:w="30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107,142</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7/17/2029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187,500</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12,500(2)</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1/22/2030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185,206</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84,184(3)</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6/26/2032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30,000(4)</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6/26/2033</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Alan Musso</w:t>
            </w: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432,800(5)</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8/6/2033</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61,822(6)</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8/6/2033</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4420" w:type="dxa"/>
            <w:vAlign w:val="bottom"/>
            <w:gridSpan w:val="4"/>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Oltmans</w:t>
            </w:r>
          </w:p>
        </w:tc>
        <w:tc>
          <w:tcPr>
            <w:tcW w:w="30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115,200</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38,400(7)</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12/2/2030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26,250</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33,750(8)</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15,625</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34,375(9)</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121,875(10)</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127,500(11)</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4/25/2033</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0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vMerge w:val="restart"/>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64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80" w:type="dxa"/>
            <w:vAlign w:val="bottom"/>
          </w:tcPr>
          <w:p>
            <w:pPr>
              <w:spacing w:after="0"/>
              <w:rPr>
                <w:sz w:val="15"/>
                <w:szCs w:val="15"/>
                <w:color w:val="auto"/>
              </w:rPr>
            </w:pP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6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 Hayes</w:t>
            </w:r>
          </w:p>
        </w:tc>
        <w:tc>
          <w:tcPr>
            <w:tcW w:w="320" w:type="dxa"/>
            <w:vAlign w:val="bottom"/>
            <w:vMerge w:val="continue"/>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78,750</w:t>
            </w:r>
          </w:p>
        </w:tc>
        <w:tc>
          <w:tcPr>
            <w:tcW w:w="380" w:type="dxa"/>
            <w:vAlign w:val="bottom"/>
            <w:vMerge w:val="continue"/>
          </w:tcPr>
          <w:p>
            <w:pPr>
              <w:spacing w:after="0"/>
              <w:rPr>
                <w:sz w:val="16"/>
                <w:szCs w:val="16"/>
                <w:color w:val="auto"/>
              </w:rPr>
            </w:pPr>
          </w:p>
        </w:tc>
        <w:tc>
          <w:tcPr>
            <w:tcW w:w="1500" w:type="dxa"/>
            <w:vAlign w:val="bottom"/>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color w:val="auto"/>
              </w:rPr>
              <w:t>61,250(12)</w:t>
            </w: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28.49</w:t>
            </w:r>
          </w:p>
        </w:tc>
        <w:tc>
          <w:tcPr>
            <w:tcW w:w="360" w:type="dxa"/>
            <w:vAlign w:val="bottom"/>
            <w:vMerge w:val="continue"/>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9/6/2031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21,875</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28,125(8)</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1/18/2032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42,813</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94,187(9)</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8/8/2032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25,313</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109,687(10)</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2/8/2033</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115,000(11)</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vesting on May 12, 2024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2020, subject to continued service.</w:t>
      </w:r>
    </w:p>
    <w:p>
      <w:pPr>
        <w:spacing w:after="0" w:line="6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2021, subject to continued service.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scheduled to vest with respect to all shares on June 27, 2024, the first anniversary of the grant date or, if earlier, immediately prior to the first annual meeting of stockholders occurring after the grant date on June 27, 2023, subject to continued service.</w:t>
      </w:r>
    </w:p>
    <w:p>
      <w:pPr>
        <w:spacing w:after="0" w:line="67"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vesting on August 7, 2024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8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performance-based stock option was granted on August 7, 2023 and was subject to the achievement of certain pre-defined performance objectives pertaining to financial and investor relations goals within six months from the grant date, and subject to Mr. Musso continuing to be an “eligible participant” (as defined in our 2022 Inducement Stock Incentive Plan) through the vesting date. All performance objectives were met on January 17, 2024.</w:t>
      </w:r>
    </w:p>
    <w:p>
      <w:pPr>
        <w:spacing w:after="0" w:line="85"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November 30, 2021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2022, subject to continued service.</w:t>
      </w:r>
    </w:p>
    <w:p>
      <w:pPr>
        <w:spacing w:after="0" w:line="67"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July 1, 2023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quarterly installments over four years beginning on the vesting commencement date of January 1, 2023, subject to continued service.</w:t>
      </w:r>
    </w:p>
    <w:p>
      <w:pPr>
        <w:spacing w:after="0" w:line="67"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vesting on April 26, 2024 and 6.25% of the shares vesting thereafter in equal quarterly installments over three years, subject to continued service.</w:t>
      </w:r>
    </w:p>
    <w:p>
      <w:pPr>
        <w:spacing w:after="0" w:line="6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four years, with 25% of the shares vested on September 7, 2022 and 6.25% of the shares vesting thereafter in equal quarterly installments over three years, subject to continued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entered into written compensation agreements with each of our named executive officers. Generally these agreements were employment agreements that set forth the terms of the executive officer’s compensation, including base salary and annual performance bonus opportunity prior to their respective resignations. In addition, the agreements provided that, subject to eligibility requirements under the plan documents governing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programs and our policies, the executive officers were eligible to participate in company-sponsored benefit programs that are generally available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our similarly-situated employees. For Dr. Gould, we entered into a letter agreement effective January 3, 2023 providing for annual salary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$600,000, paid $50,000 monthly to cover his service as our interim chief executive officer. Each executive officer was also eligible to receive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awards at such times and on such terms and conditions as the board of directors may have determined. Annual base salaries and bonus target percentages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reviewed by our compensation and human capital management committee and the board of directors on an annual or more frequent basis and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change in the discretion of our board of directors or compensation and human capital management committee. See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“—Narrative to Summary Compensation Table” for the 2023 annual base salaries, 2023 target bonus percentages, and the actual 2023 bonus payouts.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360"/>
        <w:spacing w:after="0" w:line="276" w:lineRule="auto"/>
        <w:rPr>
          <w:sz w:val="20"/>
          <w:szCs w:val="20"/>
          <w:color w:val="auto"/>
        </w:rPr>
      </w:pPr>
      <w:r>
        <w:rPr>
          <w:rFonts w:ascii="Times New Roman" w:cs="Times New Roman" w:eastAsia="Times New Roman" w:hAnsi="Times New Roman"/>
          <w:sz w:val="17"/>
          <w:szCs w:val="17"/>
          <w:color w:val="auto"/>
        </w:rPr>
        <w:t>The employment agreements and the employment of Mr. Sapir, Mr. Musso, Mr. Oltmans and Mr. Hayes may be (and of Mr. Stuart could have been) terminated as follows: (1) upon the death or “disability” (as disability is defined in the applicable employment agreement) of such executive officer;</w:t>
      </w:r>
    </w:p>
    <w:p>
      <w:pPr>
        <w:spacing w:after="0" w:line="1" w:lineRule="exact"/>
        <w:rPr>
          <w:sz w:val="20"/>
          <w:szCs w:val="20"/>
          <w:color w:val="auto"/>
        </w:rPr>
      </w:pPr>
    </w:p>
    <w:p>
      <w:pPr>
        <w:ind w:left="120" w:right="260" w:hanging="4"/>
        <w:spacing w:after="0" w:line="255"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election, with or without “cause” (as cause is defined in the applicable employment agreement); and (3) at such executive officer’s election, with or without “good reason” (as good reason is defined in the applicable employment agreement). Dr. Gould’s letter agreement for his service as interim chief executive officer did not provide for any severance or change in control benefits.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Alex Sapir</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Mr. Sapir was appointed as our president and chief executive officer, effective July 1, 2023. In connection with his appointment as our president and chief executive officer, Mr. Sapir entered into an employment agreement with us, providing for, among other things, the following severance benefits.</w:t>
      </w:r>
    </w:p>
    <w:p>
      <w:pPr>
        <w:spacing w:after="0" w:line="14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Mr. Sapir’s employment by us without cause, or by him for good reason, prior to or more than 18 months following a “change in control” (as change in control is defined in his employment agreement), and following the one year anniversary of the start date, Mr. Sapir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w:t>
      </w:r>
    </w:p>
    <w:p>
      <w:pPr>
        <w:spacing w:after="0" w:line="19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event of the termination of Mr. Sapir’s employment by us without cause, or by him for good reason, within 18 months following a change in control, Mr. Sapir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Sapir is entitled to (1) continued payment of his then-current base salary (or, if higher, his base salary in effect immediately prior to the change in control), in accordance with our regular payroll procedures, for a period of 27 months, (2) provided he is eligible for and timely elects to continue receiving group medical insurance under COBRA and the payments would not result in the violation of nondiscrimination requirements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applicable law, payment by us of the portion of health coverage premiums we pay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3"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If Mr. Sapir’s employment is terminated for any other reason, including as a result of his death or disability, for cause, or voluntarily by Mr. Sapir without good reason, our obligations under the employment agreement cease immediately, and Mr. Sapir is only entitled to the accrued obligations.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Alan Musso</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Mr. Musso was appointed as our chief financial officer, effective August 7, 2023. In connection with his appointment as our chief financial officer, Mr. Musso entered into an employment agreement with us, providing for, among other things, the following severance benefits.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Mr. Musso’s employment by us without cause, or by him for good reason, prior to or more than 12 months following a “change in control” (as change in control is defined in his employment agreement), and following the one year anniversary of the start date, Mr. Musso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 and (3) a lump sum payment equal to 100% of his target bonus for the year in which his employment is terminated or, if higher, his target bonus immediately prior to the change in control.</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Mr. Musso’s employment by us without cause, or by him for good reason, within 12 months following a change in control, Mr. Musso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Musso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92" w:lineRule="exact"/>
        <w:rPr>
          <w:sz w:val="20"/>
          <w:szCs w:val="20"/>
          <w:color w:val="auto"/>
        </w:rPr>
      </w:pPr>
    </w:p>
    <w:p>
      <w:pPr>
        <w:jc w:val="both"/>
        <w:ind w:left="120" w:right="300"/>
        <w:spacing w:after="0" w:line="312" w:lineRule="auto"/>
        <w:rPr>
          <w:sz w:val="20"/>
          <w:szCs w:val="20"/>
          <w:color w:val="auto"/>
        </w:rPr>
      </w:pPr>
      <w:r>
        <w:rPr>
          <w:rFonts w:ascii="Times New Roman" w:cs="Times New Roman" w:eastAsia="Times New Roman" w:hAnsi="Times New Roman"/>
          <w:sz w:val="17"/>
          <w:szCs w:val="17"/>
          <w:color w:val="auto"/>
        </w:rPr>
        <w:t>If Mr. Musso’s employment is terminated for any other reason, including as a result of his death or disability, for cause, or voluntarily by Mr. Musso without good reason, our obligations under the employment agreement cease immediately, and Mr. Musso is only entitled to the accrued obligations.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Curtis Oltmans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Mr. Oltmans’ employment by us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Mr. Oltmans’ employment by us without cause, or by him for good reason, within 12 months following a change in control, Mr. Oltmans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Oltmans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92"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If Mr. Oltmans’ employment is terminated for any other reason, including as a result of his death or disability, for cause, or voluntarily by Mr. Oltmans without good reason, our obligations under the employment agreement cease immediately, and Mr. Oltmans is only entitled to the accrued obligations.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Mel Hayes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Mr. Hayes’ employment by us without cause, or by him for good reason, prior to or more than 12 months following a “change in control” (as change in control is defined in his employment agreement), Mr. Hayes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spacing w:after="0" w:line="18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Mr. Hayes’ employment by us without cause, or by him for good reason, within 12 months following a change in control, Mr. Hayes is entitled to the accrued obligations. In addition, subject to his execution and nonrevocation of a release of claims in our favor and his continued compliance with his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non-solicitation, confidential information and assignment of inventions agreement and any similar agreement with us, Mr. Hayes is entitled to</w:t>
      </w:r>
    </w:p>
    <w:p>
      <w:pPr>
        <w:spacing w:after="0" w:line="27" w:lineRule="exact"/>
        <w:rPr>
          <w:sz w:val="20"/>
          <w:szCs w:val="20"/>
          <w:color w:val="auto"/>
        </w:rPr>
      </w:pPr>
    </w:p>
    <w:p>
      <w:pPr>
        <w:ind w:left="120" w:right="40" w:hanging="4"/>
        <w:spacing w:after="0" w:line="269" w:lineRule="auto"/>
        <w:tabs>
          <w:tab w:leader="none" w:pos="3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76"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If Mr. Hayes’ employment is terminated for any other reason, including as a result of his death or disability, for cause, or voluntarily by Mr. Hayes without good reason, our obligations under the employment agreement cease immediately, and Mr. Hayes is only entitled to the accrued obligations.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Bryan Stuart</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Stuart was appointed as our president and chief executive officer, effective March 31, 2021. On January 2, 2023, Mr. Stuart and we mutually agreed that he would transition from his role as president, chief executive officer, and Class II director. On January 3, 2023, we entered into a severance agreement with Mr. Stuart. Pursuant to the severance agreement, Mr. Stuart will receive (1) 12 months of an annual base salary of $572,450 paid in accordance with our payroll procedures, (2) if Mr. Stuart elects to continue his participation in our medical benefit plan pursuant to COBRA, we will pay the monthly premiums to continue such coverage for a maximum of 12 months from termination, (3) an annual performance bonus for 2022 of $220,000, and (4) an extended exercise period with respect to Mr. Stuart’s vested stock options until the earlier of (i) 18 months following his termination date and (ii) the original 10-year expiration date for such vested stock options.</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Pursuant to the terms of Mr. Stuart’s employment agreement in place during 2022 and through his termination in January 2023, Mr. Stuart was entitled to the following severance benefits.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Mr. Stuart’s employment by us without cause, or by him for good reason, prior to or more than 12 months following a “change in control” (as change in control is defined in his employment agreement), Mr. Stuart was entitled to his base salary that had accrued and to which he was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was entitled to (1) continued payment of his base salary, in accordance with our regular payroll procedures, for a period of 12 months and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his date of termination.</w:t>
      </w:r>
    </w:p>
    <w:p>
      <w:pPr>
        <w:spacing w:after="0" w:line="18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event of the termination of Mr. Stuart’s employment by us without cause, or by him for good reason, within 12 months following a change in control, Mr. Stuart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Stuart was entitled to (1) continued payment of his then-current base salary (or, if higher, his base salary in effect immediately prior to the change in control), in accordance with our regular payroll procedures, for a period of 18 months, (2) provided he was eligible for and timely elects to continue receiving group medical insurance under COBRA and the payments would not result in the violation of nondiscrimination requirements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time-based equity awards would have become fully exercisable and non-forfeitable as of the termination date.</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Mr. Stuart’s employment was terminated for any other reason, including as a result of his death or disability, for cause, or voluntarily by Mr. Stuart without good reason, our obligations under the employment agreement would have ceased immediately, and Mr. Stuart would have only been entitled to the accrued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Non-Solicitation, Confidentiality and Assignment of Inventions Agreements</w:t>
      </w:r>
    </w:p>
    <w:p>
      <w:pPr>
        <w:spacing w:after="0" w:line="22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 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We match 100% of the first 2% that an employee contributes to the 401(k) plan, and 50% on the next 4% that an employee contributes to the 401(k) plan. Matching contributions are 100% vested immediately.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table below shows all compensation earned by our non-employee directors during the year ended December 31, 2023. Dr. Gould’s compensation for 2023 (including fees received as a non-employee director) are reported in the “Summary Compensation Table”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740" w:type="dxa"/>
            <w:vAlign w:val="bottom"/>
            <w:vMerge w:val="restart"/>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740" w:type="dxa"/>
            <w:vAlign w:val="bottom"/>
            <w:vMerge w:val="continue"/>
          </w:tcPr>
          <w:p>
            <w:pPr>
              <w:spacing w:after="0"/>
              <w:rPr>
                <w:sz w:val="15"/>
                <w:szCs w:val="15"/>
                <w:color w:val="auto"/>
              </w:rPr>
            </w:pPr>
          </w:p>
        </w:tc>
        <w:tc>
          <w:tcPr>
            <w:tcW w:w="900" w:type="dxa"/>
            <w:vAlign w:val="bottom"/>
          </w:tcPr>
          <w:p>
            <w:pPr>
              <w:jc w:val="right"/>
              <w:ind w:right="27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560" w:type="dxa"/>
            <w:vAlign w:val="bottom"/>
          </w:tcPr>
          <w:p>
            <w:pPr>
              <w:ind w:left="6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(1)(2)</w:t>
            </w:r>
          </w:p>
        </w:tc>
        <w:tc>
          <w:tcPr>
            <w:tcW w:w="360" w:type="dxa"/>
            <w:vAlign w:val="bottom"/>
          </w:tcPr>
          <w:p>
            <w:pPr>
              <w:spacing w:after="0"/>
              <w:rPr>
                <w:sz w:val="15"/>
                <w:szCs w:val="15"/>
                <w:color w:val="auto"/>
              </w:rPr>
            </w:pPr>
          </w:p>
        </w:tc>
        <w:tc>
          <w:tcPr>
            <w:tcW w:w="66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Sonja L. Banks</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45,000</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76,404</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Collins</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46,903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76,404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123,307</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Katina Dorton</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76,404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136,404</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Ezekowitz</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76,404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131,404</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Geraghty</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55,500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76,404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131,904</w:t>
            </w:r>
          </w:p>
        </w:tc>
        <w:tc>
          <w:tcPr>
            <w:tcW w:w="0" w:type="dxa"/>
            <w:vAlign w:val="bottom"/>
          </w:tcPr>
          <w:p>
            <w:pPr>
              <w:spacing w:after="0"/>
              <w:rPr>
                <w:sz w:val="1"/>
                <w:szCs w:val="1"/>
                <w:color w:val="auto"/>
              </w:rPr>
            </w:pP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Haviland</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81,500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76,404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80" w:hanging="424"/>
        <w:spacing w:after="0" w:line="258"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 options awarded during the year computed in accordance with the provisions of ASC 718. See Note 9 to our consolidated financial statements appearing in our annual report on Form 10-K, which was filed with the SEC on February 27, 2024,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88" w:lineRule="exact"/>
        <w:rPr>
          <w:rFonts w:ascii="Times New Roman" w:cs="Times New Roman" w:eastAsia="Times New Roman" w:hAnsi="Times New Roman"/>
          <w:sz w:val="18"/>
          <w:szCs w:val="18"/>
          <w:color w:val="auto"/>
        </w:rPr>
      </w:pPr>
    </w:p>
    <w:p>
      <w:pPr>
        <w:ind w:left="540" w:right="360" w:hanging="424"/>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number of shares of our common stock subject to outstanding option awards for each non-employee director serving during 2023 was as follows: Ms. Banks, 79,000 shares; Dr. Collins, 86,141 shares; Ms. Dorton, 82,571 shares, Dr. Ezekowitz, 95,285 shares; Mr. Geraghty, 89,712 shares; and Ms. Haviland, 106,141 shares.</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in the year ended December 31, 2023 were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Member Annual</w:t>
            </w:r>
          </w:p>
        </w:tc>
        <w:tc>
          <w:tcPr>
            <w:tcW w:w="440" w:type="dxa"/>
            <w:vAlign w:val="bottom"/>
          </w:tcPr>
          <w:p>
            <w:pPr>
              <w:spacing w:after="0"/>
              <w:rPr>
                <w:sz w:val="13"/>
                <w:szCs w:val="13"/>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Chair Incremental</w:t>
            </w:r>
          </w:p>
        </w:tc>
      </w:tr>
      <w:tr>
        <w:trPr>
          <w:trHeight w:val="173"/>
        </w:trPr>
        <w:tc>
          <w:tcPr>
            <w:tcW w:w="6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Fee</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 Fee</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Human Capital Management Committee</w:t>
            </w:r>
          </w:p>
        </w:tc>
        <w:tc>
          <w:tcPr>
            <w:tcW w:w="20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20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addition, under our director compensation program, each non-employee director will receive, upon his or her initial election or appointment to our board of directors, an option under our 2019 Stock Incentive Plan, or the 2019 Plan, to purchase 60,000 shares of our common stock. Each of these options vests as to 2.7778% of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2023 annual meeting of stockholders, each non-employee director that served on our board of directors for at least six months received an option under the 2019 Plan to purchase 30,000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spacing w:after="0" w:line="187"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2016 Stock Incentive Plan, as amended, or the 2016 Plan, the 2019 Plan, our Inducement Plan, as amended, and our 2019 Employee Stock Purchase Plan, or the ESPP, each as of December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0" w:type="dxa"/>
            <w:vAlign w:val="bottom"/>
          </w:tcPr>
          <w:p>
            <w:pPr>
              <w:spacing w:after="0"/>
              <w:rPr>
                <w:sz w:val="10"/>
                <w:szCs w:val="10"/>
                <w:color w:val="auto"/>
              </w:rPr>
            </w:pPr>
          </w:p>
        </w:tc>
        <w:tc>
          <w:tcPr>
            <w:tcW w:w="192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400" w:type="dxa"/>
            <w:vAlign w:val="bottom"/>
          </w:tcPr>
          <w:p>
            <w:pPr>
              <w:spacing w:after="0"/>
              <w:rPr>
                <w:sz w:val="12"/>
                <w:szCs w:val="12"/>
                <w:color w:val="auto"/>
              </w:rPr>
            </w:pPr>
          </w:p>
        </w:tc>
        <w:tc>
          <w:tcPr>
            <w:tcW w:w="192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(1)(2)(3)</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5,428,871</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10.80</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4,503,662</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(4)</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4,543,346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5.62</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837,877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9,972,217</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8.44</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5,341,539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2019 Plan, and ESPP.</w:t>
      </w:r>
    </w:p>
    <w:p>
      <w:pPr>
        <w:spacing w:after="0" w:line="130"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3,157,537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2024, the shares under the 2019 Plan were increased by 2,000,000 shares pursuant to the annual increase described above.</w:t>
      </w:r>
    </w:p>
    <w:p>
      <w:pPr>
        <w:spacing w:after="0" w:line="94"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1,346,125 shares of our common stock were available for issuance under the ESPP, including 83,144 shares of our common stock subject to purchase during the current purchase period, which commenced on November 15, 2023 and ends on May 14, 2024. The number of shares reserved for issuance under the ESPP will be increased on each January 1 through January 1, 2029 by the least of (i) 428,571 shares, (ii) 1% of the number of shares of our common stock outstanding on the first day of such year or (iii) an amount determined by our board of directors. On January 1, 2024, the shares under the ESPP were increased by 428,571 shares pursuant to annual increase described above.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granted as inducements material to acceptance of employment with us in accordance with Nasdaq Listing Rule 5635(c)(4). In February 2022, our board of directors adopted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 In March 2023, our board of directors amended the Inducement Plan to increase the number of shares reserved for issuance by 2,000,000 shares and in May 2023, our board of directors amended the Inducement Plan to increase the number of shares reserved for issuance by 1,400,000 shares. As of December 31, 2023, 837,877 shares of our common stock were available for issuance under the Inducement Plan.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2022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Public Offerings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August 2022, we issued and sold 11,029,410 shares of our common stock in a public offering at a public offering price of $7.82 per share. Certain holders of more than 5% of our voting securities at the time of the August 2022 offering and their affiliates purchased an aggregate of 8,438,618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 (1)</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40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 Capital Management, L.P.</w:t>
            </w:r>
          </w:p>
        </w:tc>
        <w:tc>
          <w:tcPr>
            <w:tcW w:w="8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FMR LLC</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1,438,618</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11,249,993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7"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“Principal Stockholders” for additional information about shares held by these entities.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January 2023, we issued and sold 9,615,384 shares of our common stock in a public offering at a public offering price of $13.00 per share. Certain holders of more than 5% of our voting securities at the time of the January 2023 offering and their affiliates purchased an aggregate of 2,907,691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 (1)</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40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 Capital Management, L.P.</w:t>
            </w:r>
          </w:p>
        </w:tc>
        <w:tc>
          <w:tcPr>
            <w:tcW w:w="8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1,923,076</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24,999,988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RTW Investments, LP</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7,800,000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c>
          <w:tcPr>
            <w:tcW w:w="24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384,615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2"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“Principal Stockholders” for additional information about shares held by these entities.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written policies and procedures for the review of any transaction, arrangement or relationship in which our company is a participant, the amount involved exceeds (i) the lesser of (x) $120,000 and (y) 1% of our average total assets at year end for the last two completed fiscal years, if we are a “smaller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89" w:lineRule="exact"/>
        <w:rPr>
          <w:sz w:val="20"/>
          <w:szCs w:val="20"/>
          <w:color w:val="auto"/>
        </w:rPr>
      </w:pPr>
    </w:p>
    <w:p>
      <w:pPr>
        <w:ind w:left="120" w:right="580"/>
        <w:spacing w:after="0" w:line="312" w:lineRule="auto"/>
        <w:rPr>
          <w:sz w:val="20"/>
          <w:szCs w:val="20"/>
          <w:color w:val="auto"/>
        </w:rPr>
      </w:pPr>
      <w:r>
        <w:rPr>
          <w:rFonts w:ascii="Times New Roman" w:cs="Times New Roman" w:eastAsia="Times New Roman" w:hAnsi="Times New Roman"/>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4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both"/>
        <w:ind w:left="120" w:right="580"/>
        <w:spacing w:after="0" w:line="312" w:lineRule="auto"/>
        <w:rPr>
          <w:sz w:val="20"/>
          <w:szCs w:val="20"/>
          <w:color w:val="auto"/>
        </w:rPr>
      </w:pPr>
      <w:r>
        <w:rPr>
          <w:rFonts w:ascii="Times New Roman" w:cs="Times New Roman" w:eastAsia="Times New Roman" w:hAnsi="Times New Roman"/>
          <w:sz w:val="17"/>
          <w:szCs w:val="17"/>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81" w:lineRule="exact"/>
        <w:rPr>
          <w:sz w:val="20"/>
          <w:szCs w:val="20"/>
          <w:color w:val="auto"/>
        </w:rPr>
      </w:pPr>
    </w:p>
    <w:p>
      <w:pPr>
        <w:ind w:left="1080" w:right="20" w:hanging="424"/>
        <w:spacing w:after="0" w:line="277"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7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certificate of incorporation or bylaws.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our compensation and human capital management committee in the manner specified in the compensation and human capital management committee’s charter.</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00"/>
          </w:cols>
          <w:pgMar w:left="320" w:top="455" w:right="7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with respect to the beneficial ownership of our common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2024 by:</w:t>
      </w:r>
    </w:p>
    <w:p>
      <w:pPr>
        <w:spacing w:after="0" w:line="112"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to us to be the beneficial owner of 5% or more of the outstanding shares of our common stock.</w:t>
      </w:r>
    </w:p>
    <w:p>
      <w:pPr>
        <w:spacing w:after="0" w:line="16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62,141,011 shares of our common stock outstanding as of March 31, 2024.</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2024 are considered outstanding and beneficially owned by the person holding the options for the purpose of calculating the percentage ownership of that person but not for the purpose of calculating the percentage ownership of any other person. The table is based upon information supplied by our officers, directors and 5% stockholders and/or a review of Schedules 13D and 13G documents filed with the SEC, if any, and other sources.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360" w:type="dxa"/>
            <w:vAlign w:val="bottom"/>
            <w:vMerge w:val="restart"/>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7360" w:type="dxa"/>
            <w:vAlign w:val="bottom"/>
            <w:vMerge w:val="continue"/>
          </w:tcPr>
          <w:p>
            <w:pPr>
              <w:spacing w:after="0"/>
              <w:rPr>
                <w:sz w:val="15"/>
                <w:szCs w:val="15"/>
                <w:color w:val="auto"/>
              </w:rPr>
            </w:pPr>
          </w:p>
        </w:tc>
        <w:tc>
          <w:tcPr>
            <w:tcW w:w="12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0"/>
        </w:trPr>
        <w:tc>
          <w:tcPr>
            <w:tcW w:w="8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Management, L.P.</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11,609,704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5,684,615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Suvretta Capital Management, LLC</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5,518,881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RTW Investments LP </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5,469,956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Cowen Financial Products LLC</w:t>
            </w:r>
            <w:r>
              <w:rPr>
                <w:rFonts w:ascii="Times New Roman" w:cs="Times New Roman" w:eastAsia="Times New Roman" w:hAnsi="Times New Roman"/>
                <w:sz w:val="25"/>
                <w:szCs w:val="25"/>
                <w:color w:val="auto"/>
                <w:vertAlign w:val="superscript"/>
              </w:rPr>
              <w:t>(5)</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3,473,934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Alex C. Sapir</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650,960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Bryan Stuart</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496,904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Alan Musso</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68,072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Curtis Oltmans</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278,263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 Hayes(10)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257,866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J. Gould</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1,044,885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Kate Haviland</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76,141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Sonja L. Banks</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43,167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J. Collins</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79,712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Katina Dorton</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52,571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Alan Ezekowitz</w:t>
            </w:r>
            <w:r>
              <w:rPr>
                <w:rFonts w:ascii="Times New Roman" w:cs="Times New Roman" w:eastAsia="Times New Roman" w:hAnsi="Times New Roman"/>
                <w:sz w:val="25"/>
                <w:szCs w:val="25"/>
                <w:color w:val="auto"/>
                <w:vertAlign w:val="superscript"/>
              </w:rPr>
              <w:t>(16)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94,212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Geraghty</w:t>
            </w:r>
            <w:r>
              <w:rPr>
                <w:rFonts w:ascii="Times New Roman" w:cs="Times New Roman" w:eastAsia="Times New Roman" w:hAnsi="Times New Roman"/>
                <w:sz w:val="25"/>
                <w:szCs w:val="25"/>
                <w:color w:val="auto"/>
                <w:vertAlign w:val="superscript"/>
              </w:rPr>
              <w:t>(17)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150,426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All current executive officers and directors as a group </w:t>
            </w:r>
            <w:r>
              <w:rPr>
                <w:rFonts w:ascii="Times New Roman" w:cs="Times New Roman" w:eastAsia="Times New Roman" w:hAnsi="Times New Roman"/>
                <w:sz w:val="18"/>
                <w:szCs w:val="18"/>
                <w:color w:val="auto"/>
              </w:rPr>
              <w:t>(11 persons)</w:t>
            </w:r>
            <w:r>
              <w:rPr>
                <w:rFonts w:ascii="Times New Roman" w:cs="Times New Roman" w:eastAsia="Times New Roman" w:hAnsi="Times New Roman"/>
                <w:sz w:val="26"/>
                <w:szCs w:val="26"/>
                <w:color w:val="auto"/>
                <w:vertAlign w:val="superscript"/>
              </w:rPr>
              <w:t>(18)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2,538,409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Less than 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424"/>
        <w:spacing w:after="0" w:line="273"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13G filed by RA Capital Management, L.P. (the “Adviser”), RA Capital Healthcare Fund LP (the “Fund”), Peter Kolchinsky, and Rajeev M. Shah on February 14, 2024. Consists of 11,609,704 shares of common stock held directly by RA Capital Healthcare Fund, LP (the “Fund”). RA Capital Management, L.P. (the “Adviser”) is the investment manager for the Fund. The general partner of the Adviser is RA Capital Management GP, LLC (the “Adviser GP”), of which Dr. Peter Kolchinsky and Mr. Rajeev Shah are the managing members. The Adviser has the sole power to vote and the sole power to dispose of all securities held in the Fund’s portfolios, including 11,609,704 shares of our common stock. The Adviser, the Adviser GP, Dr. Kolchinsky, and Mr. Shah disclaim beneficial ownership of the shares, except to the extent of their pecuniary interest therein. The address of RA Capital Management, L.P., is 200 Berkeley Street, 18th Floor, Boston, MA 02116.</w:t>
      </w:r>
    </w:p>
    <w:p>
      <w:pPr>
        <w:spacing w:after="0" w:line="76" w:lineRule="exact"/>
        <w:rPr>
          <w:rFonts w:ascii="Times New Roman" w:cs="Times New Roman" w:eastAsia="Times New Roman" w:hAnsi="Times New Roman"/>
          <w:sz w:val="17"/>
          <w:szCs w:val="17"/>
          <w:color w:val="auto"/>
        </w:rPr>
      </w:pPr>
    </w:p>
    <w:p>
      <w:pPr>
        <w:ind w:left="540" w:right="140" w:hanging="424"/>
        <w:spacing w:after="0" w:line="253"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FMR LLC on February 9, 2024.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Massachusetts 02210.</w:t>
      </w:r>
    </w:p>
    <w:p>
      <w:pPr>
        <w:spacing w:after="0" w:line="95"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Suvretta Capital Management, LLC (“Suvretta Capital”), Averill Master Fund, Ltd. (Averill Fund) and Aaron Cowen (Suvretta Capital, together with Averill Fund and Mr. Cowen, the Suvretta Reporting Persons) on February 13, 2024 and company records. The Suvretta Reporting Persons reported that Suvretta Capital beneficially owns and has shared dispositive power with respect to 5,518,881 shares of our common stock, Averill Fund beneficially owns and has shared dispositive power with respect to 5,022,851 shares of our common stock and Mr. Cowen beneficially owns and has shared dispositive power with respect to 5,518,881 shares of our common stock. The principal business address for Suvretta Capital is 540 Madison Avenue, 7th Floor, New York, New York 10022 and the address of Averill Fund is c/o Maples Corporate Services Limited, P.O. Box 309, Ugland House, Grand Cayman KY1-1104, Cayman Islands.</w:t>
      </w:r>
    </w:p>
    <w:p>
      <w:pPr>
        <w:spacing w:after="0" w:line="94"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RTW Investments, LP and Roderick Wong on February 14, 2024 and company records. Consists of 5,469,956 shares of common stock held by certain RTW funds, which are referred to herein collectively as the “Funds”, managed by RTW Investments, LP, or the Adviser. The Adviser, in its capacity as the investment manager of the Funds, has the power to vote and the power to direct the disposition of all shares held by the Funds, and accordingly, the Adviser may be deemed to beneficially own an aggregate of 5,469,956 shares. Roderick Wong is the managing partner of the Adviser. Each of the reporting persons disclaims beneficial ownership of the shares except to the extent of the reporting person’s pecuniary interest therein. The address of RTW Investments, LP is 40 10th Avenue, Floor 7, New York, NY 10014.</w:t>
      </w:r>
    </w:p>
    <w:p>
      <w:pPr>
        <w:spacing w:after="0" w:line="92" w:lineRule="exact"/>
        <w:rPr>
          <w:rFonts w:ascii="Times New Roman" w:cs="Times New Roman" w:eastAsia="Times New Roman" w:hAnsi="Times New Roman"/>
          <w:sz w:val="18"/>
          <w:szCs w:val="18"/>
          <w:color w:val="auto"/>
        </w:rPr>
      </w:pPr>
    </w:p>
    <w:p>
      <w:pPr>
        <w:jc w:val="both"/>
        <w:ind w:left="540" w:right="400" w:hanging="424"/>
        <w:spacing w:after="0" w:line="26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 filed by Cowen and Company, LLC (“Cowen”) on February 12, 2024, Cowen Financial Products LLC (“Cowen Financial Products”) held sole voting authority of 3,473,934 shares of common stock and shared investment authority. The address of each of Cowen and Cowen Financial Products is 599 Lexington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w:t>
      </w: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43,460 shares of common stock held by Mr. Sapir and 607,600 shares of common stock underlying options held by Mr. Sapir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1,947 shares of common stock held by Mr. Stuart and 494,957 shares of common stock underlying options held by Mr. Stuart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68,072 shares of common stock underlying options held by Mr. Musso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9,713 shares of common stock held by Mr. Oltmans and 268,550 shares of common stock underlying options held by Mr. Oltmans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6,678 shares of common stock held by Mr. Hayes and 251,188 shares of common stock underlying options held by Mr. Hayes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499,864 shares of common stock held by Dr. Gould and 545,021 shares of common stock underlying options held by Dr. Gould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76,141 shares of common stock underlying options held by Ms. Haviland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43,167 shares of common stock underlying options held by Ms. Banks that are exercisable as of March 31, 2023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23,571 shares of common stock held by Dr. Collins and 56,141 shares of common stock underlying options held by Dr. Collins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52,571 shares of common stock underlying options held by Ms. Dorton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28,927 shares of common stock held by Dr. Ezekowitz and 65,285 shares of common stock underlying options held by Dr. Ezekowitz that are exercisable as of March 31, 2023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90,714 shares of common stock held by Mr. Geraghty and 59,712 shares of common stock underlying options held by Mr. Geraghty that are exercisable as of March 31, 2024 or will become exercisable within 60 days after such date.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696,149 shares of common stock and 1,842,260 shares of common stock underlying options that are exercisable as of March 31, 2024 or will become exercisable within 60 days after such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members of our board of directors, our executive officers and persons who beneficially own more than 10% of our outstanding common stock are subject to the reporting requirements of Section 16 of the Exchange Act, as amended, which require them to file reports with respect to their beneficial ownership of the common stock and their transactions in such common stock. To our knowledge, based solely on a review of our records and representations made by our directors and officers regarding their filing obligations, all Section 16(a) filing requirements were satisfied with respect to 2023.</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320" w:top="455"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consolidated financial statements for the fiscal year ended December 31, 2023 and discussed them with the Company’s management and Ernst &amp; Young LLP, the Company’s independent registered public accounting firm.</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be included in the Company’s Annual Report on Form 10-K for the year ended December 31,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audit committee of the board of directors of Fulcrum Therapeutics, Inc.</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Katina Dorton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Geraghty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Kate Haviland</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19, 2024</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2023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FOR OUR 2025 ANNUAL MEETING</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2025 proxy statement must submit the proposal in accordance with the procedures outlined in Rule 14a-8 of the Exchange Act so that it is received by us no later than December 25, 2024. However, if the date of the 2025 annual meeting of stockholders is changed by more than 30 days from the date of the previous year’s meeting, then the deadline is a reasonable time before we begin to print and send our proxy statement for the 2025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We also encourage you to submit such proposals via email to info@fulcrumtx.com.</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17, 2025 and no later than March 19, 2025.</w:t>
      </w:r>
    </w:p>
    <w:p>
      <w:pPr>
        <w:spacing w:after="0" w:line="19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In addition, in order to comply with the universal proxy rules, if you intend to solicit proxies in support of director nominees other than our nominees, you must provide notice that sets forth the information required by Rule 14a-19 under the Exchange Act no later than April 18, 2025. You are also advised to review our bylaws, which contain additional requirements about advance notice of stockholder proposals and director nominations.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chair of the annual meeting may determine, if the facts warrant, that a matter has not been properly brought before the meeting and, therefore, may not be considered at the meeting. In addition, the proxy solicited by our board of directors for the 2025 annual meeting will confer discretionary voting authority with respect to any proposal (i) presented by a stockholder at that meeting for which we have not been provided with timely notice and (ii) made in accordance with our bylaws, if (x) the 2025 proxy statement briefly describes the matter and how management’s proxy holders intend to vote on it, and (y) the stockholder does not comply with the requirements of Rule 14a-4(c)(2) promulgated under the Exchange Act.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994410" cy="1036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4"/>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2024-04-19T15:17:05Z</dcterms:created>
  <dcterms:modified xsi:type="dcterms:W3CDTF">2024-04-19T15:17:05Z</dcterms:modified>
</cp:coreProperties>
</file>