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Rajavelu Esther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Financial Officer</w:t>
      </w:r>
    </w:p>
    <w:p>
      <w:pPr>
        <w:spacing w:after="0" w:line="413"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5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1" w:lineRule="exact"/>
        <w:rPr>
          <w:sz w:val="24"/>
          <w:szCs w:val="24"/>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CAMBRIDGE</w:t>
        <w:tab/>
        <w:t>MA</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180" w:space="72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17.82</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01/03/2022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200,000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01/02/2032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200,000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January 3, 2022 and is scheduled to vest 25% on the first anniversary of the vesting commencement date of January 3, 2022. The remainder of the shares underlying the grant shall vest in equal quarterly installments over the following three years until the fourth anniversary of the vesting commencement date, subject to continued service.</w:t>
      </w:r>
    </w:p>
    <w:p>
      <w:pPr>
        <w:sectPr>
          <w:pgSz w:w="11900" w:h="16838" w:orient="portrait"/>
          <w:cols w:equalWidth="0" w:num="1">
            <w:col w:w="11080"/>
          </w:cols>
          <w:pgMar w:left="460" w:top="220" w:right="35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09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 for Esther Rajavelu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28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0000FF"/>
        </w:rPr>
        <w:t>01/10/2022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89"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0371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2022-01-10T15:32:07Z</dcterms:created>
  <dcterms:modified xsi:type="dcterms:W3CDTF">2022-01-10T15:32:07Z</dcterms:modified>
</cp:coreProperties>
</file>