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660" w:right="1720" w:hanging="3652"/>
        <w:spacing w:after="0" w:line="375" w:lineRule="auto"/>
        <w:tabs>
          <w:tab w:leader="none" w:pos="3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-7620</wp:posOffset>
            </wp:positionV>
            <wp:extent cx="571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80" w:type="dxa"/>
            <w:vAlign w:val="bottom"/>
          </w:tcPr>
          <w:p>
            <w:pPr>
              <w:jc w:val="right"/>
              <w:ind w:right="2301"/>
              <w:spacing w:after="0"/>
              <w:rPr>
                <w:sz w:val="20"/>
                <w:szCs w:val="20"/>
                <w:color w:val="auto"/>
              </w:rPr>
            </w:pPr>
            <w:r>
              <w:rPr>
                <w:rFonts w:ascii="Arial" w:cs="Arial" w:eastAsia="Arial" w:hAnsi="Arial"/>
                <w:sz w:val="18"/>
                <w:szCs w:val="18"/>
                <w:b w:val="1"/>
                <w:bCs w:val="1"/>
                <w:color w:val="auto"/>
              </w:rPr>
              <w:t>47-4839948</w:t>
            </w:r>
          </w:p>
        </w:tc>
        <w:tc>
          <w:tcPr>
            <w:tcW w:w="0" w:type="dxa"/>
            <w:vAlign w:val="bottom"/>
          </w:tcPr>
          <w:p>
            <w:pPr>
              <w:spacing w:after="0"/>
              <w:rPr>
                <w:sz w:val="1"/>
                <w:szCs w:val="1"/>
                <w:color w:val="auto"/>
              </w:rPr>
            </w:pPr>
          </w:p>
        </w:tc>
      </w:tr>
      <w:tr>
        <w:trPr>
          <w:trHeight w:val="153"/>
        </w:trPr>
        <w:tc>
          <w:tcPr>
            <w:tcW w:w="4500" w:type="dxa"/>
            <w:vAlign w:val="bottom"/>
          </w:tcPr>
          <w:p>
            <w:pPr>
              <w:jc w:val="center"/>
              <w:ind w:left="1058"/>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580" w:type="dxa"/>
            <w:vAlign w:val="bottom"/>
          </w:tcPr>
          <w:p>
            <w:pPr>
              <w:jc w:val="center"/>
              <w:ind w:right="1941"/>
              <w:spacing w:after="0" w:line="153"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0"/>
        </w:trPr>
        <w:tc>
          <w:tcPr>
            <w:tcW w:w="4500" w:type="dxa"/>
            <w:vAlign w:val="bottom"/>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80" w:type="dxa"/>
            <w:vAlign w:val="bottom"/>
          </w:tcPr>
          <w:p>
            <w:pPr>
              <w:jc w:val="center"/>
              <w:ind w:right="196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16"/>
        </w:trPr>
        <w:tc>
          <w:tcPr>
            <w:tcW w:w="4500" w:type="dxa"/>
            <w:vAlign w:val="bottom"/>
          </w:tcPr>
          <w:p>
            <w:pPr>
              <w:jc w:val="center"/>
              <w:ind w:left="1038"/>
              <w:spacing w:after="0"/>
              <w:rPr>
                <w:sz w:val="20"/>
                <w:szCs w:val="20"/>
                <w:color w:val="auto"/>
              </w:rPr>
            </w:pPr>
            <w:r>
              <w:rPr>
                <w:rFonts w:ascii="Arial" w:cs="Arial" w:eastAsia="Arial" w:hAnsi="Arial"/>
                <w:sz w:val="18"/>
                <w:szCs w:val="18"/>
                <w:b w:val="1"/>
                <w:bCs w:val="1"/>
                <w:color w:val="auto"/>
                <w:w w:val="88"/>
              </w:rPr>
              <w:t>26 Landsdowne Street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760"/>
              <w:spacing w:after="0"/>
              <w:rPr>
                <w:sz w:val="20"/>
                <w:szCs w:val="20"/>
                <w:color w:val="auto"/>
              </w:rPr>
            </w:pPr>
            <w:r>
              <w:rPr>
                <w:rFonts w:ascii="Arial" w:cs="Arial" w:eastAsia="Arial" w:hAnsi="Arial"/>
                <w:sz w:val="18"/>
                <w:szCs w:val="18"/>
                <w:b w:val="1"/>
                <w:bCs w:val="1"/>
                <w:color w:val="auto"/>
              </w:rPr>
              <w:t>Cambridge, Massachusetts</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80" w:type="dxa"/>
            <w:vAlign w:val="bottom"/>
          </w:tcPr>
          <w:p>
            <w:pPr>
              <w:jc w:val="right"/>
              <w:ind w:right="2501"/>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90"/>
        </w:trPr>
        <w:tc>
          <w:tcPr>
            <w:tcW w:w="4500" w:type="dxa"/>
            <w:vAlign w:val="bottom"/>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580" w:type="dxa"/>
            <w:vAlign w:val="bottom"/>
          </w:tcPr>
          <w:p>
            <w:pPr>
              <w:jc w:val="center"/>
              <w:ind w:right="19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18"/>
        </w:trPr>
        <w:tc>
          <w:tcPr>
            <w:tcW w:w="4500" w:type="dxa"/>
            <w:vAlign w:val="bottom"/>
          </w:tcPr>
          <w:p>
            <w:pPr>
              <w:spacing w:after="0"/>
              <w:rPr>
                <w:sz w:val="24"/>
                <w:szCs w:val="24"/>
                <w:color w:val="auto"/>
              </w:rPr>
            </w:pPr>
          </w:p>
        </w:tc>
        <w:tc>
          <w:tcPr>
            <w:tcW w:w="21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(617) 651-8851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gridSpan w:val="6"/>
          </w:tcPr>
          <w:p>
            <w:pPr>
              <w:jc w:val="center"/>
              <w:ind w:left="35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500" w:type="dxa"/>
            <w:vAlign w:val="bottom"/>
            <w:vMerge w:val="restart"/>
          </w:tcPr>
          <w:p>
            <w:pPr>
              <w:ind w:left="52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24"/>
                <w:szCs w:val="24"/>
                <w:color w:val="auto"/>
              </w:rPr>
            </w:pPr>
          </w:p>
        </w:tc>
        <w:tc>
          <w:tcPr>
            <w:tcW w:w="304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right="821"/>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Common stock, par value $0.001 per share</w:t>
            </w: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FULC</w:t>
            </w:r>
          </w:p>
        </w:tc>
        <w:tc>
          <w:tcPr>
            <w:tcW w:w="120" w:type="dxa"/>
            <w:vAlign w:val="bottom"/>
            <w:gridSpan w:val="2"/>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tcPr>
          <w:p>
            <w:pPr>
              <w:jc w:val="center"/>
              <w:ind w:right="821"/>
              <w:spacing w:after="0"/>
              <w:rPr>
                <w:sz w:val="20"/>
                <w:szCs w:val="20"/>
                <w:color w:val="auto"/>
              </w:rPr>
            </w:pPr>
            <w:r>
              <w:rPr>
                <w:rFonts w:ascii="Arial" w:cs="Arial" w:eastAsia="Arial" w:hAnsi="Arial"/>
                <w:sz w:val="17"/>
                <w:szCs w:val="17"/>
                <w:color w:val="auto"/>
                <w:w w:val="92"/>
              </w:rPr>
              <w:t>The Nasdaq Global Market</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right="80" w:firstLine="509"/>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4440" w:val="left"/>
          <w:tab w:leader="none" w:pos="5120" w:val="left"/>
        </w:tabs>
        <w:rPr>
          <w:sz w:val="20"/>
          <w:szCs w:val="20"/>
          <w:color w:val="auto"/>
        </w:rPr>
      </w:pPr>
      <w:r>
        <w:rPr>
          <w:rFonts w:ascii="Arial" w:cs="Arial" w:eastAsia="Arial" w:hAnsi="Arial"/>
          <w:sz w:val="17"/>
          <w:szCs w:val="17"/>
          <w:color w:val="auto"/>
        </w:rPr>
        <w:t>for the past 90 days.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120"/>
        <w:spacing w:after="0" w:line="27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260" w:firstLine="509"/>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19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8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Accelerated filer</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92"/>
        </w:trPr>
        <w:tc>
          <w:tcPr>
            <w:tcW w:w="1920" w:type="dxa"/>
            <w:vAlign w:val="bottom"/>
          </w:tcPr>
          <w:p>
            <w:pPr>
              <w:spacing w:after="0"/>
              <w:rPr>
                <w:sz w:val="20"/>
                <w:szCs w:val="20"/>
                <w:color w:val="auto"/>
              </w:rPr>
            </w:pPr>
            <w:r>
              <w:rPr>
                <w:rFonts w:ascii="Arial" w:cs="Arial" w:eastAsia="Arial" w:hAnsi="Arial"/>
                <w:sz w:val="17"/>
                <w:szCs w:val="17"/>
                <w:color w:val="auto"/>
              </w:rPr>
              <w:t>Non-accelerated filer</w:t>
            </w:r>
          </w:p>
        </w:tc>
        <w:tc>
          <w:tcPr>
            <w:tcW w:w="368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Arial" w:cs="Arial" w:eastAsia="Arial" w:hAnsi="Arial"/>
                <w:sz w:val="17"/>
                <w:szCs w:val="17"/>
                <w:color w:val="auto"/>
              </w:rPr>
              <w:t>Smaller reporting company</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91"/>
        </w:trPr>
        <w:tc>
          <w:tcPr>
            <w:tcW w:w="1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Arial" w:cs="Arial" w:eastAsia="Arial" w:hAnsi="Arial"/>
                <w:sz w:val="17"/>
                <w:szCs w:val="17"/>
                <w:color w:val="auto"/>
              </w:rPr>
              <w:t>Emerging growth company</w:t>
            </w:r>
          </w:p>
        </w:tc>
        <w:tc>
          <w:tcPr>
            <w:tcW w:w="3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93" w:lineRule="exact"/>
        <w:rPr>
          <w:sz w:val="24"/>
          <w:szCs w:val="24"/>
          <w:color w:val="auto"/>
        </w:rPr>
      </w:pPr>
    </w:p>
    <w:p>
      <w:pPr>
        <w:jc w:val="both"/>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8" w:lineRule="exact"/>
        <w:rPr>
          <w:sz w:val="24"/>
          <w:szCs w:val="24"/>
          <w:color w:val="auto"/>
        </w:rPr>
      </w:pPr>
    </w:p>
    <w:p>
      <w:pPr>
        <w:spacing w:after="0" w:line="196" w:lineRule="exact"/>
        <w:tabs>
          <w:tab w:leader="none" w:pos="7960" w:val="left"/>
          <w:tab w:leader="none" w:pos="87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7" w:lineRule="exact"/>
        <w:rPr>
          <w:sz w:val="24"/>
          <w:szCs w:val="24"/>
          <w:color w:val="auto"/>
        </w:rPr>
      </w:pPr>
    </w:p>
    <w:p>
      <w:pPr>
        <w:ind w:left="520"/>
        <w:spacing w:after="0"/>
        <w:rPr>
          <w:sz w:val="20"/>
          <w:szCs w:val="20"/>
          <w:color w:val="auto"/>
        </w:rPr>
      </w:pPr>
      <w:r>
        <w:rPr>
          <w:rFonts w:ascii="Arial" w:cs="Arial" w:eastAsia="Arial" w:hAnsi="Arial"/>
          <w:sz w:val="17"/>
          <w:szCs w:val="17"/>
          <w:color w:val="auto"/>
        </w:rPr>
        <w:t>As of October 31, 2023, the registrant had 61,822,554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spacing w:after="0" w:line="83" w:lineRule="exact"/>
        <w:rPr>
          <w:sz w:val="20"/>
          <w:szCs w:val="20"/>
          <w:color w:val="auto"/>
        </w:rPr>
      </w:pPr>
    </w:p>
    <w:p>
      <w:pPr>
        <w:ind w:left="900" w:right="44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of losmapimod and pociredir (formerly known as FTX-6058), including the effects of the revised inclusion and exclusion criteria on our trial of pociredir;</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organizational streamlining and realignment of resources, including our anticipated cash runway;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900" w:right="38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900" w:right="48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pociredir and any other product candidates, including in combination with other drugs and therapies;</w:t>
      </w:r>
    </w:p>
    <w:p>
      <w:pPr>
        <w:spacing w:after="0" w:line="62" w:lineRule="exact"/>
        <w:rPr>
          <w:rFonts w:ascii="Arial" w:cs="Arial" w:eastAsia="Arial" w:hAnsi="Arial"/>
          <w:sz w:val="18"/>
          <w:szCs w:val="18"/>
          <w:color w:val="auto"/>
        </w:rPr>
      </w:pPr>
    </w:p>
    <w:p>
      <w:pPr>
        <w:ind w:left="900" w:right="1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losmapimod, pociredir and any other product candidates;</w:t>
      </w:r>
    </w:p>
    <w:p>
      <w:pPr>
        <w:spacing w:after="0" w:line="62"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 if our product candidates are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900" w:right="620" w:hanging="383"/>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progress and results of our collaboration with MyoKardia, Inc., or MyoKardia, a wholly-owned subsidiary of Bristol-Myers Squibb Company, or under our recent exclusive global license agreement with CAMP4 Therapeutics Corp., or CAMP4;</w:t>
      </w:r>
    </w:p>
    <w:p>
      <w:pPr>
        <w:spacing w:after="0" w:line="38" w:lineRule="exact"/>
        <w:rPr>
          <w:rFonts w:ascii="Arial" w:cs="Arial" w:eastAsia="Arial" w:hAnsi="Arial"/>
          <w:sz w:val="17"/>
          <w:szCs w:val="17"/>
          <w:color w:val="auto"/>
        </w:rPr>
      </w:pPr>
    </w:p>
    <w:p>
      <w:pPr>
        <w:ind w:left="900" w:right="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or an outbreak of highly infectious or contagious disease, such as the COVID-19 pandemic, on our business and operations, including our clinical trials and development plans, as well as our future financial results;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100" w:firstLine="509"/>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5"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5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84" w:lineRule="exact"/>
        <w:rPr>
          <w:sz w:val="20"/>
          <w:szCs w:val="20"/>
          <w:color w:val="auto"/>
        </w:rPr>
      </w:pPr>
    </w:p>
    <w:p>
      <w:pPr>
        <w:ind w:left="76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$109.9 million for the year ended December 31, 2022 and $72.6 million for the nine months ended September 30, 2023. We expect to incur losses over the next several years and may never achieve or maintain profitability. As of September 30, 2023, we had an accumulated deficit of $484.9 million.</w:t>
      </w:r>
    </w:p>
    <w:p>
      <w:pPr>
        <w:spacing w:after="0" w:line="183" w:lineRule="exact"/>
        <w:rPr>
          <w:rFonts w:ascii="Arial" w:cs="Arial" w:eastAsia="Arial" w:hAnsi="Arial"/>
          <w:sz w:val="18"/>
          <w:szCs w:val="18"/>
          <w:color w:val="auto"/>
        </w:rPr>
      </w:pPr>
    </w:p>
    <w:p>
      <w:pPr>
        <w:ind w:left="760" w:right="180" w:hanging="378"/>
        <w:spacing w:after="0" w:line="279"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pociredir and continue research and development and initiate additional clinical trials of, and seek regulatory approval for, these and other product candidates.</w:t>
      </w:r>
    </w:p>
    <w:p>
      <w:pPr>
        <w:spacing w:after="0" w:line="171" w:lineRule="exact"/>
        <w:rPr>
          <w:rFonts w:ascii="Arial" w:cs="Arial" w:eastAsia="Arial" w:hAnsi="Arial"/>
          <w:sz w:val="17"/>
          <w:szCs w:val="17"/>
          <w:color w:val="auto"/>
        </w:rPr>
      </w:pPr>
    </w:p>
    <w:p>
      <w:pPr>
        <w:ind w:left="760" w:right="4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two product candidates in clinical trials. If we are unable to commercialize our product candidates or experience significant delays in doing so, such as the recent clinical hold on our clinical trial of pociredir, our business will be materially harmed.</w:t>
      </w:r>
    </w:p>
    <w:p>
      <w:pPr>
        <w:spacing w:after="0" w:line="183" w:lineRule="exact"/>
        <w:rPr>
          <w:rFonts w:ascii="Arial" w:cs="Arial" w:eastAsia="Arial" w:hAnsi="Arial"/>
          <w:sz w:val="18"/>
          <w:szCs w:val="18"/>
          <w:color w:val="auto"/>
        </w:rPr>
      </w:pPr>
    </w:p>
    <w:p>
      <w:pPr>
        <w:ind w:left="760" w:right="16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183" w:lineRule="exact"/>
        <w:rPr>
          <w:rFonts w:ascii="Arial" w:cs="Arial" w:eastAsia="Arial" w:hAnsi="Arial"/>
          <w:sz w:val="18"/>
          <w:szCs w:val="18"/>
          <w:color w:val="auto"/>
        </w:rPr>
      </w:pPr>
    </w:p>
    <w:p>
      <w:pPr>
        <w:ind w:left="760" w:right="340" w:hanging="378"/>
        <w:spacing w:after="0" w:line="286"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65" w:lineRule="exact"/>
        <w:rPr>
          <w:rFonts w:ascii="Arial" w:cs="Arial" w:eastAsia="Arial" w:hAnsi="Arial"/>
          <w:sz w:val="17"/>
          <w:szCs w:val="17"/>
          <w:color w:val="auto"/>
        </w:rPr>
      </w:pPr>
    </w:p>
    <w:p>
      <w:pPr>
        <w:ind w:left="760" w:right="140" w:hanging="378"/>
        <w:spacing w:after="0" w:line="30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146" w:lineRule="exact"/>
        <w:rPr>
          <w:rFonts w:ascii="Arial" w:cs="Arial" w:eastAsia="Arial" w:hAnsi="Arial"/>
          <w:sz w:val="17"/>
          <w:szCs w:val="17"/>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proprietary technology to build a pipeline of product candidates.</w:t>
      </w:r>
    </w:p>
    <w:p>
      <w:pPr>
        <w:spacing w:after="0" w:line="225" w:lineRule="exact"/>
        <w:rPr>
          <w:rFonts w:ascii="Arial" w:cs="Arial" w:eastAsia="Arial" w:hAnsi="Arial"/>
          <w:sz w:val="18"/>
          <w:szCs w:val="18"/>
          <w:color w:val="auto"/>
        </w:rPr>
      </w:pPr>
    </w:p>
    <w:p>
      <w:pPr>
        <w:ind w:left="760" w:right="2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70" w:lineRule="exact"/>
        <w:rPr>
          <w:rFonts w:ascii="Arial" w:cs="Arial" w:eastAsia="Arial" w:hAnsi="Arial"/>
          <w:sz w:val="18"/>
          <w:szCs w:val="18"/>
          <w:color w:val="auto"/>
        </w:rPr>
      </w:pPr>
    </w:p>
    <w:p>
      <w:pPr>
        <w:ind w:left="760" w:right="38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ind w:left="380" w:right="520" w:hanging="37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rFonts w:ascii="Arial" w:cs="Arial" w:eastAsia="Arial" w:hAnsi="Arial"/>
          <w:sz w:val="18"/>
          <w:szCs w:val="18"/>
          <w:color w:val="auto"/>
        </w:rPr>
      </w:pPr>
    </w:p>
    <w:p>
      <w:pPr>
        <w:ind w:left="380" w:hanging="378"/>
        <w:spacing w:after="0" w:line="259"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and may in the future enter into, collaborations and license agreements with third parties for the discovery, development or commercialization of product candidates, including our collaboration with MyoKardia and our license agreement with CAMP4. If our collaboration is not successful or we are not able to develop product candidates that we license-in, we may not be able to capitalize on the market potential of these product candidates and our business could be adversely affected.</w:t>
      </w:r>
    </w:p>
    <w:p>
      <w:pPr>
        <w:spacing w:after="0" w:line="186" w:lineRule="exact"/>
        <w:rPr>
          <w:rFonts w:ascii="Arial" w:cs="Arial" w:eastAsia="Arial" w:hAnsi="Arial"/>
          <w:sz w:val="18"/>
          <w:szCs w:val="18"/>
          <w:color w:val="auto"/>
        </w:rPr>
      </w:pPr>
    </w:p>
    <w:p>
      <w:pPr>
        <w:ind w:left="380" w:right="60" w:hanging="378"/>
        <w:spacing w:after="0" w:line="31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48" w:lineRule="exact"/>
        <w:rPr>
          <w:rFonts w:ascii="Arial" w:cs="Arial" w:eastAsia="Arial" w:hAnsi="Arial"/>
          <w:sz w:val="16"/>
          <w:szCs w:val="16"/>
          <w:color w:val="auto"/>
        </w:rPr>
      </w:pPr>
    </w:p>
    <w:p>
      <w:pPr>
        <w:ind w:left="380" w:right="580" w:hanging="37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83" w:lineRule="exact"/>
        <w:rPr>
          <w:rFonts w:ascii="Arial" w:cs="Arial" w:eastAsia="Arial" w:hAnsi="Arial"/>
          <w:sz w:val="18"/>
          <w:szCs w:val="18"/>
          <w:color w:val="auto"/>
        </w:rPr>
      </w:pPr>
    </w:p>
    <w:p>
      <w:pPr>
        <w:ind w:left="380" w:right="300" w:hanging="37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83" w:lineRule="exact"/>
        <w:rPr>
          <w:rFonts w:ascii="Arial" w:cs="Arial" w:eastAsia="Arial" w:hAnsi="Arial"/>
          <w:sz w:val="18"/>
          <w:szCs w:val="18"/>
          <w:color w:val="auto"/>
        </w:rPr>
      </w:pPr>
    </w:p>
    <w:p>
      <w:pPr>
        <w:ind w:left="380" w:right="100" w:hanging="378"/>
        <w:spacing w:after="0" w:line="259"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was negatively impacted by the COVID-19 pandemic and may in the future be impacted by any future pandemics, as well as other geopolitical events that can impact our clinical trials or the supply chain, such as the Russian invasion of Ukraine or recent hostilities in Israel and Gaza Strip. These events may continue to, and any future pandemics may, adversely impact economies worldwide, which could result in adverse effects on our business and operations.</w:t>
      </w:r>
    </w:p>
    <w:p>
      <w:pPr>
        <w:spacing w:after="0" w:line="18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557"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30" w:type="dxa"/>
        <w:tblCellMar>
          <w:top w:w="0" w:type="dxa"/>
          <w:left w:w="0" w:type="dxa"/>
          <w:bottom w:w="0" w:type="dxa"/>
          <w:right w:w="0" w:type="dxa"/>
        </w:tblCellMar>
      </w:tblPr>
      <w:tr>
        <w:trPr>
          <w:trHeight w:val="185"/>
        </w:trPr>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580" w:type="dxa"/>
            <w:vAlign w:val="bottom"/>
            <w:gridSpan w:val="11"/>
            <w:vMerge w:val="restart"/>
          </w:tcPr>
          <w:p>
            <w:pPr>
              <w:spacing w:after="0"/>
              <w:rPr>
                <w:sz w:val="16"/>
                <w:szCs w:val="16"/>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880" w:type="dxa"/>
            <w:vAlign w:val="bottom"/>
            <w:gridSpan w:val="2"/>
            <w:vMerge w:val="continue"/>
          </w:tcPr>
          <w:p>
            <w:pPr>
              <w:spacing w:after="0"/>
              <w:rPr>
                <w:sz w:val="14"/>
                <w:szCs w:val="14"/>
                <w:color w:val="auto"/>
              </w:rPr>
            </w:pPr>
          </w:p>
        </w:tc>
        <w:tc>
          <w:tcPr>
            <w:tcW w:w="2260" w:type="dxa"/>
            <w:vAlign w:val="bottom"/>
            <w:tcBorders>
              <w:bottom w:val="single" w:sz="8" w:color="0000FF"/>
            </w:tcBorders>
            <w:gridSpan w:val="8"/>
            <w:vMerge w:val="continue"/>
          </w:tcPr>
          <w:p>
            <w:pPr>
              <w:spacing w:after="0"/>
              <w:rPr>
                <w:sz w:val="14"/>
                <w:szCs w:val="14"/>
                <w:color w:val="auto"/>
              </w:rPr>
            </w:pPr>
          </w:p>
        </w:tc>
        <w:tc>
          <w:tcPr>
            <w:tcW w:w="7580" w:type="dxa"/>
            <w:vAlign w:val="bottom"/>
            <w:gridSpan w:val="11"/>
            <w:vMerge w:val="continue"/>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4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Consolidated Balance Sheets as of September 30, 2023 and December 31, 2022</w:t>
            </w:r>
          </w:p>
        </w:tc>
        <w:tc>
          <w:tcPr>
            <w:tcW w:w="20" w:type="dxa"/>
            <w:vAlign w:val="bottom"/>
            <w:tcBorders>
              <w:bottom w:val="single" w:sz="8" w:color="0000EE"/>
            </w:tcBorders>
          </w:tcPr>
          <w:p>
            <w:pPr>
              <w:spacing w:after="0"/>
              <w:rPr>
                <w:sz w:val="18"/>
                <w:szCs w:val="18"/>
                <w:color w:val="auto"/>
              </w:rPr>
            </w:pPr>
          </w:p>
        </w:tc>
        <w:tc>
          <w:tcPr>
            <w:tcW w:w="4080" w:type="dxa"/>
            <w:vAlign w:val="bottom"/>
            <w:gridSpan w:val="5"/>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19"/>
          </w:tcPr>
          <w:p>
            <w:pPr>
              <w:spacing w:after="0"/>
              <w:rPr>
                <w:sz w:val="20"/>
                <w:szCs w:val="20"/>
                <w:color w:val="auto"/>
              </w:rPr>
            </w:pPr>
            <w:r>
              <w:rPr>
                <w:rFonts w:ascii="Arial" w:cs="Arial" w:eastAsia="Arial" w:hAnsi="Arial"/>
                <w:sz w:val="18"/>
                <w:szCs w:val="18"/>
                <w:color w:val="0000FF"/>
                <w:w w:val="92"/>
              </w:rPr>
              <w:t>Consolidated Statements of Operations and Comprehensive Loss for the three and nine months ended September 30, 2023 and 2022</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20" w:type="dxa"/>
            <w:vAlign w:val="bottom"/>
            <w:tcBorders>
              <w:top w:val="single" w:sz="8" w:color="0000FF"/>
              <w:bottom w:val="single" w:sz="8" w:color="0000EE"/>
            </w:tcBorders>
            <w:gridSpan w:val="17"/>
          </w:tcPr>
          <w:p>
            <w:pPr>
              <w:spacing w:after="0"/>
              <w:rPr>
                <w:sz w:val="20"/>
                <w:szCs w:val="20"/>
                <w:color w:val="auto"/>
              </w:rPr>
            </w:pPr>
            <w:r>
              <w:rPr>
                <w:rFonts w:ascii="Arial" w:cs="Arial" w:eastAsia="Arial" w:hAnsi="Arial"/>
                <w:sz w:val="18"/>
                <w:szCs w:val="18"/>
                <w:color w:val="0000FF"/>
                <w:w w:val="90"/>
              </w:rPr>
              <w:t>Consolidated Statements of Stockholders’ Equity for the three and nine months ended September 30, 2023 and 2022</w:t>
            </w:r>
          </w:p>
        </w:tc>
        <w:tc>
          <w:tcPr>
            <w:tcW w:w="108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Consolidated Statements of Cash Flows for the nine months ended September 30, 2023 and 2022</w:t>
            </w:r>
          </w:p>
        </w:tc>
        <w:tc>
          <w:tcPr>
            <w:tcW w:w="2840" w:type="dxa"/>
            <w:vAlign w:val="bottom"/>
            <w:gridSpan w:val="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40" w:type="dxa"/>
            <w:vAlign w:val="bottom"/>
            <w:gridSpan w:val="19"/>
          </w:tcPr>
          <w:p>
            <w:pPr>
              <w:spacing w:after="0"/>
              <w:rPr>
                <w:sz w:val="20"/>
                <w:szCs w:val="20"/>
                <w:color w:val="auto"/>
              </w:rPr>
            </w:pPr>
            <w:r>
              <w:rPr>
                <w:rFonts w:ascii="Arial" w:cs="Arial" w:eastAsia="Arial" w:hAnsi="Arial"/>
                <w:sz w:val="18"/>
                <w:szCs w:val="18"/>
                <w:color w:val="0000FF"/>
              </w:rPr>
              <w:t>Notes to Consolidated Financial Statements</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380" w:type="dxa"/>
            <w:vAlign w:val="bottom"/>
            <w:gridSpan w:val="4"/>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480" w:type="dxa"/>
            <w:vAlign w:val="bottom"/>
            <w:gridSpan w:val="7"/>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4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gridSpan w:val="2"/>
            <w:vMerge w:val="continue"/>
          </w:tcPr>
          <w:p>
            <w:pPr>
              <w:spacing w:after="0"/>
              <w:rPr>
                <w:sz w:val="18"/>
                <w:szCs w:val="18"/>
                <w:color w:val="auto"/>
              </w:rPr>
            </w:pPr>
          </w:p>
        </w:tc>
        <w:tc>
          <w:tcPr>
            <w:tcW w:w="984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540" w:type="dxa"/>
            <w:vAlign w:val="bottom"/>
            <w:tcBorders>
              <w:top w:val="single" w:sz="8" w:color="0000FF"/>
            </w:tcBorders>
            <w:gridSpan w:val="3"/>
          </w:tcPr>
          <w:p>
            <w:pPr>
              <w:spacing w:after="0"/>
              <w:rPr>
                <w:sz w:val="18"/>
                <w:szCs w:val="18"/>
                <w:color w:val="auto"/>
              </w:rPr>
            </w:pPr>
          </w:p>
        </w:tc>
        <w:tc>
          <w:tcPr>
            <w:tcW w:w="7960" w:type="dxa"/>
            <w:vAlign w:val="bottom"/>
            <w:gridSpan w:val="12"/>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4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4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Defaults Upon Senior Securities</w:t>
            </w:r>
          </w:p>
        </w:tc>
        <w:tc>
          <w:tcPr>
            <w:tcW w:w="5500" w:type="dxa"/>
            <w:vAlign w:val="bottom"/>
            <w:gridSpan w:val="8"/>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Mine Safety Disclosures</w:t>
            </w:r>
          </w:p>
        </w:tc>
        <w:tc>
          <w:tcPr>
            <w:tcW w:w="7520" w:type="dxa"/>
            <w:vAlign w:val="bottom"/>
            <w:gridSpan w:val="10"/>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460" w:type="dxa"/>
            <w:vAlign w:val="bottom"/>
            <w:tcBorders>
              <w:top w:val="single" w:sz="8" w:color="0000FF"/>
            </w:tcBorders>
            <w:gridSpan w:val="3"/>
          </w:tcPr>
          <w:p>
            <w:pPr>
              <w:spacing w:after="0"/>
              <w:rPr>
                <w:sz w:val="18"/>
                <w:szCs w:val="18"/>
                <w:color w:val="auto"/>
              </w:rPr>
            </w:pPr>
          </w:p>
        </w:tc>
        <w:tc>
          <w:tcPr>
            <w:tcW w:w="8060" w:type="dxa"/>
            <w:vAlign w:val="bottom"/>
            <w:gridSpan w:val="1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4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9"/>
        </w:trPr>
        <w:tc>
          <w:tcPr>
            <w:tcW w:w="880" w:type="dxa"/>
            <w:vAlign w:val="bottom"/>
            <w:gridSpan w:val="2"/>
          </w:tcPr>
          <w:p>
            <w:pPr>
              <w:spacing w:after="0"/>
              <w:rPr>
                <w:sz w:val="20"/>
                <w:szCs w:val="20"/>
                <w:color w:val="auto"/>
              </w:rPr>
            </w:pPr>
            <w:r>
              <w:rPr>
                <w:rFonts w:ascii="Arial" w:cs="Arial" w:eastAsia="Arial" w:hAnsi="Arial"/>
                <w:sz w:val="18"/>
                <w:szCs w:val="18"/>
                <w:color w:val="0000FF"/>
                <w:w w:val="99"/>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FulcrumSeek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30,080</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35,098</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227,011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167,823</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Unbilled accounts receivable</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229</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4,819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4,369</w:t>
            </w: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262,490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207,519</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5,646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6,906</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7,661</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9,063</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1,092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1,092</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1,990</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2,105</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278,879</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226,685</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3,574</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3,638</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7,817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9,551</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 current portion</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934</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Operating lease liability, current</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2,350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2,602</w:t>
            </w:r>
          </w:p>
        </w:tc>
      </w:tr>
      <w:tr>
        <w:trPr>
          <w:trHeight w:val="243"/>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14,075</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16,725</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 liability, excluding current portion</w:t>
            </w: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9,145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10,821</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 excluding current portion</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197</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197</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23,417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27,743</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13)</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Preferred stock, $0.001 par value; 5,000,000 shares authorized; no shares issued or outstanding</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w w:val="92"/>
              </w:rPr>
              <w:t>Common stock, $0.001 par value; 200,000,000 shares authorized; 61,822,554 and 52,099,211 shares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issued and outstanding as of September 30, 2023 and December 31, 2022, respectively</w:t>
            </w:r>
          </w:p>
        </w:tc>
        <w:tc>
          <w:tcPr>
            <w:tcW w:w="22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52</w:t>
            </w: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741,203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612,025</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(886 )</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(797 )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(484,917 )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(412,338 )</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255,462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198,942</w:t>
            </w: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278,879</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226,685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-3316605</wp:posOffset>
            </wp:positionV>
            <wp:extent cx="1111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-1731010</wp:posOffset>
            </wp:positionV>
            <wp:extent cx="1111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-351155</wp:posOffset>
            </wp:positionV>
            <wp:extent cx="1111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11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1,934</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5,657</w:t>
            </w: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18,238</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15,366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52,802</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58,216</w:t>
            </w: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9,961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9,707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31,804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31,564</w:t>
            </w: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Restructuring expenses</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465</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28,199</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25,538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84,606</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90,245</w:t>
            </w: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(27,440 )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(24,355 )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(82,672 )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(84,588 )</w:t>
            </w: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3,423</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10,093</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852</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(24,017 )</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(23,738 )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(72,579 )</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(83,736 )</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(0.39 )</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(0.51 )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(1.19 )</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(1.97 )</w:t>
            </w:r>
          </w:p>
        </w:tc>
      </w:tr>
      <w:tr>
        <w:trPr>
          <w:trHeight w:val="20"/>
        </w:trPr>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61,823</w:t>
            </w:r>
          </w:p>
        </w:tc>
        <w:tc>
          <w:tcPr>
            <w:tcW w:w="1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46,213</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61,121</w:t>
            </w:r>
          </w:p>
        </w:tc>
        <w:tc>
          <w:tcPr>
            <w:tcW w:w="1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42,603</w:t>
            </w:r>
          </w:p>
        </w:tc>
      </w:tr>
      <w:tr>
        <w:trPr>
          <w:trHeight w:val="230"/>
        </w:trPr>
        <w:tc>
          <w:tcPr>
            <w:tcW w:w="5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(24,017 )</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(23,738 )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(72,579 )</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(83,736 )</w:t>
            </w: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gain (loss):</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(524 )</w:t>
            </w:r>
          </w:p>
        </w:tc>
      </w:tr>
      <w:tr>
        <w:trPr>
          <w:trHeight w:val="236"/>
        </w:trPr>
        <w:tc>
          <w:tcPr>
            <w:tcW w:w="58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other comprehensive gain (loss)</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314</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(89 )</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(524 )</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(23,703 )</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(23,591 )</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(72,668 )</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(84,260 )</w:t>
            </w:r>
          </w:p>
        </w:tc>
      </w:tr>
      <w:tr>
        <w:trPr>
          <w:trHeight w:val="20"/>
        </w:trPr>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-2151380</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-2151380</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-2151380</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-1508125</wp:posOffset>
            </wp:positionV>
            <wp:extent cx="183451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34515" cy="20574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-1148080</wp:posOffset>
            </wp:positionV>
            <wp:extent cx="183451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1797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-187960</wp:posOffset>
            </wp:positionV>
            <wp:extent cx="8572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-187960</wp:posOffset>
            </wp:positionV>
            <wp:extent cx="8572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8572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153"/>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180" w:type="dxa"/>
            <w:vAlign w:val="bottom"/>
            <w:gridSpan w:val="3"/>
            <w:vMerge w:val="restart"/>
          </w:tcPr>
          <w:p>
            <w:pPr>
              <w:jc w:val="right"/>
              <w:ind w:right="473"/>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5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3"/>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5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4"/>
                <w:szCs w:val="14"/>
                <w:color w:val="auto"/>
              </w:rPr>
            </w:pPr>
          </w:p>
        </w:tc>
        <w:tc>
          <w:tcPr>
            <w:tcW w:w="21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3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140" w:type="dxa"/>
            <w:vAlign w:val="bottom"/>
            <w:gridSpan w:val="2"/>
          </w:tcPr>
          <w:p>
            <w:pPr>
              <w:jc w:val="center"/>
              <w:ind w:right="13"/>
              <w:spacing w:after="0"/>
              <w:rPr>
                <w:sz w:val="20"/>
                <w:szCs w:val="20"/>
                <w:color w:val="auto"/>
              </w:rPr>
            </w:pPr>
            <w:r>
              <w:rPr>
                <w:rFonts w:ascii="Arial" w:cs="Arial" w:eastAsia="Arial" w:hAnsi="Arial"/>
                <w:sz w:val="13"/>
                <w:szCs w:val="13"/>
                <w:b w:val="1"/>
                <w:bCs w:val="1"/>
                <w:color w:val="auto"/>
                <w:w w:val="92"/>
              </w:rPr>
              <w:t>Comprehensive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73"/>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153"/>
              <w:spacing w:after="0"/>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2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2021</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40,626,224</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514,362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(302,467 )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211,539</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Issuance of common stock under employee benefit plans</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47,627</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awards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9,754</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3,847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3,847</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Unrealized loss on marketable securities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(693 )</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(25,928 )</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(25,928 )</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2022</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40,683,605</w:t>
            </w:r>
          </w:p>
        </w:tc>
        <w:tc>
          <w:tcPr>
            <w:tcW w:w="960" w:type="dxa"/>
            <w:vAlign w:val="bottom"/>
            <w:gridSpan w:val="2"/>
            <w:shd w:val="clear" w:color="auto" w:fill="CFF0FC"/>
          </w:tcPr>
          <w:p>
            <w:pPr>
              <w:jc w:val="right"/>
              <w:ind w:right="673"/>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518,604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(328,395 )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189,160</w:t>
            </w:r>
          </w:p>
        </w:tc>
        <w:tc>
          <w:tcPr>
            <w:tcW w:w="0" w:type="dxa"/>
            <w:vAlign w:val="bottom"/>
          </w:tcPr>
          <w:p>
            <w:pPr>
              <w:spacing w:after="0"/>
              <w:rPr>
                <w:sz w:val="1"/>
                <w:szCs w:val="1"/>
                <w:color w:val="auto"/>
              </w:rPr>
            </w:pPr>
          </w:p>
        </w:tc>
      </w:tr>
      <w:tr>
        <w:trPr>
          <w:trHeight w:val="156"/>
        </w:trPr>
        <w:tc>
          <w:tcPr>
            <w:tcW w:w="3720" w:type="dxa"/>
            <w:vAlign w:val="bottom"/>
            <w:tcBorders>
              <w:top w:val="single" w:sz="8" w:color="CFF0FC"/>
            </w:tcBorders>
          </w:tcPr>
          <w:p>
            <w:pPr>
              <w:ind w:left="200"/>
              <w:spacing w:after="0"/>
              <w:rPr>
                <w:sz w:val="20"/>
                <w:szCs w:val="20"/>
                <w:color w:val="auto"/>
              </w:rPr>
            </w:pPr>
            <w:r>
              <w:rPr>
                <w:rFonts w:ascii="Arial" w:cs="Arial" w:eastAsia="Arial" w:hAnsi="Arial"/>
                <w:sz w:val="13"/>
                <w:szCs w:val="13"/>
                <w:color w:val="auto"/>
              </w:rPr>
              <w:t>Issuance of common stock under employee benefit plans</w:t>
            </w: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324,180</w:t>
            </w:r>
          </w:p>
        </w:tc>
        <w:tc>
          <w:tcPr>
            <w:tcW w:w="14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2,764</w:t>
            </w: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2,764</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awards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420</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2,879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2,879</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Unrealized gain on marketable securities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(34,070 )</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(34,070 )</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2022</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41,008,205</w:t>
            </w:r>
          </w:p>
        </w:tc>
        <w:tc>
          <w:tcPr>
            <w:tcW w:w="960" w:type="dxa"/>
            <w:vAlign w:val="bottom"/>
            <w:gridSpan w:val="2"/>
            <w:shd w:val="clear" w:color="auto" w:fill="CFF0FC"/>
          </w:tcPr>
          <w:p>
            <w:pPr>
              <w:jc w:val="right"/>
              <w:ind w:right="673"/>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41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524,247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(1,068 )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(362,465 )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160,755</w:t>
            </w:r>
          </w:p>
        </w:tc>
        <w:tc>
          <w:tcPr>
            <w:tcW w:w="0" w:type="dxa"/>
            <w:vAlign w:val="bottom"/>
          </w:tcPr>
          <w:p>
            <w:pPr>
              <w:spacing w:after="0"/>
              <w:rPr>
                <w:sz w:val="1"/>
                <w:szCs w:val="1"/>
                <w:color w:val="auto"/>
              </w:rPr>
            </w:pPr>
          </w:p>
        </w:tc>
      </w:tr>
      <w:tr>
        <w:trPr>
          <w:trHeight w:val="132"/>
        </w:trPr>
        <w:tc>
          <w:tcPr>
            <w:tcW w:w="3720" w:type="dxa"/>
            <w:vAlign w:val="bottom"/>
            <w:tcBorders>
              <w:top w:val="single" w:sz="8" w:color="CFF0FC"/>
            </w:tcBorders>
          </w:tcPr>
          <w:p>
            <w:pPr>
              <w:ind w:left="200"/>
              <w:spacing w:after="0" w:line="132" w:lineRule="exact"/>
              <w:rPr>
                <w:sz w:val="20"/>
                <w:szCs w:val="20"/>
                <w:color w:val="auto"/>
              </w:rPr>
            </w:pPr>
            <w:r>
              <w:rPr>
                <w:rFonts w:ascii="Arial" w:cs="Arial" w:eastAsia="Arial" w:hAnsi="Arial"/>
                <w:sz w:val="13"/>
                <w:szCs w:val="13"/>
                <w:color w:val="auto"/>
              </w:rPr>
              <w:t>Issuance of common stock in connection with public offering,</w:t>
            </w:r>
          </w:p>
        </w:tc>
        <w:tc>
          <w:tcPr>
            <w:tcW w:w="12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200"/>
              <w:spacing w:after="0"/>
              <w:rPr>
                <w:sz w:val="20"/>
                <w:szCs w:val="20"/>
                <w:color w:val="auto"/>
              </w:rPr>
            </w:pPr>
            <w:r>
              <w:rPr>
                <w:rFonts w:ascii="Arial" w:cs="Arial" w:eastAsia="Arial" w:hAnsi="Arial"/>
                <w:sz w:val="13"/>
                <w:szCs w:val="13"/>
                <w:color w:val="auto"/>
              </w:rPr>
              <w:t>net of issuance costs</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11,029,410</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80,793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80,804</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under employee benefit plans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12,298</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3,353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3,353</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Unrealized gain on marketable securities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(23,738 )</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(23,738 )</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September 30, 2022</w:t>
            </w: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52,049,913</w:t>
            </w: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73"/>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52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608,486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(921 )</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(386,203 )</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221,414</w:t>
            </w:r>
          </w:p>
        </w:tc>
        <w:tc>
          <w:tcPr>
            <w:tcW w:w="0" w:type="dxa"/>
            <w:vAlign w:val="bottom"/>
          </w:tcPr>
          <w:p>
            <w:pPr>
              <w:spacing w:after="0"/>
              <w:rPr>
                <w:sz w:val="1"/>
                <w:szCs w:val="1"/>
                <w:color w:val="auto"/>
              </w:rPr>
            </w:pPr>
          </w:p>
        </w:tc>
      </w:tr>
      <w:tr>
        <w:trPr>
          <w:trHeight w:val="156"/>
        </w:trPr>
        <w:tc>
          <w:tcPr>
            <w:tcW w:w="3720" w:type="dxa"/>
            <w:vAlign w:val="bottom"/>
          </w:tcPr>
          <w:p>
            <w:pPr>
              <w:ind w:left="20"/>
              <w:spacing w:after="0"/>
              <w:rPr>
                <w:sz w:val="20"/>
                <w:szCs w:val="20"/>
                <w:color w:val="auto"/>
              </w:rPr>
            </w:pPr>
            <w:r>
              <w:rPr>
                <w:rFonts w:ascii="Arial" w:cs="Arial" w:eastAsia="Arial" w:hAnsi="Arial"/>
                <w:sz w:val="13"/>
                <w:szCs w:val="13"/>
                <w:color w:val="auto"/>
              </w:rPr>
              <w:t>Balance at December 31, 2022</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52,099,211</w:t>
            </w:r>
          </w:p>
        </w:tc>
        <w:tc>
          <w:tcPr>
            <w:tcW w:w="960" w:type="dxa"/>
            <w:vAlign w:val="bottom"/>
            <w:gridSpan w:val="2"/>
          </w:tcPr>
          <w:p>
            <w:pPr>
              <w:jc w:val="right"/>
              <w:ind w:right="673"/>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52</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612,025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(797 )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(412,338 )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198,942</w:t>
            </w:r>
          </w:p>
        </w:tc>
        <w:tc>
          <w:tcPr>
            <w:tcW w:w="0" w:type="dxa"/>
            <w:vAlign w:val="bottom"/>
          </w:tcPr>
          <w:p>
            <w:pPr>
              <w:spacing w:after="0"/>
              <w:rPr>
                <w:sz w:val="1"/>
                <w:szCs w:val="1"/>
                <w:color w:val="auto"/>
              </w:rPr>
            </w:pPr>
          </w:p>
        </w:tc>
      </w:tr>
      <w:tr>
        <w:trPr>
          <w:trHeight w:val="151"/>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in connection with public offering,</w:t>
            </w: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of issuance costs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9,615,384</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117,336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117,346</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Issuance of common stock under employee benefit plans</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38,903</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awards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5,496</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4,253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4,253</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Unrealized gain on marketable securities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(24,779 )</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(24,779 )</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2023</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61,758,994</w:t>
            </w:r>
          </w:p>
        </w:tc>
        <w:tc>
          <w:tcPr>
            <w:tcW w:w="960" w:type="dxa"/>
            <w:vAlign w:val="bottom"/>
            <w:gridSpan w:val="2"/>
            <w:shd w:val="clear" w:color="auto" w:fill="CFF0FC"/>
          </w:tcPr>
          <w:p>
            <w:pPr>
              <w:jc w:val="right"/>
              <w:ind w:right="673"/>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733,962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(651 )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(437,117 )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296,256</w:t>
            </w:r>
          </w:p>
        </w:tc>
        <w:tc>
          <w:tcPr>
            <w:tcW w:w="0" w:type="dxa"/>
            <w:vAlign w:val="bottom"/>
          </w:tcPr>
          <w:p>
            <w:pPr>
              <w:spacing w:after="0"/>
              <w:rPr>
                <w:sz w:val="1"/>
                <w:szCs w:val="1"/>
                <w:color w:val="auto"/>
              </w:rPr>
            </w:pPr>
          </w:p>
        </w:tc>
      </w:tr>
      <w:tr>
        <w:trPr>
          <w:trHeight w:val="156"/>
        </w:trPr>
        <w:tc>
          <w:tcPr>
            <w:tcW w:w="3720" w:type="dxa"/>
            <w:vAlign w:val="bottom"/>
            <w:tcBorders>
              <w:top w:val="single" w:sz="8" w:color="CFF0FC"/>
            </w:tcBorders>
          </w:tcPr>
          <w:p>
            <w:pPr>
              <w:ind w:left="200"/>
              <w:spacing w:after="0"/>
              <w:rPr>
                <w:sz w:val="20"/>
                <w:szCs w:val="20"/>
                <w:color w:val="auto"/>
              </w:rPr>
            </w:pPr>
            <w:r>
              <w:rPr>
                <w:rFonts w:ascii="Arial" w:cs="Arial" w:eastAsia="Arial" w:hAnsi="Arial"/>
                <w:sz w:val="13"/>
                <w:szCs w:val="13"/>
                <w:color w:val="auto"/>
              </w:rPr>
              <w:t>Issuance of common stock under employee benefit plans</w:t>
            </w: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50,912</w:t>
            </w:r>
          </w:p>
        </w:tc>
        <w:tc>
          <w:tcPr>
            <w:tcW w:w="14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141</w:t>
            </w: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restricted stock awards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12,648</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3"/>
                <w:szCs w:val="13"/>
                <w:color w:val="auto"/>
              </w:rPr>
              <w:t>3,363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3"/>
                <w:szCs w:val="13"/>
                <w:color w:val="auto"/>
              </w:rPr>
              <w:t>3,363</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Unrealized loss on marketable securities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(549 )</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(23,783 )</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(23,783 )</w:t>
            </w: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2023</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61,822,554</w:t>
            </w:r>
          </w:p>
        </w:tc>
        <w:tc>
          <w:tcPr>
            <w:tcW w:w="960" w:type="dxa"/>
            <w:vAlign w:val="bottom"/>
            <w:gridSpan w:val="2"/>
            <w:shd w:val="clear" w:color="auto" w:fill="CFF0FC"/>
          </w:tcPr>
          <w:p>
            <w:pPr>
              <w:jc w:val="right"/>
              <w:ind w:right="673"/>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62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737,466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(460,900 )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275,428</w:t>
            </w:r>
          </w:p>
        </w:tc>
        <w:tc>
          <w:tcPr>
            <w:tcW w:w="0" w:type="dxa"/>
            <w:vAlign w:val="bottom"/>
          </w:tcPr>
          <w:p>
            <w:pPr>
              <w:spacing w:after="0"/>
              <w:rPr>
                <w:sz w:val="1"/>
                <w:szCs w:val="1"/>
                <w:color w:val="auto"/>
              </w:rPr>
            </w:pPr>
          </w:p>
        </w:tc>
      </w:tr>
      <w:tr>
        <w:trPr>
          <w:trHeight w:val="156"/>
        </w:trPr>
        <w:tc>
          <w:tcPr>
            <w:tcW w:w="3720" w:type="dxa"/>
            <w:vAlign w:val="bottom"/>
            <w:tcBorders>
              <w:top w:val="single" w:sz="8" w:color="CFF0FC"/>
            </w:tcBorders>
          </w:tcPr>
          <w:p>
            <w:pPr>
              <w:ind w:left="200"/>
              <w:spacing w:after="0"/>
              <w:rPr>
                <w:sz w:val="20"/>
                <w:szCs w:val="20"/>
                <w:color w:val="auto"/>
              </w:rPr>
            </w:pPr>
            <w:r>
              <w:rPr>
                <w:rFonts w:ascii="Arial" w:cs="Arial" w:eastAsia="Arial" w:hAnsi="Arial"/>
                <w:sz w:val="13"/>
                <w:szCs w:val="13"/>
                <w:color w:val="auto"/>
              </w:rPr>
              <w:t>Stock-based compensation expense</w:t>
            </w:r>
          </w:p>
        </w:tc>
        <w:tc>
          <w:tcPr>
            <w:tcW w:w="12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3,737</w:t>
            </w: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3,737</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Unrealized gain on marketable securities</w:t>
            </w:r>
          </w:p>
        </w:tc>
        <w:tc>
          <w:tcPr>
            <w:tcW w:w="12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314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75"/>
        </w:trPr>
        <w:tc>
          <w:tcPr>
            <w:tcW w:w="3720" w:type="dxa"/>
            <w:vAlign w:val="bottom"/>
          </w:tcPr>
          <w:p>
            <w:pPr>
              <w:ind w:left="200"/>
              <w:spacing w:after="0"/>
              <w:rPr>
                <w:sz w:val="20"/>
                <w:szCs w:val="20"/>
                <w:color w:val="auto"/>
              </w:rPr>
            </w:pPr>
            <w:r>
              <w:rPr>
                <w:rFonts w:ascii="Arial" w:cs="Arial" w:eastAsia="Arial" w:hAnsi="Arial"/>
                <w:sz w:val="13"/>
                <w:szCs w:val="13"/>
                <w:color w:val="auto"/>
              </w:rPr>
              <w:t>Net loss</w:t>
            </w: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(24,017 )</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(24,017 )</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at September 30, 2023</w:t>
            </w: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61,822,554</w:t>
            </w: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73"/>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62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741,203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(886 )</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(484,917 )</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255,462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-3728085</wp:posOffset>
            </wp:positionV>
            <wp:extent cx="326580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65805" cy="13716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-3025140</wp:posOffset>
            </wp:positionV>
            <wp:extent cx="3265805" cy="231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65805" cy="23114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-2228215</wp:posOffset>
            </wp:positionV>
            <wp:extent cx="326580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65805" cy="13716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-1208405</wp:posOffset>
            </wp:positionV>
            <wp:extent cx="326580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65805" cy="13716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-505460</wp:posOffset>
            </wp:positionV>
            <wp:extent cx="326580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65805" cy="13716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-25400</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-8255</wp:posOffset>
            </wp:positionV>
            <wp:extent cx="768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2022</w:t>
            </w: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(72,579 )</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(83,736 )</w:t>
            </w: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Arial" w:cs="Arial" w:eastAsia="Arial" w:hAnsi="Arial"/>
                <w:sz w:val="16"/>
                <w:szCs w:val="16"/>
                <w:color w:val="auto"/>
              </w:rPr>
              <w:t>Depreciation expense</w:t>
            </w:r>
          </w:p>
        </w:tc>
        <w:tc>
          <w:tcPr>
            <w:tcW w:w="92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1,664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1,823</w:t>
            </w:r>
          </w:p>
        </w:tc>
      </w:tr>
      <w:tr>
        <w:trPr>
          <w:trHeight w:val="239"/>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11,353</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10,079</w:t>
            </w:r>
          </w:p>
        </w:tc>
      </w:tr>
      <w:tr>
        <w:trPr>
          <w:trHeight w:val="220"/>
        </w:trPr>
        <w:tc>
          <w:tcPr>
            <w:tcW w:w="7780" w:type="dxa"/>
            <w:vAlign w:val="bottom"/>
          </w:tcPr>
          <w:p>
            <w:pPr>
              <w:ind w:left="200"/>
              <w:spacing w:after="0"/>
              <w:rPr>
                <w:sz w:val="20"/>
                <w:szCs w:val="20"/>
                <w:color w:val="auto"/>
              </w:rPr>
            </w:pPr>
            <w:r>
              <w:rPr>
                <w:rFonts w:ascii="Arial" w:cs="Arial" w:eastAsia="Arial" w:hAnsi="Arial"/>
                <w:sz w:val="16"/>
                <w:szCs w:val="16"/>
                <w:color w:val="auto"/>
              </w:rPr>
              <w:t>Net (accretion of discounts) amortization of premiums on marketable securities</w:t>
            </w:r>
          </w:p>
        </w:tc>
        <w:tc>
          <w:tcPr>
            <w:tcW w:w="9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(4,663 )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753</w:t>
            </w:r>
          </w:p>
        </w:tc>
      </w:tr>
      <w:tr>
        <w:trPr>
          <w:trHeight w:val="239"/>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2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2,487</w:t>
            </w:r>
          </w:p>
        </w:tc>
      </w:tr>
      <w:tr>
        <w:trPr>
          <w:trHeight w:val="239"/>
        </w:trPr>
        <w:tc>
          <w:tcPr>
            <w:tcW w:w="7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Unbilled accounts receivable</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347</w:t>
            </w:r>
          </w:p>
        </w:tc>
      </w:tr>
      <w:tr>
        <w:trPr>
          <w:trHeight w:val="220"/>
        </w:trPr>
        <w:tc>
          <w:tcPr>
            <w:tcW w:w="77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(450 )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(936 )</w:t>
            </w:r>
          </w:p>
        </w:tc>
      </w:tr>
      <w:tr>
        <w:trPr>
          <w:trHeight w:val="239"/>
        </w:trPr>
        <w:tc>
          <w:tcPr>
            <w:tcW w:w="7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assets and liabilities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(207 )</w:t>
            </w:r>
          </w:p>
        </w:tc>
      </w:tr>
      <w:tr>
        <w:trPr>
          <w:trHeight w:val="220"/>
        </w:trPr>
        <w:tc>
          <w:tcPr>
            <w:tcW w:w="778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92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(1,556 )</w:t>
            </w:r>
          </w:p>
        </w:tc>
      </w:tr>
      <w:tr>
        <w:trPr>
          <w:trHeight w:val="239"/>
        </w:trPr>
        <w:tc>
          <w:tcPr>
            <w:tcW w:w="77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(2,079 )</w:t>
            </w:r>
          </w:p>
        </w:tc>
      </w:tr>
      <w:tr>
        <w:trPr>
          <w:trHeight w:val="220"/>
        </w:trPr>
        <w:tc>
          <w:tcPr>
            <w:tcW w:w="7780" w:type="dxa"/>
            <w:vAlign w:val="bottom"/>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9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(1,734 )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(1,007 )</w:t>
            </w:r>
          </w:p>
        </w:tc>
      </w:tr>
      <w:tr>
        <w:trPr>
          <w:trHeight w:val="233"/>
        </w:trPr>
        <w:tc>
          <w:tcPr>
            <w:tcW w:w="7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9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(600 )</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(3,322 )</w:t>
            </w: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(67,807 )</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(77,354 )</w:t>
            </w: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9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3"/>
              </w:rPr>
              <w:t>(169,818 )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(67,864 )</w:t>
            </w: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Maturities of marketable securities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115,203</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118,486</w:t>
            </w: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(431 )</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(1,847 )</w:t>
            </w:r>
          </w:p>
        </w:tc>
      </w:tr>
      <w:tr>
        <w:trPr>
          <w:trHeight w:val="230"/>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(55,046 )</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48,775</w:t>
            </w: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in connection with public offerings, net of issuance costs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117,345</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80,853</w:t>
            </w: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under benefit plans, net</w:t>
            </w:r>
          </w:p>
        </w:tc>
        <w:tc>
          <w:tcPr>
            <w:tcW w:w="9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490</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3,252</w:t>
            </w:r>
          </w:p>
        </w:tc>
      </w:tr>
      <w:tr>
        <w:trPr>
          <w:trHeight w:val="223"/>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117,835</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84,105</w:t>
            </w: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9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(5,018 )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55,526</w:t>
            </w:r>
          </w:p>
        </w:tc>
      </w:tr>
      <w:tr>
        <w:trPr>
          <w:trHeight w:val="233"/>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36,190</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36,504</w:t>
            </w: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31,172</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92,030</w:t>
            </w:r>
          </w:p>
        </w:tc>
      </w:tr>
      <w:tr>
        <w:trPr>
          <w:trHeight w:val="20"/>
        </w:trPr>
        <w:tc>
          <w:tcPr>
            <w:tcW w:w="7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Cash paid for operating lease liabilities</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2,489</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2,219</w:t>
            </w: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9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Arial" w:cs="Arial" w:eastAsia="Arial" w:hAnsi="Arial"/>
                <w:sz w:val="16"/>
                <w:szCs w:val="16"/>
                <w:color w:val="auto"/>
              </w:rPr>
              <w:t>Offering costs unpaid at end of period</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49</w:t>
            </w:r>
          </w:p>
        </w:tc>
      </w:tr>
      <w:tr>
        <w:trPr>
          <w:trHeight w:val="23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purchases unpaid at end of period</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-2691130</wp:posOffset>
            </wp:positionV>
            <wp:extent cx="10287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-1208405</wp:posOffset>
            </wp:positionV>
            <wp:extent cx="10287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-908050</wp:posOffset>
            </wp:positionV>
            <wp:extent cx="10287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80340"/>
                    </a:xfrm>
                    <a:prstGeom prst="rect">
                      <a:avLst/>
                    </a:prstGeom>
                    <a:noFill/>
                  </pic:spPr>
                </pic:pic>
              </a:graphicData>
            </a:graphic>
          </wp:anchor>
        </w:drawing>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63"/>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61"/>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2022</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30,080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90,938</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1,092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1,092</w:t>
            </w: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31,172</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92,030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right="640" w:firstLine="509"/>
        <w:spacing w:after="0" w:line="342" w:lineRule="auto"/>
        <w:rPr>
          <w:sz w:val="20"/>
          <w:szCs w:val="20"/>
          <w:color w:val="auto"/>
        </w:rPr>
      </w:pPr>
      <w:r>
        <w:rPr>
          <w:rFonts w:ascii="Arial" w:cs="Arial" w:eastAsia="Arial" w:hAnsi="Arial"/>
          <w:sz w:val="16"/>
          <w:szCs w:val="16"/>
          <w:color w:val="auto"/>
        </w:rPr>
        <w:t>Fulcrum Therapeutics, Inc. (the “Company” or “Fulcrum”) was incorporated in Delaware on August 18, 2015. The Company is focused on developing small molecules to improve the lives of patients with genetically-defined rare diseases in areas of high unmet medical need.</w:t>
      </w:r>
    </w:p>
    <w:p>
      <w:pPr>
        <w:spacing w:after="0" w:line="12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60" w:firstLine="509"/>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September 30, 2023 and the results of its operations and its cash flows for the three and nine months ended September 30, 2023 and 2022. The results for the three and nine months ended September 30, 2023 are not necessarily indicative of results to be expected for the year ending December 31, 2023, any other interim periods, or any future year or period. These consolidated financial statements should be read in conjunction with the Company’s audited consolidated financial statements and the notes thereto for the year ended December 31, 2022 included in the Company’s Annual Report on Form 10-K filed with the Securities and Exchange Commission (the “SEC”) on March 9, 2023 (the “Annual Report on Form 10-K”).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January 2023, the Company completed a public offering of its common stock and issued and sold 9,615,384 shares of common stock at a public offering price of $13.00 per share, resulting in net proceeds of $117.3 million after deducting underwriting discounts and commissions and offering expenses.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the collaboration and license agreements with Acceleron Pharma Inc. (“Acceleron”), a wholly-owned subsidiary of Merck &amp; Co., Inc. (“Merck”), and MyoKardia, Inc. (“MyoKardia”), a wholly owned subsidiary of Bristol Myers Squibb Company. As of September 30, 2023, the Company had an accumulated deficit of $484.9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95"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 significant accounting policies and estimates used in the preparation of the accompanying consolidated financial statements are described in the Company’s audited consolidated financial statements for the year ended December 31, 2022 included in the Company’s Annual Report on Form 10-K. There have been no material changes in the Company’s significant accounting policies during the nine months ended September 30, 2023.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commercial paper. The Company’s marketable securities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 Accounting Pronouncements—Adopted</w:t>
      </w:r>
    </w:p>
    <w:p>
      <w:pPr>
        <w:spacing w:after="0" w:line="225"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requires that credit losses be reported using an expected losses model rather than the incurred losses model that is currently used,</w:t>
      </w:r>
      <w:r>
        <w:rPr>
          <w:rFonts w:ascii="Arial" w:cs="Arial" w:eastAsia="Arial" w:hAnsi="Arial"/>
          <w:sz w:val="16"/>
          <w:szCs w:val="16"/>
          <w:i w:val="1"/>
          <w:iCs w:val="1"/>
          <w:color w:val="auto"/>
        </w:rPr>
        <w:t xml:space="preserve"> </w:t>
      </w:r>
      <w:r>
        <w:rPr>
          <w:rFonts w:ascii="Arial" w:cs="Arial" w:eastAsia="Arial" w:hAnsi="Arial"/>
          <w:sz w:val="16"/>
          <w:szCs w:val="16"/>
          <w:color w:val="auto"/>
        </w:rPr>
        <w:t>and establishes additional disclosures related to credit risks. For available-for-sale debt securities with unrealized losses, this standard requires allowances to be recorded instead of reducing the amortized cost of the investment. The Company adopted this guidance effective January 1, 2023. The adoption of this standard did not have a material impact on the Company’s consolidated financial position and results of operations.</w:t>
      </w:r>
    </w:p>
    <w:p>
      <w:pPr>
        <w:spacing w:after="0" w:line="16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Company adopted this guidance effective January 1, 2023. The adoption of this standard did not have a material impact on the Company’s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September 30, 2023 and December 31, 2022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6"/>
              </w:rPr>
              <w:t>Fair Value Measurements at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5"/>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17,336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17,336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1,991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10,753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10,753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19,516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19,516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Government agency securities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69,690</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69,690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32,552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32,552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105,253</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105,253</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36"/>
        </w:trPr>
        <w:tc>
          <w:tcPr>
            <w:tcW w:w="524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257,091</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17,336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239,755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69"/>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6"/>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25,174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25,174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9,924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9,924</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10,231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10,231</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Government agency securities</w:t>
            </w: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12,444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12,444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48,476</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48,476</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w:t>
            </w: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96,672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96,672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277"/>
        </w:trPr>
        <w:tc>
          <w:tcPr>
            <w:tcW w:w="52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202,921</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25,174</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177,747</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-2099310</wp:posOffset>
            </wp:positionV>
            <wp:extent cx="8572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-2099310</wp:posOffset>
            </wp:positionV>
            <wp:extent cx="7683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-2099310</wp:posOffset>
            </wp:positionV>
            <wp:extent cx="7747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three and nine months ended September 30, 2023.</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Cash equivalents and marketable securities consisted of the following as of September 30, 2023 and December 31, 2022 (in thousands):</w:t>
      </w:r>
    </w:p>
    <w:p>
      <w:pPr>
        <w:spacing w:after="0" w:line="269"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September 30, 2023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8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center"/>
              <w:ind w:right="193"/>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left="144"/>
              <w:spacing w:after="0" w:line="133"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94"/>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ind w:left="164"/>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17,336</w:t>
            </w:r>
          </w:p>
        </w:tc>
        <w:tc>
          <w:tcPr>
            <w:tcW w:w="1060" w:type="dxa"/>
            <w:vAlign w:val="bottom"/>
            <w:gridSpan w:val="2"/>
          </w:tcPr>
          <w:p>
            <w:pPr>
              <w:jc w:val="right"/>
              <w:ind w:right="74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17,336</w:t>
            </w: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1,991</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10,757</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10,753</w:t>
            </w: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cash equivalents</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30,084</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30,080</w:t>
            </w:r>
          </w:p>
        </w:tc>
        <w:tc>
          <w:tcPr>
            <w:tcW w:w="0" w:type="dxa"/>
            <w:vAlign w:val="bottom"/>
          </w:tcPr>
          <w:p>
            <w:pPr>
              <w:spacing w:after="0"/>
              <w:rPr>
                <w:sz w:val="1"/>
                <w:szCs w:val="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19,585</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19,516</w:t>
            </w: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Government agency securities</w:t>
            </w:r>
          </w:p>
        </w:tc>
        <w:tc>
          <w:tcPr>
            <w:tcW w:w="1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69,986</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69,690</w:t>
            </w: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32,600</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32,552</w:t>
            </w: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105,722</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105,253</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227,893</w:t>
            </w:r>
          </w:p>
        </w:tc>
        <w:tc>
          <w:tcPr>
            <w:tcW w:w="1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227,011</w:t>
            </w:r>
          </w:p>
        </w:tc>
        <w:tc>
          <w:tcPr>
            <w:tcW w:w="0" w:type="dxa"/>
            <w:vAlign w:val="bottom"/>
          </w:tcPr>
          <w:p>
            <w:pPr>
              <w:spacing w:after="0"/>
              <w:rPr>
                <w:sz w:val="1"/>
                <w:szCs w:val="1"/>
                <w:color w:val="auto"/>
              </w:rPr>
            </w:pPr>
          </w:p>
        </w:tc>
      </w:tr>
      <w:tr>
        <w:trPr>
          <w:trHeight w:val="237"/>
        </w:trPr>
        <w:tc>
          <w:tcPr>
            <w:tcW w:w="5840" w:type="dxa"/>
            <w:vAlign w:val="bottom"/>
          </w:tcPr>
          <w:p>
            <w:pPr>
              <w:ind w:left="380"/>
              <w:spacing w:after="0"/>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257,977</w:t>
            </w:r>
          </w:p>
        </w:tc>
        <w:tc>
          <w:tcPr>
            <w:tcW w:w="140" w:type="dxa"/>
            <w:vAlign w:val="bottom"/>
          </w:tcPr>
          <w:p>
            <w:pPr>
              <w:spacing w:after="0"/>
              <w:rPr>
                <w:sz w:val="20"/>
                <w:szCs w:val="20"/>
                <w:color w:val="auto"/>
              </w:rPr>
            </w:pP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(886 )</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257,091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5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right"/>
              <w:ind w:right="414"/>
              <w:spacing w:after="0"/>
              <w:rPr>
                <w:sz w:val="20"/>
                <w:szCs w:val="20"/>
                <w:color w:val="auto"/>
              </w:rPr>
            </w:pPr>
            <w:r>
              <w:rPr>
                <w:rFonts w:ascii="Arial" w:cs="Arial" w:eastAsia="Arial" w:hAnsi="Arial"/>
                <w:sz w:val="14"/>
                <w:szCs w:val="14"/>
                <w:b w:val="1"/>
                <w:bCs w:val="1"/>
                <w:color w:val="auto"/>
              </w:rPr>
              <w:t>Fair Value Measurements at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right"/>
              <w:ind w:right="714"/>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20" w:type="dxa"/>
            <w:vAlign w:val="bottom"/>
          </w:tcPr>
          <w:p>
            <w:pPr>
              <w:jc w:val="center"/>
              <w:ind w:left="144"/>
              <w:spacing w:after="0" w:line="133"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4"/>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ind w:left="164"/>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25,174</w:t>
            </w:r>
          </w:p>
        </w:tc>
        <w:tc>
          <w:tcPr>
            <w:tcW w:w="1060" w:type="dxa"/>
            <w:vAlign w:val="bottom"/>
            <w:gridSpan w:val="2"/>
          </w:tcPr>
          <w:p>
            <w:pPr>
              <w:jc w:val="right"/>
              <w:ind w:right="74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25,174</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9,928</w:t>
            </w: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9,924</w:t>
            </w:r>
          </w:p>
        </w:tc>
        <w:tc>
          <w:tcPr>
            <w:tcW w:w="0" w:type="dxa"/>
            <w:vAlign w:val="bottom"/>
          </w:tcPr>
          <w:p>
            <w:pPr>
              <w:spacing w:after="0"/>
              <w:rPr>
                <w:sz w:val="1"/>
                <w:szCs w:val="1"/>
                <w:color w:val="auto"/>
              </w:rPr>
            </w:pPr>
          </w:p>
        </w:tc>
      </w:tr>
      <w:tr>
        <w:trPr>
          <w:trHeight w:val="237"/>
        </w:trPr>
        <w:tc>
          <w:tcPr>
            <w:tcW w:w="5840" w:type="dxa"/>
            <w:vAlign w:val="bottom"/>
          </w:tcPr>
          <w:p>
            <w:pPr>
              <w:ind w:left="380"/>
              <w:spacing w:after="0"/>
              <w:rPr>
                <w:sz w:val="20"/>
                <w:szCs w:val="20"/>
                <w:color w:val="auto"/>
              </w:rPr>
            </w:pPr>
            <w:r>
              <w:rPr>
                <w:rFonts w:ascii="Arial" w:cs="Arial" w:eastAsia="Arial" w:hAnsi="Arial"/>
                <w:sz w:val="18"/>
                <w:szCs w:val="18"/>
                <w:color w:val="auto"/>
              </w:rPr>
              <w:t>Total cash equivalents</w:t>
            </w:r>
          </w:p>
        </w:tc>
        <w:tc>
          <w:tcPr>
            <w:tcW w:w="1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35,102</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35,098</w:t>
            </w: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10,267</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10,231</w:t>
            </w: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Government agency securities</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12,493</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12,444</w:t>
            </w:r>
          </w:p>
        </w:tc>
        <w:tc>
          <w:tcPr>
            <w:tcW w:w="0" w:type="dxa"/>
            <w:vAlign w:val="bottom"/>
          </w:tcPr>
          <w:p>
            <w:pPr>
              <w:spacing w:after="0"/>
              <w:rPr>
                <w:sz w:val="1"/>
                <w:szCs w:val="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48,661</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48,476</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97,195</w:t>
            </w:r>
          </w:p>
        </w:tc>
        <w:tc>
          <w:tcPr>
            <w:tcW w:w="1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96,672</w:t>
            </w:r>
          </w:p>
        </w:tc>
        <w:tc>
          <w:tcPr>
            <w:tcW w:w="0" w:type="dxa"/>
            <w:vAlign w:val="bottom"/>
          </w:tcPr>
          <w:p>
            <w:pPr>
              <w:spacing w:after="0"/>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168,616</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(796 )</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167,823</w:t>
            </w:r>
          </w:p>
        </w:tc>
        <w:tc>
          <w:tcPr>
            <w:tcW w:w="0" w:type="dxa"/>
            <w:vAlign w:val="bottom"/>
          </w:tcPr>
          <w:p>
            <w:pPr>
              <w:spacing w:after="0"/>
              <w:rPr>
                <w:sz w:val="1"/>
                <w:szCs w:val="1"/>
                <w:color w:val="auto"/>
              </w:rPr>
            </w:pPr>
          </w:p>
        </w:tc>
      </w:tr>
      <w:tr>
        <w:trPr>
          <w:trHeight w:val="277"/>
        </w:trPr>
        <w:tc>
          <w:tcPr>
            <w:tcW w:w="5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203,718</w:t>
            </w:r>
          </w:p>
        </w:tc>
        <w:tc>
          <w:tcPr>
            <w:tcW w:w="1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4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(800 )</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202,921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-2614295</wp:posOffset>
            </wp:positionV>
            <wp:extent cx="8572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-2614295</wp:posOffset>
            </wp:positionV>
            <wp:extent cx="85725"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-2614295</wp:posOffset>
            </wp:positionV>
            <wp:extent cx="8572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-1285240</wp:posOffset>
            </wp:positionV>
            <wp:extent cx="8572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-1285240</wp:posOffset>
            </wp:positionV>
            <wp:extent cx="8572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-1285240</wp:posOffset>
            </wp:positionV>
            <wp:extent cx="85725"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-350520</wp:posOffset>
            </wp:positionV>
            <wp:extent cx="8572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-350520</wp:posOffset>
            </wp:positionV>
            <wp:extent cx="8572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-350520</wp:posOffset>
            </wp:positionV>
            <wp:extent cx="8572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There were no sales of marketable securities during the three and nine months ended September 30, 2023. As of September 30, 2023, the Company held 83 debt securities that were in an unrealized loss position for less than 12 months with an aggregate fair value of $216.6 million. As of September 30, 2023, the Company held 5 debt securities that were in an unrealized loss position for greater than 12 months with an aggregate fair value of $10.4 million. As of September 30, 2023, the aggregate fair value of marketable securities with a remaining contractual maturity of greater than one year was $13.7 million.</w:t>
      </w:r>
    </w:p>
    <w:p>
      <w:pPr>
        <w:spacing w:after="0" w:line="188"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 Company has the intent and ability to hold its debt securities until recovery. As a result, the Company did not record any charges for credit-related impairments for its marketable securities for the three and nine months ended September 30, 2023</w:t>
      </w:r>
      <w:r>
        <w:rPr>
          <w:rFonts w:ascii="Arial" w:cs="Arial" w:eastAsia="Arial" w:hAnsi="Arial"/>
          <w:sz w:val="18"/>
          <w:szCs w:val="18"/>
          <w:color w:val="212529"/>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9,493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20" w:type="dxa"/>
            <w:vAlign w:val="bottom"/>
          </w:tcPr>
          <w:p>
            <w:pPr>
              <w:spacing w:after="0"/>
              <w:rPr>
                <w:sz w:val="20"/>
                <w:szCs w:val="20"/>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7,102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7,102</w:t>
            </w:r>
          </w:p>
        </w:tc>
        <w:tc>
          <w:tcPr>
            <w:tcW w:w="20" w:type="dxa"/>
            <w:vAlign w:val="bottom"/>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r>
      <w:tr>
        <w:trPr>
          <w:trHeight w:val="24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17,973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17,568</w:t>
            </w:r>
          </w:p>
        </w:tc>
        <w:tc>
          <w:tcPr>
            <w:tcW w:w="20" w:type="dxa"/>
            <w:vAlign w:val="bottom"/>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(12,327 )</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(10,662 )</w:t>
            </w:r>
          </w:p>
        </w:tc>
        <w:tc>
          <w:tcPr>
            <w:tcW w:w="20" w:type="dxa"/>
            <w:vAlign w:val="bottom"/>
          </w:tcPr>
          <w:p>
            <w:pPr>
              <w:spacing w:after="0"/>
              <w:rPr>
                <w:sz w:val="20"/>
                <w:szCs w:val="20"/>
                <w:color w:val="auto"/>
              </w:rPr>
            </w:pP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5,646</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6,906</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right="540" w:firstLine="509"/>
        <w:spacing w:after="0" w:line="308" w:lineRule="auto"/>
        <w:rPr>
          <w:sz w:val="20"/>
          <w:szCs w:val="20"/>
          <w:color w:val="auto"/>
        </w:rPr>
      </w:pPr>
      <w:r>
        <w:rPr>
          <w:rFonts w:ascii="Arial" w:cs="Arial" w:eastAsia="Arial" w:hAnsi="Arial"/>
          <w:sz w:val="17"/>
          <w:szCs w:val="17"/>
          <w:color w:val="auto"/>
        </w:rPr>
        <w:t>Depreciation expense for the three months ended September 30, 2023 and 2022 was $0.5 million and $0.6 million, respectively. Depreciation expense for the nine months ended September 30, 2023 and 2022 was $1.7 million and $1.8 million,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3,466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2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1,099</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4,819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w w:val="94"/>
              </w:rPr>
              <w:t>Accrued expenses and other current liabilities consisted of the following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3,107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Payroll and benefits</w:t>
            </w:r>
          </w:p>
        </w:tc>
        <w:tc>
          <w:tcPr>
            <w:tcW w:w="12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7,817</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-1653540</wp:posOffset>
            </wp:positionV>
            <wp:extent cx="8572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22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As of September 30, 2023 and December 31, 2022, 5,000,000 shares of undesignated preferred stock were authorized. No shares of preferred stock were issued or outstanding as of September 30, 2023 and December 31,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2023 and December 31, 2022, 200,000,000 shares of common stock, $0.001 par value per share, were authorized.</w:t>
      </w:r>
    </w:p>
    <w:p>
      <w:pPr>
        <w:spacing w:after="0" w:line="23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6"/>
          <w:szCs w:val="16"/>
          <w:color w:val="auto"/>
        </w:rPr>
        <w:t>As of September 30, 2023 and December 31, 2022, the Company has reserved for future issuance the following number of shares of common stock:</w:t>
      </w:r>
    </w:p>
    <w:p>
      <w:pPr>
        <w:spacing w:after="0" w:line="26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200" w:type="dxa"/>
            <w:vAlign w:val="bottom"/>
          </w:tcPr>
          <w:p>
            <w:pPr>
              <w:jc w:val="right"/>
              <w:ind w:right="1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2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30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10,108,766</w:t>
            </w:r>
          </w:p>
        </w:tc>
        <w:tc>
          <w:tcPr>
            <w:tcW w:w="10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6,504,080</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78,142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76,718</w:t>
            </w:r>
          </w:p>
        </w:tc>
        <w:tc>
          <w:tcPr>
            <w:tcW w:w="0" w:type="dxa"/>
            <w:vAlign w:val="bottom"/>
          </w:tcPr>
          <w:p>
            <w:pPr>
              <w:spacing w:after="0"/>
              <w:rPr>
                <w:sz w:val="1"/>
                <w:szCs w:val="1"/>
                <w:color w:val="auto"/>
              </w:rPr>
            </w:pPr>
          </w:p>
        </w:tc>
      </w:tr>
      <w:tr>
        <w:trPr>
          <w:trHeight w:val="24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w w:val="92"/>
              </w:rPr>
              <w:t>Shares reserved for future issuance under the 2019 Stock Incentive Plan</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2,896,782</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1,941,054</w:t>
            </w: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w w:val="97"/>
              </w:rPr>
              <w:t>Shares reserved for future issuance under the 2019 Employee Stock</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1,438,938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1,061,279</w:t>
            </w:r>
          </w:p>
        </w:tc>
        <w:tc>
          <w:tcPr>
            <w:tcW w:w="0" w:type="dxa"/>
            <w:vAlign w:val="bottom"/>
          </w:tcPr>
          <w:p>
            <w:pPr>
              <w:spacing w:after="0"/>
              <w:rPr>
                <w:sz w:val="1"/>
                <w:szCs w:val="1"/>
                <w:color w:val="auto"/>
              </w:rPr>
            </w:pPr>
          </w:p>
        </w:tc>
      </w:tr>
      <w:tr>
        <w:trPr>
          <w:trHeight w:val="222"/>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w w:val="95"/>
              </w:rPr>
              <w:t>Shares reserved for future issuance under the 2022 Inducement Stock</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1,003,472</w:t>
            </w:r>
          </w:p>
        </w:tc>
        <w:tc>
          <w:tcPr>
            <w:tcW w:w="100" w:type="dxa"/>
            <w:vAlign w:val="bottom"/>
            <w:vMerge w:val="restart"/>
            <w:shd w:val="clear" w:color="auto" w:fill="CFF0FC"/>
          </w:tcPr>
          <w:p>
            <w:pPr>
              <w:spacing w:after="0"/>
              <w:rPr>
                <w:sz w:val="19"/>
                <w:szCs w:val="1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329,880</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Incentive Plan</w:t>
            </w: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15,526,100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9,913,011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-187960</wp:posOffset>
            </wp:positionV>
            <wp:extent cx="603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September 30, 2023, no shares remained available for future issuance under the 2016 Plan. Any options or other awards outstanding under the 2016 Plan remain outstanding and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2023, the number of shares reserved for issuance under the 2019 Plan was increased by 2,000,000 shares. As of September 30, 2023, there were 2,896,782 shares available for future issuance under the 2019 Plan.</w:t>
      </w:r>
    </w:p>
    <w:p>
      <w:pPr>
        <w:spacing w:after="0" w:line="165"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Inducement Stock Incentive Plan</w:t>
      </w:r>
    </w:p>
    <w:p>
      <w:pPr>
        <w:spacing w:after="0" w:line="22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As of September 30, 2023, there were 1,003,472 shares available for future grant under the Inducement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nine months ended September 30, 2023:</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2"/>
                <w:szCs w:val="12"/>
                <w:color w:val="auto"/>
              </w:rPr>
            </w:pPr>
          </w:p>
        </w:tc>
        <w:tc>
          <w:tcPr>
            <w:tcW w:w="9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9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2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6,504,080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45"/>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1,885,160</w:t>
            </w:r>
          </w:p>
        </w:tc>
        <w:tc>
          <w:tcPr>
            <w:tcW w:w="0" w:type="dxa"/>
            <w:vAlign w:val="bottom"/>
          </w:tcPr>
          <w:p>
            <w:pPr>
              <w:spacing w:after="0"/>
              <w:rPr>
                <w:sz w:val="1"/>
                <w:szCs w:val="1"/>
                <w:color w:val="auto"/>
              </w:rPr>
            </w:pPr>
          </w:p>
        </w:tc>
      </w:tr>
      <w:tr>
        <w:trPr>
          <w:trHeight w:val="237"/>
        </w:trPr>
        <w:tc>
          <w:tcPr>
            <w:tcW w:w="49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5,790,673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(38,903 )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(2,147,084 )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2023</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10,108,766</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8.53</w:t>
            </w:r>
          </w:p>
        </w:tc>
        <w:tc>
          <w:tcPr>
            <w:tcW w:w="1080" w:type="dxa"/>
            <w:vAlign w:val="bottom"/>
            <w:tcBorders>
              <w:bottom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8.71</w:t>
            </w:r>
          </w:p>
        </w:tc>
        <w:tc>
          <w:tcPr>
            <w:tcW w:w="30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4,871,462</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Exercisable at September 30, 2023</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2,890,946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12.74</w:t>
            </w:r>
          </w:p>
        </w:tc>
        <w:tc>
          <w:tcPr>
            <w:tcW w:w="1080" w:type="dxa"/>
            <w:vAlign w:val="bottom"/>
            <w:gridSpan w:val="2"/>
          </w:tcPr>
          <w:p>
            <w:pPr>
              <w:jc w:val="right"/>
              <w:ind w:right="45"/>
              <w:spacing w:after="0"/>
              <w:rPr>
                <w:sz w:val="20"/>
                <w:szCs w:val="20"/>
                <w:color w:val="auto"/>
              </w:rPr>
            </w:pPr>
            <w:r>
              <w:rPr>
                <w:rFonts w:ascii="Arial" w:cs="Arial" w:eastAsia="Arial" w:hAnsi="Arial"/>
                <w:sz w:val="18"/>
                <w:szCs w:val="18"/>
                <w:color w:val="auto"/>
              </w:rPr>
              <w:t>7.29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-205105</wp:posOffset>
            </wp:positionV>
            <wp:extent cx="7747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205740"/>
                    </a:xfrm>
                    <a:prstGeom prst="rect">
                      <a:avLst/>
                    </a:prstGeom>
                    <a:noFill/>
                  </pic:spPr>
                </pic:pic>
              </a:graphicData>
            </a:graphic>
          </wp:anchor>
        </w:drawing>
      </w:r>
    </w:p>
    <w:p>
      <w:pPr>
        <w:spacing w:after="0" w:line="209" w:lineRule="exact"/>
        <w:rPr>
          <w:sz w:val="20"/>
          <w:szCs w:val="20"/>
          <w:color w:val="auto"/>
        </w:rPr>
      </w:pPr>
    </w:p>
    <w:p>
      <w:pPr>
        <w:jc w:val="both"/>
        <w:ind w:right="40" w:firstLine="509"/>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weighted average grant date fair value of stock options granted in the three and nine months ended September 30, 2023 was $3.26 per share and $4.67 per share, respectively. The weighted average grant date fair value of stock options granted in the three and nine months ended September 30, 2022 was $4.94 per share and $8.52 per share, respectively. The total intrinsic value of stock options exercised during the three and nine months ended September 30, 2023 was zero and $0.2 million, respectively. The total intrinsic value of stock options exercised during the three and nine months ended September 30, 2022 was less than $0.1 million and $2.6 million, respectively.</w:t>
      </w:r>
    </w:p>
    <w:p>
      <w:pPr>
        <w:spacing w:after="0" w:line="176"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 fair value of stock options granted during the three and nine months ended September 30, 2023 and 2022 has been calculated on the date of grant using the following weighted average assumptions: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Three Months</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Nine Months</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Nine Months</w:t>
            </w:r>
          </w:p>
        </w:tc>
      </w:tr>
      <w:tr>
        <w:trPr>
          <w:trHeight w:val="148"/>
        </w:trPr>
        <w:tc>
          <w:tcPr>
            <w:tcW w:w="50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50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85"/>
        </w:trPr>
        <w:tc>
          <w:tcPr>
            <w:tcW w:w="5040" w:type="dxa"/>
            <w:vAlign w:val="bottom"/>
          </w:tcPr>
          <w:p>
            <w:pPr>
              <w:spacing w:after="0"/>
              <w:rPr>
                <w:sz w:val="16"/>
                <w:szCs w:val="16"/>
                <w:color w:val="auto"/>
              </w:rPr>
            </w:pPr>
          </w:p>
        </w:tc>
        <w:tc>
          <w:tcPr>
            <w:tcW w:w="12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6"/>
                <w:szCs w:val="16"/>
                <w:color w:val="auto"/>
              </w:rPr>
            </w:pPr>
          </w:p>
        </w:tc>
      </w:tr>
      <w:tr>
        <w:trPr>
          <w:trHeight w:val="224"/>
        </w:trPr>
        <w:tc>
          <w:tcPr>
            <w:tcW w:w="5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49"/>
        </w:trPr>
        <w:tc>
          <w:tcPr>
            <w:tcW w:w="5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5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21"/>
                <w:szCs w:val="2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100.4 %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90.0 %</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98.4 %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-608330</wp:posOffset>
            </wp:positionV>
            <wp:extent cx="641223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240" w:firstLine="509"/>
        <w:spacing w:after="0" w:line="308" w:lineRule="auto"/>
        <w:rPr>
          <w:sz w:val="20"/>
          <w:szCs w:val="20"/>
          <w:color w:val="auto"/>
        </w:rPr>
      </w:pPr>
      <w:r>
        <w:rPr>
          <w:rFonts w:ascii="Arial" w:cs="Arial" w:eastAsia="Arial" w:hAnsi="Arial"/>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stock unit activity during the nine months ended September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4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Date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2022</w:t>
            </w:r>
          </w:p>
        </w:tc>
        <w:tc>
          <w:tcPr>
            <w:tcW w:w="32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76,718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9.73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Granted</w:t>
            </w:r>
          </w:p>
        </w:tc>
        <w:tc>
          <w:tcPr>
            <w:tcW w:w="4780" w:type="dxa"/>
            <w:vAlign w:val="bottom"/>
            <w:gridSpan w:val="2"/>
          </w:tcPr>
          <w:p>
            <w:pPr>
              <w:jc w:val="right"/>
              <w:ind w:right="39"/>
              <w:spacing w:after="0"/>
              <w:rPr>
                <w:sz w:val="20"/>
                <w:szCs w:val="20"/>
                <w:color w:val="auto"/>
              </w:rPr>
            </w:pPr>
            <w:r>
              <w:rPr>
                <w:rFonts w:ascii="Arial" w:cs="Arial" w:eastAsia="Arial" w:hAnsi="Arial"/>
                <w:sz w:val="18"/>
                <w:szCs w:val="18"/>
                <w:color w:val="auto"/>
              </w:rPr>
              <w:t>37,045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12.59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4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(18,144 )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9.79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(17,477 )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10.75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2023</w:t>
            </w:r>
          </w:p>
        </w:tc>
        <w:tc>
          <w:tcPr>
            <w:tcW w:w="324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78,142</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10.84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40" w:type="dxa"/>
            <w:vAlign w:val="bottom"/>
          </w:tcPr>
          <w:p>
            <w:pPr>
              <w:jc w:val="right"/>
              <w:ind w:right="1670"/>
              <w:spacing w:after="0"/>
              <w:rPr>
                <w:sz w:val="20"/>
                <w:szCs w:val="20"/>
                <w:color w:val="auto"/>
              </w:rPr>
            </w:pPr>
            <w:r>
              <w:rPr>
                <w:rFonts w:ascii="Arial" w:cs="Arial" w:eastAsia="Arial" w:hAnsi="Arial"/>
                <w:sz w:val="18"/>
                <w:szCs w:val="18"/>
                <w:color w:val="auto"/>
              </w:rPr>
              <w:t>11</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-521970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-504825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480" w:firstLine="509"/>
        <w:spacing w:after="0" w:line="274" w:lineRule="auto"/>
        <w:rPr>
          <w:sz w:val="20"/>
          <w:szCs w:val="20"/>
          <w:color w:val="auto"/>
        </w:rPr>
      </w:pPr>
      <w:r>
        <w:rPr>
          <w:rFonts w:ascii="Arial" w:cs="Arial" w:eastAsia="Arial" w:hAnsi="Arial"/>
          <w:sz w:val="18"/>
          <w:szCs w:val="18"/>
          <w:color w:val="auto"/>
        </w:rPr>
        <w:t>The total compensation cost recognized in the statements of operations and comprehensive loss associated with all stock-based compensation awards granted by the Company is as follows (in thousands)</w:t>
      </w:r>
      <w:r>
        <w:rPr>
          <w:rFonts w:ascii="Arial" w:cs="Arial" w:eastAsia="Arial" w:hAnsi="Arial"/>
          <w:sz w:val="21"/>
          <w:szCs w:val="21"/>
          <w:color w:val="auto"/>
        </w:rPr>
        <w:t>:</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right"/>
              <w:ind w:right="515"/>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2,734</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2,597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8,533</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7,138</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1,003</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2,820</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2,941</w:t>
            </w: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3,737</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3,353</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11,353</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As of September 30, 2023, the Company had an aggregate of $35.2 million of unrecognized stock-based compensation expense, which is expected to be recognized over a weighted average period of 3.07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2023, the number of shares reserved for issuance under the 2019 ESPP was increased by 428,571 shares. As of September 30, 2023, there were 1,438,938 shares available for future issuance under the ESPP.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Acceleron Collaboration Agreement</w:t>
      </w:r>
    </w:p>
    <w:p>
      <w:pPr>
        <w:spacing w:after="0" w:line="225"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On June 3, 2022, Acceleron notified the Company of its termination of the Acceleron Collaboration Agreement for convenience, which became effective 120 days after the Company’s receipt of the notice, or October 1, 2022.</w:t>
      </w:r>
    </w:p>
    <w:p>
      <w:pPr>
        <w:spacing w:after="0" w:line="170"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During the three and nine months ended September 30, 2023, the Company recognized no collaboration revenue associated with the Acceleron Collaboration Agreement. During the nine months ended September 30, 2022, the Company recognized $1.0 million of collaboration revenue under the Acceleron Collaboration Agreement, which includes $0.6 million of revenue recognized that was included in deferred revenue as of December 31, 2021. During the three months ended September 30, 2022, the Company recognized no collaboration revenue under the Acceleron Collaboration Agreement. As of September 30, 2023 and December 31, 2022, the Company recorded no deferred revenue, unbilled accounts receivable, or accounts receivable associated with the Acceleron Collaboration Agreement. As of September 30, 2023 and December 31, 2022, the Company had received $4.9 million of cost reimbursement payment under the Acceleron Collaboration Agreement and $2.0 million associated with the achievement of specified research milestones.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MyoKardia Collaboration Agreement</w:t>
      </w:r>
    </w:p>
    <w:p>
      <w:pPr>
        <w:spacing w:after="0" w:line="225"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On July 20, 2020, the Company entered into the MyoKardia Collaboration Agreement, as amended,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76"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66"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77"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66"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Company assessed the MyoKardia Collaboration Agreement and concluded that it represents a contract with a customer within the scope of ASC 606.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76"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7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16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70" w:lineRule="exact"/>
        <w:rPr>
          <w:sz w:val="20"/>
          <w:szCs w:val="20"/>
          <w:color w:val="auto"/>
        </w:rPr>
      </w:pPr>
    </w:p>
    <w:p>
      <w:pPr>
        <w:jc w:val="both"/>
        <w:ind w:right="840" w:firstLine="509"/>
        <w:spacing w:after="0" w:line="263"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nine months ended September 30, 2023.</w:t>
      </w:r>
    </w:p>
    <w:p>
      <w:pPr>
        <w:spacing w:after="0" w:line="184"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164"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During the three and nine months ended September 30, 2023, the Company recognized $0.8 million and $1.9 million, respectively, of collaboration revenue associated with the MyoKardia Collaboration Agreement, which includes $0.2 million and $0.6 million, respectively, of revenue recognized that was included in deferred revenue as of December 31, 2022. During the three and nine months ended September 30, 2022, the Company recognized $1.2 million and $4.7 million, respectively, of collaboration revenue associated with the MyoKardia Collaboration Agreement, which includes $0.4 million and $2.7 million, respectively, of revenue recognized that was in deferred revenue as of December 31, 2021. As of September 30, 2023 and December 31, 2022, the Company recorded deferred revenue of $0.3 million and $0.9 million, respectively,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September 30, 2023 and December 31, 2022. As of September 30, 2023, the Company had received $6.6 million of cost reimbursement payments under the MyoKardia Collaboration Agreement and $2.5 million associated with the achievement of a preclinical milestone. As of December 31, 2022, the Company had received $5.6 million of cost reimbursement payments under the MyoKardia Collaboration Agreement and $2.5 million associated with the achievement of a preclinical milestone. As of September 30, 2023, the Company recorded unbilled accounts receivable of $0.6 million related to reimbursable research and development costs under the MyoKardia Collaboration Agreement for activities performed during the three months ended September 30, 2023. As of December 31, 2022, the Company recorded unbilled accounts receivable of $0.2 million related to reimbursable research and development costs under the MyoKardia Collaboration Agreement for activities performed during the three months ended December 31, 2021. As of September 30, 2023 and December 31, 2022, the Company recorded no accounts receivable under the MyoKardia Collaboration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GSK Agreement</w:t>
      </w:r>
    </w:p>
    <w:p>
      <w:pPr>
        <w:spacing w:after="0" w:line="225"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64"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Under the GSK Agreement, the Company issued 12,500,000 shares of Series B Preferred Stock to GSK. In addition, the Company may owe GSK up to $37.5 million in certain specified clinical and regulatory milestones, including a $5.0 million milestone that was achieved during the second quarter of 2022 and a $2.5 million milestone previously achieved and paid during 2019, and up to $60.0 million in certain specified sales milestones. The Company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w:t>
      </w:r>
    </w:p>
    <w:p>
      <w:pPr>
        <w:spacing w:after="0" w:line="161"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CAMP4 Agreement</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w:t>
      </w:r>
    </w:p>
    <w:p>
      <w:pPr>
        <w:spacing w:after="0" w:line="192"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w:t>
      </w:r>
    </w:p>
    <w:p>
      <w:pPr>
        <w:spacing w:after="0" w:line="2"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expiration of all valid patent claims covering the compounds in such country, (ii) the expiration of all regulatory exclusivities in such country, and</w:t>
      </w:r>
    </w:p>
    <w:p>
      <w:pPr>
        <w:spacing w:after="0" w:line="32" w:lineRule="exact"/>
        <w:rPr>
          <w:rFonts w:ascii="Arial" w:cs="Arial" w:eastAsia="Arial" w:hAnsi="Arial"/>
          <w:sz w:val="16"/>
          <w:szCs w:val="16"/>
          <w:color w:val="auto"/>
        </w:rPr>
      </w:pPr>
    </w:p>
    <w:p>
      <w:pPr>
        <w:ind w:right="660" w:firstLine="8"/>
        <w:spacing w:after="0" w:line="260"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10 years following the first commercial sale of in such country. The Company is responsible for the costs associated with the development and regulatory approvals of licensed products.</w:t>
      </w:r>
    </w:p>
    <w:p>
      <w:pPr>
        <w:spacing w:after="0" w:line="185"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165"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26 Landsdowne Street</w:t>
      </w:r>
    </w:p>
    <w:p>
      <w:pPr>
        <w:spacing w:after="0" w:line="22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September 30, 2023 and December 31, 2022. Operating lease expense and variable lease expense associated with this lease for the three months ended September 30, 2023 was approximately $0.5 million and $0.2 million, respectively. Operating lease expense and variable lease expense associated with this lease for the nine months ended September 30, 2023 was approximately $1.3 million and $0.6 million,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future minimum lease payments associated with the 26 Landsdowne Street lease as of September 30, 2023, are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2023(1)</w:t>
            </w:r>
          </w:p>
        </w:tc>
        <w:tc>
          <w:tcPr>
            <w:tcW w:w="788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FF0FC"/>
          </w:tcPr>
          <w:p>
            <w:pPr>
              <w:spacing w:after="0"/>
              <w:rPr>
                <w:sz w:val="21"/>
                <w:szCs w:val="21"/>
                <w:color w:val="auto"/>
              </w:rPr>
            </w:pPr>
          </w:p>
        </w:tc>
      </w:tr>
      <w:tr>
        <w:trPr>
          <w:trHeight w:val="237"/>
        </w:trPr>
        <w:tc>
          <w:tcPr>
            <w:tcW w:w="1360" w:type="dxa"/>
            <w:vAlign w:val="bottom"/>
          </w:tcPr>
          <w:p>
            <w:pPr>
              <w:ind w:left="20"/>
              <w:spacing w:after="0"/>
              <w:rPr>
                <w:sz w:val="20"/>
                <w:szCs w:val="20"/>
                <w:color w:val="auto"/>
              </w:rPr>
            </w:pPr>
            <w:r>
              <w:rPr>
                <w:rFonts w:ascii="Arial" w:cs="Arial" w:eastAsia="Arial" w:hAnsi="Arial"/>
                <w:sz w:val="18"/>
                <w:szCs w:val="18"/>
                <w:color w:val="auto"/>
              </w:rPr>
              <w:t>2024</w:t>
            </w:r>
          </w:p>
        </w:tc>
        <w:tc>
          <w:tcPr>
            <w:tcW w:w="7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0"/>
                <w:szCs w:val="20"/>
                <w:color w:val="auto"/>
              </w:rPr>
            </w:pPr>
          </w:p>
        </w:tc>
      </w:tr>
      <w:tr>
        <w:trPr>
          <w:trHeight w:val="249"/>
        </w:trPr>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8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FF0FC"/>
          </w:tcPr>
          <w:p>
            <w:pPr>
              <w:spacing w:after="0"/>
              <w:rPr>
                <w:sz w:val="21"/>
                <w:szCs w:val="21"/>
                <w:color w:val="auto"/>
              </w:rPr>
            </w:pPr>
          </w:p>
        </w:tc>
      </w:tr>
      <w:tr>
        <w:trPr>
          <w:trHeight w:val="237"/>
        </w:trPr>
        <w:tc>
          <w:tcPr>
            <w:tcW w:w="1360" w:type="dxa"/>
            <w:vAlign w:val="bottom"/>
          </w:tcPr>
          <w:p>
            <w:pPr>
              <w:ind w:left="20"/>
              <w:spacing w:after="0"/>
              <w:rPr>
                <w:sz w:val="20"/>
                <w:szCs w:val="20"/>
                <w:color w:val="auto"/>
              </w:rPr>
            </w:pPr>
            <w:r>
              <w:rPr>
                <w:rFonts w:ascii="Arial" w:cs="Arial" w:eastAsia="Arial" w:hAnsi="Arial"/>
                <w:sz w:val="18"/>
                <w:szCs w:val="18"/>
                <w:color w:val="auto"/>
              </w:rPr>
              <w:t>2026</w:t>
            </w:r>
          </w:p>
        </w:tc>
        <w:tc>
          <w:tcPr>
            <w:tcW w:w="7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0"/>
                <w:szCs w:val="20"/>
                <w:color w:val="auto"/>
              </w:rPr>
            </w:pPr>
          </w:p>
        </w:tc>
      </w:tr>
      <w:tr>
        <w:trPr>
          <w:trHeight w:val="249"/>
        </w:trPr>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78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0"/>
                <w:szCs w:val="20"/>
                <w:color w:val="auto"/>
              </w:rPr>
            </w:pPr>
          </w:p>
        </w:tc>
      </w:tr>
      <w:tr>
        <w:trPr>
          <w:trHeight w:val="243"/>
        </w:trPr>
        <w:tc>
          <w:tcPr>
            <w:tcW w:w="92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7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12,820</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7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(1,740 )</w:t>
            </w:r>
          </w:p>
        </w:tc>
      </w:tr>
      <w:tr>
        <w:trPr>
          <w:trHeight w:val="276"/>
        </w:trPr>
        <w:tc>
          <w:tcPr>
            <w:tcW w:w="92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lease liability</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22"/>
        </w:trPr>
        <w:tc>
          <w:tcPr>
            <w:tcW w:w="1360" w:type="dxa"/>
            <w:vAlign w:val="bottom"/>
            <w:tcBorders>
              <w:bottom w:val="single" w:sz="8" w:color="auto"/>
            </w:tcBorders>
          </w:tcPr>
          <w:p>
            <w:pPr>
              <w:spacing w:after="0"/>
              <w:rPr>
                <w:sz w:val="10"/>
                <w:szCs w:val="10"/>
                <w:color w:val="auto"/>
              </w:rPr>
            </w:pPr>
          </w:p>
        </w:tc>
        <w:tc>
          <w:tcPr>
            <w:tcW w:w="7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 w:lineRule="exact"/>
        <w:rPr>
          <w:sz w:val="20"/>
          <w:szCs w:val="20"/>
          <w:color w:val="auto"/>
        </w:rPr>
      </w:pPr>
    </w:p>
    <w:p>
      <w:pPr>
        <w:ind w:left="520" w:right="6260" w:hanging="512"/>
        <w:spacing w:after="0" w:line="50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Amounts are for the three months ending December 31, 2023. </w:t>
      </w:r>
      <w:r>
        <w:rPr>
          <w:rFonts w:ascii="Arial" w:cs="Arial" w:eastAsia="Arial" w:hAnsi="Arial"/>
          <w:sz w:val="18"/>
          <w:szCs w:val="18"/>
          <w:i w:val="1"/>
          <w:iCs w:val="1"/>
          <w:color w:val="auto"/>
        </w:rPr>
        <w:t>125 Sidney Street</w:t>
      </w:r>
    </w:p>
    <w:p>
      <w:pPr>
        <w:spacing w:after="0" w:line="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ends on March 31, 2024. The Company has the option to extend the term of the lease for two successive one-year periods, at the market rate, by giving the landlord written notice of its election to exercise the extension at least nine months prior to the original expiration of the lease term. The lease has a total commitment of $1.7 million over the initial term, and includes escalating rent payments. Operating lease expense associated with this lease for the three and nine months ended September 30, 2023 was approximately $0.2 million and $0.5 million, respectively. No variable lease expense was recorded associated with this lease for the three and nine months ended September 30,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8800" w:type="dxa"/>
            <w:vAlign w:val="bottom"/>
            <w:gridSpan w:val="2"/>
          </w:tcPr>
          <w:p>
            <w:pPr>
              <w:ind w:left="80"/>
              <w:spacing w:after="0"/>
              <w:rPr>
                <w:sz w:val="20"/>
                <w:szCs w:val="20"/>
                <w:color w:val="auto"/>
              </w:rPr>
            </w:pPr>
            <w:r>
              <w:rPr>
                <w:rFonts w:ascii="Arial" w:cs="Arial" w:eastAsia="Arial" w:hAnsi="Arial"/>
                <w:sz w:val="18"/>
                <w:szCs w:val="18"/>
                <w:color w:val="auto"/>
                <w:w w:val="90"/>
              </w:rPr>
              <w:t>The future minimum lease payments associated with this lease as of September 30, 2023, are as follows (in thousands):</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360" w:type="dxa"/>
            <w:vAlign w:val="bottom"/>
            <w:gridSpan w:val="2"/>
          </w:tcPr>
          <w:p>
            <w:pPr>
              <w:spacing w:after="0"/>
              <w:rPr>
                <w:sz w:val="21"/>
                <w:szCs w:val="21"/>
                <w:color w:val="auto"/>
              </w:rPr>
            </w:pPr>
          </w:p>
        </w:tc>
        <w:tc>
          <w:tcPr>
            <w:tcW w:w="7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2023(1)</w:t>
            </w:r>
          </w:p>
        </w:tc>
        <w:tc>
          <w:tcPr>
            <w:tcW w:w="78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21"/>
                <w:szCs w:val="21"/>
                <w:color w:val="auto"/>
              </w:rPr>
            </w:pPr>
          </w:p>
        </w:tc>
      </w:tr>
      <w:tr>
        <w:trPr>
          <w:trHeight w:val="237"/>
        </w:trPr>
        <w:tc>
          <w:tcPr>
            <w:tcW w:w="440" w:type="dxa"/>
            <w:vAlign w:val="bottom"/>
          </w:tcPr>
          <w:p>
            <w:pPr>
              <w:ind w:left="20"/>
              <w:spacing w:after="0"/>
              <w:rPr>
                <w:sz w:val="20"/>
                <w:szCs w:val="20"/>
                <w:color w:val="auto"/>
              </w:rPr>
            </w:pPr>
            <w:r>
              <w:rPr>
                <w:rFonts w:ascii="Arial" w:cs="Arial" w:eastAsia="Arial" w:hAnsi="Arial"/>
                <w:sz w:val="18"/>
                <w:szCs w:val="18"/>
                <w:color w:val="auto"/>
                <w:w w:val="99"/>
              </w:rPr>
              <w:t>2024</w:t>
            </w:r>
          </w:p>
        </w:tc>
        <w:tc>
          <w:tcPr>
            <w:tcW w:w="9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r>
      <w:tr>
        <w:trPr>
          <w:trHeight w:val="243"/>
        </w:trPr>
        <w:tc>
          <w:tcPr>
            <w:tcW w:w="92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8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gridSpan w:val="3"/>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r>
      <w:tr>
        <w:trPr>
          <w:trHeight w:val="277"/>
        </w:trPr>
        <w:tc>
          <w:tcPr>
            <w:tcW w:w="92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lease liability</w:t>
            </w: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35"/>
        </w:trPr>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64"/>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8800" w:type="dxa"/>
            <w:vAlign w:val="bottom"/>
            <w:gridSpan w:val="2"/>
          </w:tcPr>
          <w:p>
            <w:pPr>
              <w:ind w:left="80"/>
              <w:spacing w:after="0"/>
              <w:rPr>
                <w:sz w:val="20"/>
                <w:szCs w:val="20"/>
                <w:color w:val="auto"/>
              </w:rPr>
            </w:pPr>
            <w:r>
              <w:rPr>
                <w:rFonts w:ascii="Arial" w:cs="Arial" w:eastAsia="Arial" w:hAnsi="Arial"/>
                <w:sz w:val="18"/>
                <w:szCs w:val="18"/>
                <w:color w:val="auto"/>
              </w:rPr>
              <w:t>Amounts are for the three months ending December 31, 2023.</w:t>
            </w: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32"/>
        </w:trPr>
        <w:tc>
          <w:tcPr>
            <w:tcW w:w="440" w:type="dxa"/>
            <w:vAlign w:val="bottom"/>
          </w:tcPr>
          <w:p>
            <w:pPr>
              <w:spacing w:after="0"/>
              <w:rPr>
                <w:sz w:val="24"/>
                <w:szCs w:val="24"/>
                <w:color w:val="auto"/>
              </w:rPr>
            </w:pPr>
          </w:p>
        </w:tc>
        <w:tc>
          <w:tcPr>
            <w:tcW w:w="8800" w:type="dxa"/>
            <w:vAlign w:val="bottom"/>
            <w:gridSpan w:val="2"/>
          </w:tcPr>
          <w:p>
            <w:pPr>
              <w:jc w:val="right"/>
              <w:ind w:right="3520"/>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September 30, 2023 or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 xml:space="preserve">On April 28, 2023, a class action complaint, </w:t>
      </w:r>
      <w:r>
        <w:rPr>
          <w:rFonts w:ascii="Arial" w:cs="Arial" w:eastAsia="Arial" w:hAnsi="Arial"/>
          <w:sz w:val="17"/>
          <w:szCs w:val="17"/>
          <w:i w:val="1"/>
          <w:iCs w:val="1"/>
          <w:color w:val="auto"/>
        </w:rPr>
        <w:t>Celano v. Fulcrum Therapeutics, Inc., et al</w:t>
      </w:r>
      <w:r>
        <w:rPr>
          <w:rFonts w:ascii="Arial" w:cs="Arial" w:eastAsia="Arial" w:hAnsi="Arial"/>
          <w:sz w:val="17"/>
          <w:szCs w:val="17"/>
          <w:color w:val="auto"/>
        </w:rPr>
        <w:t>., Case No. 1:23-cv-11125-IT, was filed in the United States District Court for the District of New Jersey against the Company and current and former officers (the “Securities Action”). On May 19, 2023, the Securities Action was transferred to the United States District Court for the District of Massachusetts. On July 31, 2023, the court appointed a lead plaintiff, who filed an amended complaint on September 29, 2023. The Securities Action alleges violations of Section 10(b) of the Securities Exchange Act of 1934, as amended, and Rule 10b-5 promulgated thereunder against all defendants and control person violations of Section 20(a) against the individuals, related to the Company’s February 2023 announcement that the U.S. Food and Drug Administration issued a clinical hold regarding the investigational new drug application for pociredir (formerly known as FTX-6058) for the potential treatment of sickle cell disease.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The Company intends to defend vigorously against this litigation.</w:t>
      </w:r>
    </w:p>
    <w:p>
      <w:pPr>
        <w:spacing w:after="0" w:line="185"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nine months ended September 30, 2023.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Contribution Plan</w:t>
      </w:r>
    </w:p>
    <w:p>
      <w:pPr>
        <w:spacing w:after="0" w:line="229"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$0.2 million and $0.6 million, respectively, in contributions to the 401(k) Plan for the three and nine months ended September 30, 2023. The Company made $0.2 million and $0.6 million, respectively, in contributions to the 401(k) Plan for the three and nine months ended September 30,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229"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38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Nine Months Ended</w:t>
            </w:r>
          </w:p>
        </w:tc>
        <w:tc>
          <w:tcPr>
            <w:tcW w:w="1680" w:type="dxa"/>
            <w:vAlign w:val="bottom"/>
          </w:tcPr>
          <w:p>
            <w:pPr>
              <w:spacing w:after="0"/>
              <w:rPr>
                <w:sz w:val="14"/>
                <w:szCs w:val="14"/>
                <w:color w:val="auto"/>
              </w:rPr>
            </w:pPr>
          </w:p>
        </w:tc>
      </w:tr>
      <w:tr>
        <w:trPr>
          <w:trHeight w:val="185"/>
        </w:trPr>
        <w:tc>
          <w:tcPr>
            <w:tcW w:w="17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58"/>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80" w:type="dxa"/>
            <w:vAlign w:val="bottom"/>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140" w:type="dxa"/>
            <w:vAlign w:val="bottom"/>
          </w:tcPr>
          <w:p>
            <w:pPr>
              <w:jc w:val="right"/>
              <w:ind w:right="381"/>
              <w:spacing w:after="0"/>
              <w:rPr>
                <w:sz w:val="20"/>
                <w:szCs w:val="20"/>
                <w:color w:val="auto"/>
              </w:rPr>
            </w:pPr>
            <w:r>
              <w:rPr>
                <w:rFonts w:ascii="Arial" w:cs="Arial" w:eastAsia="Arial" w:hAnsi="Arial"/>
                <w:sz w:val="14"/>
                <w:szCs w:val="14"/>
                <w:b w:val="1"/>
                <w:bCs w:val="1"/>
                <w:color w:val="auto"/>
              </w:rPr>
              <w:t>2023</w:t>
            </w:r>
          </w:p>
        </w:tc>
        <w:tc>
          <w:tcPr>
            <w:tcW w:w="12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680" w:type="dxa"/>
            <w:vAlign w:val="bottom"/>
          </w:tcPr>
          <w:p>
            <w:pPr>
              <w:spacing w:after="0"/>
              <w:rPr>
                <w:sz w:val="14"/>
                <w:szCs w:val="14"/>
                <w:color w:val="auto"/>
              </w:rPr>
            </w:pPr>
          </w:p>
        </w:tc>
      </w:tr>
      <w:tr>
        <w:trPr>
          <w:trHeight w:val="236"/>
        </w:trPr>
        <w:tc>
          <w:tcPr>
            <w:tcW w:w="1700" w:type="dxa"/>
            <w:vAlign w:val="bottom"/>
          </w:tcPr>
          <w:p>
            <w:pPr>
              <w:spacing w:after="0"/>
              <w:rPr>
                <w:sz w:val="20"/>
                <w:szCs w:val="20"/>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8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10,108,766</w:t>
            </w:r>
          </w:p>
        </w:tc>
        <w:tc>
          <w:tcPr>
            <w:tcW w:w="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87"/>
              </w:rPr>
              <w:t>5,929,065</w:t>
            </w:r>
          </w:p>
        </w:tc>
        <w:tc>
          <w:tcPr>
            <w:tcW w:w="8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10,108,766</w:t>
            </w:r>
          </w:p>
        </w:tc>
        <w:tc>
          <w:tcPr>
            <w:tcW w:w="8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5,929,065</w:t>
            </w: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78,142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95,174</w:t>
            </w: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78,142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95,174</w:t>
            </w: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10,186,908</w:t>
            </w: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87"/>
              </w:rPr>
              <w:t>6,024,239</w:t>
            </w:r>
          </w:p>
        </w:tc>
        <w:tc>
          <w:tcPr>
            <w:tcW w:w="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Arial" w:cs="Arial" w:eastAsia="Arial" w:hAnsi="Arial"/>
                <w:sz w:val="18"/>
                <w:szCs w:val="18"/>
                <w:color w:val="auto"/>
              </w:rPr>
              <w:t>10,186,908</w:t>
            </w:r>
          </w:p>
        </w:tc>
        <w:tc>
          <w:tcPr>
            <w:tcW w:w="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6,024,239</w:t>
            </w:r>
          </w:p>
        </w:tc>
        <w:tc>
          <w:tcPr>
            <w:tcW w:w="1680" w:type="dxa"/>
            <w:vAlign w:val="bottom"/>
          </w:tcPr>
          <w:p>
            <w:pPr>
              <w:spacing w:after="0"/>
              <w:rPr>
                <w:sz w:val="24"/>
                <w:szCs w:val="24"/>
                <w:color w:val="auto"/>
              </w:rPr>
            </w:pPr>
          </w:p>
        </w:tc>
      </w:tr>
      <w:tr>
        <w:trPr>
          <w:trHeight w:val="635"/>
        </w:trPr>
        <w:tc>
          <w:tcPr>
            <w:tcW w:w="1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-522605</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-504825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-522605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-504825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-522605</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-504825</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March 9,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are a clinical-stage biopharmaceutical company focused on developing small molecules to improve the lives of patients with genetically defined rare diseases in areas of high unmet medical need. Our most advanced clinical product candidate, losmapimod, is being developed for the potential treatment of FSHD. Our other clinical product candidate is pociredir, which is being developed for the potential treatment of certain hemoglobinopathies, including SCD. We initiated REACH, a randomized, double-blind, placebo-controlled, multi-national Phase 3 clinical trial of losmapimod in the second quarter of 2022 and we completed enrollment during September 2023. The trial enrolled 260 patients. We expect to report topline data in the fourth quarter of 2024.</w:t>
      </w:r>
    </w:p>
    <w:p>
      <w:pPr>
        <w:spacing w:after="0" w:line="19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In January 2023, we announced interim data from our Phase 1b clinical trial of pociredir in SCD. We completed enrollment in the 6 mg and 2 mg dose cohorts, and we do not plan to enroll additional subjects in these cohorts. Although we commenced enrollment in the 12 mg dose cohort, in February 2023, the FDA placed a full clinical hold on the Investigational New Drug (IND) application for pociredir for SCD, which was lifted in August 2023. The Phase 1b clinical trial is being re-initiated at the 12 mg once daily dose level, with that cohort expected to enroll approximately 10 patients, followed by an additional cohort of 10 patients at the 20 mg once a daily dose level. The protocol was amended to revise the inclusion and exclusion criteria to target patients with higher disease severity.</w:t>
      </w:r>
    </w:p>
    <w:p>
      <w:pPr>
        <w:spacing w:after="0" w:line="192"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We have developed a proprietary technology that we employ to systematically identify and validate cellular drug targets that can potentially modulate gene expression to treat known root causes of genetically defined diseases. Our discovery approach led to the identification of both losmapimod for FSHD and pociredir for hemoglobinopathies, as well as a robust discovery pipeline. With our priorities focused on the development and potential commercialization of our two clinical-stage assets, losmapimod and pociredir, and ongoing work on our preclinical programs in hematology and muscle diseases, we are realigning our strategy and resources accordingly and will be winding down certain exploratory activities from our discovery efforts.</w:t>
      </w:r>
    </w:p>
    <w:p>
      <w:pPr>
        <w:spacing w:after="0" w:line="16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technologies,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capital stock and from upfront payments received under our collaboration and license agreements.</w:t>
      </w:r>
    </w:p>
    <w:p>
      <w:pPr>
        <w:spacing w:after="0" w:line="18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$24.0 million and $72.6 million for the three and nine months ended September 30, 2023 and $23.7 million and $83.7 million for the three and nine months ended September 30, 2022, respectively. As of September 30, 2023, we had an accumulated deficit of $484.9 million. We expect our expenses and operating losses will increase substantially over the next several years in connection with our ongoing activities, as we:</w:t>
      </w:r>
    </w:p>
    <w:p>
      <w:pPr>
        <w:spacing w:after="0" w:line="84" w:lineRule="exact"/>
        <w:rPr>
          <w:sz w:val="20"/>
          <w:szCs w:val="20"/>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our clinical development of losmapimod and pociredir;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900" w:right="20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 such as REACH, the Phase 3 clinical trial of losmapimod for the treatment of FSHD;</w:t>
      </w:r>
    </w:p>
    <w:p>
      <w:pPr>
        <w:spacing w:after="0" w:line="62" w:lineRule="exact"/>
        <w:rPr>
          <w:rFonts w:ascii="Arial" w:cs="Arial" w:eastAsia="Arial" w:hAnsi="Arial"/>
          <w:sz w:val="18"/>
          <w:szCs w:val="18"/>
          <w:color w:val="auto"/>
        </w:rPr>
      </w:pPr>
    </w:p>
    <w:p>
      <w:pPr>
        <w:ind w:left="900" w:right="52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the discovery of drug targets for other genetically-defined rare diseases and the subsequent development of any resulting product candidates, including for Diamond Blackfan Anemia under our recent license agreement with CAMP4;</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00" w:right="280" w:hanging="383"/>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left="900" w:hanging="38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acquire or in-license products, product candidates, technologies and/or data referencing rights, such as our recent agreement with CAMP4;</w:t>
      </w:r>
    </w:p>
    <w:p>
      <w:pPr>
        <w:spacing w:after="0" w:line="140" w:lineRule="exact"/>
        <w:rPr>
          <w:rFonts w:ascii="Arial" w:cs="Arial" w:eastAsia="Arial" w:hAnsi="Arial"/>
          <w:sz w:val="16"/>
          <w:szCs w:val="16"/>
          <w:color w:val="auto"/>
        </w:rPr>
      </w:pPr>
    </w:p>
    <w:p>
      <w:pPr>
        <w:ind w:left="900" w:right="44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any milestone payments to affiliates of GSK under our right of reference and license agreement with GSK upon the achievement of specified clinical or regulatory milestones, or to CAMP4 under our license agreement with CAMP4;</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of September 30, 2023, we had $257.1 million in cash, cash equivalents, and marketable securities. We believe that our existing cash, cash equivalents, and marketable securities as of September 30, 2023 will enable us to fund our operating expenses and capital expenditure requirements into 2026. We have based this estimate on assumptions that may prove to be wrong, and we could exhaust our available capital resources sooner than we expect. See “—Liquidity and Capital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right="180" w:firstLine="509"/>
        <w:spacing w:after="0" w:line="296" w:lineRule="auto"/>
        <w:rPr>
          <w:sz w:val="20"/>
          <w:szCs w:val="20"/>
          <w:color w:val="auto"/>
        </w:rPr>
      </w:pPr>
      <w:r>
        <w:rPr>
          <w:rFonts w:ascii="Arial" w:cs="Arial" w:eastAsia="Arial" w:hAnsi="Arial"/>
          <w:sz w:val="16"/>
          <w:szCs w:val="16"/>
          <w:color w:val="auto"/>
        </w:rPr>
        <w:t>In December 2019, we entered into a collaboration and license agreement with Acceleron to identify biological targets to modulate specific pathways associated with a targeted indication within the pulmonary disease space. The agreement terminated effective October 1, 2022, following notification from Acceleron in June 2022 of its decision to terminate the agreement for convenience. For the three and nine months ended September 30, 2022, we recognized zero and $1.0 million, respectively of collaboration revenue under the Acceleron collaboration agreement. We did not recognize any collaboration revenue under the Acceleron collaboration agreement during the three and nine months ended September 30, 2023.</w:t>
      </w:r>
    </w:p>
    <w:p>
      <w:pPr>
        <w:spacing w:after="0" w:line="16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July 2020, we entered into a collaboration and license agreement with MyoKardia, which we amended in April 2023,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20" w:firstLine="509"/>
        <w:spacing w:after="0" w:line="289" w:lineRule="auto"/>
        <w:rPr>
          <w:sz w:val="20"/>
          <w:szCs w:val="20"/>
          <w:color w:val="auto"/>
        </w:rPr>
      </w:pPr>
      <w:r>
        <w:rPr>
          <w:rFonts w:ascii="Arial" w:cs="Arial" w:eastAsia="Arial" w:hAnsi="Arial"/>
          <w:sz w:val="16"/>
          <w:szCs w:val="16"/>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66" w:lineRule="exact"/>
        <w:rPr>
          <w:sz w:val="20"/>
          <w:szCs w:val="20"/>
          <w:color w:val="auto"/>
        </w:rPr>
      </w:pPr>
    </w:p>
    <w:p>
      <w:pPr>
        <w:ind w:right="20" w:firstLine="509"/>
        <w:spacing w:after="0" w:line="274" w:lineRule="auto"/>
        <w:rPr>
          <w:sz w:val="20"/>
          <w:szCs w:val="20"/>
          <w:color w:val="auto"/>
        </w:rPr>
      </w:pPr>
      <w:r>
        <w:rPr>
          <w:rFonts w:ascii="Arial" w:cs="Arial" w:eastAsia="Arial" w:hAnsi="Arial"/>
          <w:sz w:val="17"/>
          <w:szCs w:val="17"/>
          <w:color w:val="auto"/>
        </w:rPr>
        <w:t>For the three months ended September 30, 2023 and 2022, we recognized $0.8 million and $1.2 million, respectively, of collaboration revenue under the MyoKardia collaboration agreement. For the nine months ended September 30, 2023 and 2022, we recognized $1.9 million and $4.7 million, respectively, of collaboration revenue under the MyoKardia collaboration agreement. As of September 30, 2023 and December 31, 2022, we have recorded $0.3 million and $0.9 million, respectively, of deferred revenue associated with the MyoKardia collaboration agreement, which is classified as either current or noncurrent, net of current portion in our consolidated balance sheets based on the period over which the revenue is expected to be recognized. As of September 30, 2023, we had received $6.6 million of cost reimbursement payments and $2.5 million of milestone payments under the MyoKardia collaboration agreement. As of September 30, 2023, we recorded unbilled accounts receivable of $0.6 million related to reimbursable research and development costs under the MyoKardia collaboration agreement for activities performed during the three months ended September 30, 2023. As of September 30, 2023, we recorded no accounts receivable under the MyoKardia collaboration agreement.</w:t>
      </w:r>
    </w:p>
    <w:p>
      <w:pPr>
        <w:spacing w:after="0" w:line="179"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In the future, we will recognize additional revenue associated with the $10.0 million upfront payment and the $2.5 million preclinical milestone achieved in December 2021 as we satisfy our performance obligation, and from reimbursement of costs incurred under the MyoKardia collaboration agreement.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92"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900" w:right="78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contract manufacturing organizations, and consultants;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milestone expenses associated with our right of reference and license agreement with GlaxoSmithKline plc, or GSK.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firstLine="509"/>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The following table summarizes our external research and development expenses by program following nomination as a development candidate for the three and nine months ended September 30, 2023 and 2022. Pre-development candidate expenses, unallocated expenses and internal research and development expenses are classified separately. Losmapimod external expenses during the nine months ended September 30, 2022 includes a $5.0 million milestone achieved under our right of reference and license agreement with GSK upon the initiation of the REACH trial during the second quarter of 2022.</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69"/>
        </w:trPr>
        <w:tc>
          <w:tcPr>
            <w:tcW w:w="52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7,727</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21,452</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17,941</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Pociredir external expenses</w:t>
            </w:r>
          </w:p>
        </w:tc>
        <w:tc>
          <w:tcPr>
            <w:tcW w:w="24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2,923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5,665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12,114</w:t>
            </w:r>
          </w:p>
        </w:tc>
      </w:tr>
      <w:tr>
        <w:trPr>
          <w:trHeight w:val="24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Pre-development candidate expenses and unallocated expenses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4,196</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10,636</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12,281</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5,205</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4,349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15,049</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15,880</w:t>
            </w: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18,238</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15,366</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52,802</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900" w:right="28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establish and operate a manufacturing facility, or secure manufacturing supply through relationships with third parties;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pociredir for the treatment of certain hemoglobinopathies, including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p>
      <w:pPr>
        <w:spacing w:after="0" w:line="225"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color w:val="auto"/>
        </w:rPr>
        <w:t>The following summarizes our results of operations for the three months ended September 30, 2023 and 2022 along with the changes in those items in dollars:</w:t>
      </w:r>
    </w:p>
    <w:tbl>
      <w:tblPr>
        <w:tblLayout w:type="fixed"/>
        <w:tblInd w:w="1020" w:type="dxa"/>
        <w:tblCellMar>
          <w:top w:w="0" w:type="dxa"/>
          <w:left w:w="0" w:type="dxa"/>
          <w:bottom w:w="0" w:type="dxa"/>
          <w:right w:w="0" w:type="dxa"/>
        </w:tblCellMar>
      </w:tblPr>
      <w:tr>
        <w:trPr>
          <w:trHeight w:val="141"/>
        </w:trPr>
        <w:tc>
          <w:tcPr>
            <w:tcW w:w="5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gridSpan w:val="5"/>
          </w:tcPr>
          <w:p>
            <w:pPr>
              <w:jc w:val="right"/>
              <w:ind w:right="670"/>
              <w:spacing w:after="0" w:line="141" w:lineRule="exact"/>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2"/>
                <w:szCs w:val="12"/>
                <w:color w:val="auto"/>
              </w:rPr>
            </w:pPr>
          </w:p>
        </w:tc>
        <w:tc>
          <w:tcPr>
            <w:tcW w:w="94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18,238</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15,366</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9,961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9,707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Restructuring expenses</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36"/>
        </w:trPr>
        <w:tc>
          <w:tcPr>
            <w:tcW w:w="54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28,199</w:t>
            </w: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25,538</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(27,440</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(24,355</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(23,738</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-668020</wp:posOffset>
            </wp:positionV>
            <wp:extent cx="6032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-668020</wp:posOffset>
            </wp:positionV>
            <wp:extent cx="5143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-668020</wp:posOffset>
            </wp:positionV>
            <wp:extent cx="5143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Collaboration revenue decreased by $0.4 million from $1.2 million for the three months ended September 30, 2022 to $0.8 million for the three months ended September 30, 2023.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three months ended September 30, 2023 and 2022, we recognized no collaboration revenue under the Acceleron collaboration agreement and $0.8 million and $1.2 million, respectively, of collaboration revenue under the MyoKardia collaboration agreement. The Acceleron collaboration agreement terminated effective October 1, 2022.</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September 30, 2023 and 2022:</w:t>
      </w:r>
    </w:p>
    <w:p>
      <w:pPr>
        <w:spacing w:after="0" w:line="200" w:lineRule="exact"/>
        <w:rPr>
          <w:sz w:val="20"/>
          <w:szCs w:val="20"/>
          <w:color w:val="auto"/>
        </w:rPr>
      </w:pPr>
    </w:p>
    <w:p>
      <w:pPr>
        <w:spacing w:after="0" w:line="2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8,457</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Employee compensation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Laboratory supplies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Facility costs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18,238</w:t>
            </w:r>
          </w:p>
        </w:tc>
        <w:tc>
          <w:tcPr>
            <w:tcW w:w="7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15,366</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-187960</wp:posOffset>
            </wp:positionV>
            <wp:extent cx="5969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5143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-187960</wp:posOffset>
            </wp:positionV>
            <wp:extent cx="5143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200" w:firstLine="509"/>
        <w:spacing w:after="0" w:line="342" w:lineRule="auto"/>
        <w:rPr>
          <w:sz w:val="20"/>
          <w:szCs w:val="20"/>
          <w:color w:val="auto"/>
        </w:rPr>
      </w:pPr>
      <w:r>
        <w:rPr>
          <w:rFonts w:ascii="Arial" w:cs="Arial" w:eastAsia="Arial" w:hAnsi="Arial"/>
          <w:sz w:val="16"/>
          <w:szCs w:val="16"/>
          <w:color w:val="auto"/>
        </w:rPr>
        <w:t>Research and development expense increased by $2.9 million from $15.4 million for the three months ended September 30, 2022 to $18.2 million for the three months ended September 30, 2023. The increase in research and development expense was primarily attributable to the following:</w:t>
      </w:r>
    </w:p>
    <w:p>
      <w:pPr>
        <w:spacing w:after="0" w:line="16" w:lineRule="exact"/>
        <w:rPr>
          <w:sz w:val="20"/>
          <w:szCs w:val="20"/>
          <w:color w:val="auto"/>
        </w:rPr>
      </w:pPr>
    </w:p>
    <w:p>
      <w:pPr>
        <w:ind w:left="900" w:right="140" w:hanging="383"/>
        <w:spacing w:after="0" w:line="34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$2.0 million of increased external research and development costs, primarily due to the advancement of REACH as we completed enrollment in September 2023, partially offset by decreased costs for pociredir as a result of the clinical hold, which was lifted in August 2023; and</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$0.9 million of increased employee compensation costs, including a $0.2 million increase in stock-based compensation expense.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general and administrative expenses for the three months ended September 30, 2023 and 2022:</w:t>
      </w:r>
    </w:p>
    <w:p>
      <w:pPr>
        <w:spacing w:after="0" w:line="200" w:lineRule="exact"/>
        <w:rPr>
          <w:sz w:val="20"/>
          <w:szCs w:val="20"/>
          <w:color w:val="auto"/>
        </w:rPr>
      </w:pPr>
    </w:p>
    <w:p>
      <w:pPr>
        <w:spacing w:after="0" w:line="234"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compensation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6,111</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6,242</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Facility costs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9,961</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9,707</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200" w:firstLine="509"/>
        <w:spacing w:after="0" w:line="342" w:lineRule="auto"/>
        <w:rPr>
          <w:sz w:val="20"/>
          <w:szCs w:val="20"/>
          <w:color w:val="auto"/>
        </w:rPr>
      </w:pPr>
      <w:r>
        <w:rPr>
          <w:rFonts w:ascii="Arial" w:cs="Arial" w:eastAsia="Arial" w:hAnsi="Arial"/>
          <w:sz w:val="16"/>
          <w:szCs w:val="16"/>
          <w:color w:val="auto"/>
        </w:rPr>
        <w:t>General and administrative expenses increased by $0.3 million from $9.7 million for the three months ended September 30, 2022 to $10.0 million for the three months ended September 30, 2023. The increase in general and administrative expenses was primarily attributable to the following:</w:t>
      </w:r>
    </w:p>
    <w:p>
      <w:pPr>
        <w:spacing w:after="0" w:line="16" w:lineRule="exact"/>
        <w:rPr>
          <w:sz w:val="20"/>
          <w:szCs w:val="20"/>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$0.2 million of increased other costs, including increased software costs;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partially offset by $0.1 million of decreased employee compensation costs due to decreased headcount.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Other income, net increased by $2.8 million from $0.6 million for the three months ended September 30, 2022 to $3.4 million for the three months ended September 30, 2023. The increase was primarily attributable to an increased rate of return on our cash, cash equivalents, and marketable securities and an increase in our average cash and investment balance.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p>
      <w:pPr>
        <w:spacing w:after="0" w:line="225"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The following summarizes our results of operations for the nine months ended September 30, 2023 and 2022 along with the changes in those items in dollars:</w:t>
      </w:r>
    </w:p>
    <w:tbl>
      <w:tblPr>
        <w:tblLayout w:type="fixed"/>
        <w:tblInd w:w="1140" w:type="dxa"/>
        <w:tblCellMar>
          <w:top w:w="0" w:type="dxa"/>
          <w:left w:w="0" w:type="dxa"/>
          <w:bottom w:w="0" w:type="dxa"/>
          <w:right w:w="0" w:type="dxa"/>
        </w:tblCellMar>
      </w:tblPr>
      <w:tr>
        <w:trPr>
          <w:trHeight w:val="141"/>
        </w:trPr>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5"/>
          </w:tcPr>
          <w:p>
            <w:pPr>
              <w:jc w:val="right"/>
              <w:ind w:right="681"/>
              <w:spacing w:after="0" w:line="141" w:lineRule="exact"/>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2"/>
                <w:szCs w:val="12"/>
                <w:color w:val="auto"/>
              </w:rPr>
            </w:pPr>
          </w:p>
        </w:tc>
        <w:tc>
          <w:tcPr>
            <w:tcW w:w="940" w:type="dxa"/>
            <w:vAlign w:val="bottom"/>
            <w:gridSpan w:val="2"/>
            <w:vMerge w:val="restart"/>
          </w:tcPr>
          <w:p>
            <w:pPr>
              <w:jc w:val="right"/>
              <w:ind w:right="3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5,657</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52,802</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58,216</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(5,414 )</w:t>
            </w:r>
          </w:p>
        </w:tc>
        <w:tc>
          <w:tcPr>
            <w:tcW w:w="0" w:type="dxa"/>
            <w:vAlign w:val="bottom"/>
          </w:tcPr>
          <w:p>
            <w:pPr>
              <w:spacing w:after="0"/>
              <w:rPr>
                <w:sz w:val="1"/>
                <w:szCs w:val="1"/>
                <w:color w:val="auto"/>
              </w:rPr>
            </w:pPr>
          </w:p>
        </w:tc>
      </w:tr>
      <w:tr>
        <w:trPr>
          <w:trHeight w:val="237"/>
        </w:trPr>
        <w:tc>
          <w:tcPr>
            <w:tcW w:w="5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31,804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31,564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Restructuring 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84,606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90,245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(5,639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(82,672</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(84,588</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(72,579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(83,736</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-668020</wp:posOffset>
            </wp:positionV>
            <wp:extent cx="60325"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-668020</wp:posOffset>
            </wp:positionV>
            <wp:extent cx="51435"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Collaboration revenue decreased by $3.7 million from $5.7 million for the nine months ended September 30, 2022 to $1.9 million for the nine months ended September 30, 2023.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nine months ended September 30, 2023 and 2022, we recognized zero and $1.0 million, respectively, of collaboration revenue under the Acceleron collaboration agreement and $1.9 million and $4.7 million, respectively, of collaboration revenue under the MyoKardia collaboration agreement. The Acceleron collaboration agreement terminated effective October 1, 2022.</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nine months ended September 30, 2023 and 2022:</w:t>
      </w:r>
    </w:p>
    <w:p>
      <w:pPr>
        <w:spacing w:after="0" w:line="32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3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30,343</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Employee compensation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15,049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15,880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(831 )</w:t>
            </w:r>
          </w:p>
        </w:tc>
        <w:tc>
          <w:tcPr>
            <w:tcW w:w="0" w:type="dxa"/>
            <w:vAlign w:val="bottom"/>
          </w:tcPr>
          <w:p>
            <w:pPr>
              <w:spacing w:after="0"/>
              <w:rPr>
                <w:sz w:val="1"/>
                <w:szCs w:val="1"/>
                <w:color w:val="auto"/>
              </w:rPr>
            </w:pP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Laboratory supplies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(956 )</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Facility costs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(669 )</w:t>
            </w: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52,802</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58,216</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xml:space="preserve">(5,414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-187960</wp:posOffset>
            </wp:positionV>
            <wp:extent cx="6032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-187960</wp:posOffset>
            </wp:positionV>
            <wp:extent cx="51435"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Research and development expense decreased by $5.4 million from $58.2 million for the nine months ended September 30, 2022 to $52.8 million for the nine months ended September 30, 2023. The decrease in research and development expense was primarily attributable to the following:</w:t>
      </w:r>
    </w:p>
    <w:p>
      <w:pPr>
        <w:spacing w:after="0" w:line="16" w:lineRule="exact"/>
        <w:rPr>
          <w:sz w:val="20"/>
          <w:szCs w:val="20"/>
          <w:color w:val="auto"/>
        </w:rPr>
      </w:pPr>
    </w:p>
    <w:p>
      <w:pPr>
        <w:ind w:left="900" w:hanging="383"/>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$2.9 million of decreased external research and development costs, primarily associated with decreased costs for pociredir as a result of the clinical hold from February to August 2023, and achievement of a $5.0 million milestone due to GSK upon initiation of REACH in the second quarter of 2022, partially offset by increased costs associated with the advancement of REACH as we completed enrollment in September 2023;</w:t>
      </w:r>
    </w:p>
    <w:p>
      <w:pPr>
        <w:spacing w:after="0" w:line="78"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 million in decreased laboratory supplies costs;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$0.8 million in decreased employee compensation costs due to decreased headcount;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$0.7 million in decreased facilities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general and administrative expenses for the nine months ended September 30, 2023 and 2022:</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19,088</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8,334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(2,010 )</w:t>
            </w:r>
          </w:p>
        </w:tc>
        <w:tc>
          <w:tcPr>
            <w:tcW w:w="0" w:type="dxa"/>
            <w:vAlign w:val="bottom"/>
          </w:tcPr>
          <w:p>
            <w:pPr>
              <w:spacing w:after="0"/>
              <w:rPr>
                <w:sz w:val="1"/>
                <w:szCs w:val="1"/>
                <w:color w:val="auto"/>
              </w:rPr>
            </w:pP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Facility costs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and administrative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31,804</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31,564</w:t>
            </w: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-25400</wp:posOffset>
            </wp:positionV>
            <wp:extent cx="603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General and administrative expenses increased by $0.2 million from $31.6 million for the nine months ended September 30, 2022 to $31.8 million for the nine months ended September 30, 2023. The increase in general and administrative expenses was primarily attributable to the following:</w:t>
      </w:r>
    </w:p>
    <w:p>
      <w:pPr>
        <w:spacing w:after="0" w:line="16" w:lineRule="exact"/>
        <w:rPr>
          <w:sz w:val="20"/>
          <w:szCs w:val="20"/>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 million of increased employee compensation costs, including a $1.4 million increase in stock-based compensation expense;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$0.4 million of increased facility-related costs;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$0.5 million of increased other costs;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partially offset by $2.0 million of decreased professional services costs, primarily due to decreased consulting and insurance costs.</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Other income, net increased by $9.2 million from $0.9 million for the nine months ended September 30, 2022 to $10.1 million for the nine months ended September 30, 2023. The increase was primarily attributable to an increased rate of return on our cash, cash equivalents, and marketable securities and an increase in our average cash and investment balance.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September 30, 2023, we have funded our operations primarily with aggregate gross proceeds of $712.5 million from the sale of shares of our capital stock and from upfront payments received under our collaboration and license agreements. As of September 30, 2023, we had cash, cash equivalents, and marketable securities of $257.1 million.</w:t>
      </w:r>
    </w:p>
    <w:p>
      <w:pPr>
        <w:spacing w:after="0" w:line="192" w:lineRule="exact"/>
        <w:rPr>
          <w:sz w:val="20"/>
          <w:szCs w:val="20"/>
          <w:color w:val="auto"/>
        </w:rPr>
      </w:pPr>
    </w:p>
    <w:p>
      <w:pPr>
        <w:ind w:right="220" w:firstLine="509"/>
        <w:spacing w:after="0" w:line="342" w:lineRule="auto"/>
        <w:rPr>
          <w:sz w:val="20"/>
          <w:szCs w:val="20"/>
          <w:color w:val="auto"/>
        </w:rPr>
      </w:pPr>
      <w:r>
        <w:rPr>
          <w:rFonts w:ascii="Arial" w:cs="Arial" w:eastAsia="Arial" w:hAnsi="Arial"/>
          <w:sz w:val="16"/>
          <w:szCs w:val="16"/>
          <w:color w:val="auto"/>
        </w:rPr>
        <w:t>In January 2023, we completed a public offering of our common stock and issued and sold 9,615,384 shares of common stock at a public offering price of $13.00 per share, resulting in net proceeds of $117.3 million after deducting underwriting discounts and commissions and offering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three months ended September 30, 2023 and 2022:</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4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4"/>
                <w:szCs w:val="14"/>
                <w:color w:val="auto"/>
              </w:rPr>
            </w:pPr>
          </w:p>
        </w:tc>
      </w:tr>
      <w:tr>
        <w:trPr>
          <w:trHeight w:val="237"/>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(67,807 )</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(77,354 )</w:t>
            </w:r>
          </w:p>
        </w:tc>
        <w:tc>
          <w:tcPr>
            <w:tcW w:w="20" w:type="dxa"/>
            <w:vAlign w:val="bottom"/>
          </w:tcPr>
          <w:p>
            <w:pPr>
              <w:spacing w:after="0"/>
              <w:rPr>
                <w:sz w:val="20"/>
                <w:szCs w:val="20"/>
                <w:color w:val="auto"/>
              </w:rPr>
            </w:pPr>
          </w:p>
        </w:tc>
      </w:tr>
      <w:tr>
        <w:trPr>
          <w:trHeight w:val="237"/>
        </w:trPr>
        <w:tc>
          <w:tcPr>
            <w:tcW w:w="54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(55,046 )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48,775</w:t>
            </w:r>
          </w:p>
        </w:tc>
        <w:tc>
          <w:tcPr>
            <w:tcW w:w="20" w:type="dxa"/>
            <w:vAlign w:val="bottom"/>
          </w:tcPr>
          <w:p>
            <w:pPr>
              <w:spacing w:after="0"/>
              <w:rPr>
                <w:sz w:val="20"/>
                <w:szCs w:val="20"/>
                <w:color w:val="auto"/>
              </w:rPr>
            </w:pPr>
          </w:p>
        </w:tc>
      </w:tr>
      <w:tr>
        <w:trPr>
          <w:trHeight w:val="243"/>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117,835</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84,105</w:t>
            </w:r>
          </w:p>
        </w:tc>
        <w:tc>
          <w:tcPr>
            <w:tcW w:w="20" w:type="dxa"/>
            <w:vAlign w:val="bottom"/>
          </w:tcPr>
          <w:p>
            <w:pPr>
              <w:spacing w:after="0"/>
              <w:rPr>
                <w:sz w:val="21"/>
                <w:szCs w:val="2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w w:val="96"/>
              </w:rPr>
              <w:t>Net (decrease) increase in cash, cash equivalents, and restricted 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(5,018 )</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55,526</w:t>
            </w:r>
          </w:p>
        </w:tc>
        <w:tc>
          <w:tcPr>
            <w:tcW w:w="2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-187960</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Net cash used in operating activities was $67.8 million during the nine months ended September 30, 2023 compared to $77.4 million during the nine months ended September 30, 2022. The decrease in net cash used in operating activities of $9.6 million was primarily due to a decrease in net loss, including as a result of decreased external research and development costs as a result of the clinical hold for pociredir, which was lifted in August 2023, and increased interest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Net cash used in investing activities was $55.0 million during the nine months ended September 30, 2023 compared to net cash provided by investing activities of $48.8 million during the nine months ended September 30, 2022. The increase in net cash used in investing activities of $103.8 million was primarily due to net purchases of marketable securities during the nine months ended September 30, 2023, as compared to net maturities of marketable securities during the nine months ended September 30,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Net cash provided by financing activities was $117.8 million during the nine months ended September 30, 2023 compared to net cash provided by financing activities of $84.1 million during the nine months ended September 30, 2022. Net cash provided by financing activities during the nine months ended September 30, 2023 primarily consisted of net proceeds of $117.3 million from the January 2023 public offering of our common stock. Net cash provided by financing activities during the nine months ended September 30, 2022 primarily consisted of net proceeds of $80.8 million from the August 2022 completion of the public offering of our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w:t>
      </w:r>
    </w:p>
    <w:p>
      <w:pPr>
        <w:spacing w:after="0" w:line="187"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September 30, 2023, will enable us to fund our operating expenses and capital expenditure requirements into 2026. However, we have based this estimate on assumptions that may prove to be wrong and we could exhaust our capital resources sooner than we expect.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costs and results of our clinical trials of losmapimod and pociredir;</w:t>
      </w:r>
    </w:p>
    <w:p>
      <w:pPr>
        <w:spacing w:after="0" w:line="117" w:lineRule="exact"/>
        <w:rPr>
          <w:rFonts w:ascii="Arial" w:cs="Arial" w:eastAsia="Arial" w:hAnsi="Arial"/>
          <w:sz w:val="18"/>
          <w:szCs w:val="18"/>
          <w:color w:val="auto"/>
        </w:rPr>
      </w:pPr>
    </w:p>
    <w:p>
      <w:pPr>
        <w:jc w:val="both"/>
        <w:ind w:left="900" w:right="560" w:hanging="383"/>
        <w:spacing w:after="0" w:line="263"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recent license agreement with CAMP4;</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00" w:right="300" w:hanging="38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our collaboration with MyoKardia;</w:t>
      </w:r>
    </w:p>
    <w:p>
      <w:pPr>
        <w:spacing w:after="0" w:line="117" w:lineRule="exact"/>
        <w:rPr>
          <w:rFonts w:ascii="Arial" w:cs="Arial" w:eastAsia="Arial" w:hAnsi="Arial"/>
          <w:sz w:val="18"/>
          <w:szCs w:val="18"/>
          <w:color w:val="auto"/>
        </w:rPr>
      </w:pPr>
    </w:p>
    <w:p>
      <w:pPr>
        <w:ind w:left="900" w:right="660" w:hanging="38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00" w:right="820" w:hanging="38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4"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60"/>
        <w:spacing w:after="0" w:line="277" w:lineRule="auto"/>
        <w:rPr>
          <w:sz w:val="20"/>
          <w:szCs w:val="20"/>
          <w:color w:val="auto"/>
        </w:rPr>
      </w:pPr>
      <w:r>
        <w:rPr>
          <w:rFonts w:ascii="Arial" w:cs="Arial" w:eastAsia="Arial" w:hAnsi="Arial"/>
          <w:sz w:val="18"/>
          <w:szCs w:val="18"/>
          <w:color w:val="auto"/>
        </w:rPr>
        <w:t>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September 30, 2023, there were no material changes to our critical accounting policies from those described in our Annual Report on Form 10-K filed with the SEC on March 9, 2023.</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Our management, with the participation of our Chief Executive Officer (our principal executive officer) and our Chief Financial Officer (our principal financial officer), evaluated the effectiveness of our disclosure controls and procedures as of September 30, 2023.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2023, our Chief Executive Officer and our Chief Financial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 xml:space="preserve">On April 28, 2023, a class action complaint, </w:t>
      </w:r>
      <w:r>
        <w:rPr>
          <w:rFonts w:ascii="Arial" w:cs="Arial" w:eastAsia="Arial" w:hAnsi="Arial"/>
          <w:sz w:val="17"/>
          <w:szCs w:val="17"/>
          <w:i w:val="1"/>
          <w:iCs w:val="1"/>
          <w:color w:val="auto"/>
        </w:rPr>
        <w:t>Celano v. Fulcrum Therapeutics, Inc., et al</w:t>
      </w:r>
      <w:r>
        <w:rPr>
          <w:rFonts w:ascii="Arial" w:cs="Arial" w:eastAsia="Arial" w:hAnsi="Arial"/>
          <w:sz w:val="17"/>
          <w:szCs w:val="17"/>
          <w:color w:val="auto"/>
        </w:rPr>
        <w:t>., Case No. 1:23-cv-11125-IT, was filed in the United States District Court for the District of New Jersey against our company and current and former officers, or the Securities Action. On May 19, 2023, the Securities Action was transferred to the United States District Court for the District of Massachusetts. On July 31, 2023, the court appointed a lead plaintiff, who filed an amended complaint on September 29, 2023. The Securities Action alleges violations of Section 10(b) of the Exchange Act and Rule 10b-5 promulgated thereunder against all defendants and control person violations of Section 20(a) against the individuals, related to our February 2023 announcement that the FDA issued a clinical hold regarding the IND application for pociredir for the potential treatment of SCD.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We intend to defend vigorously against this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70"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Since inception, we have incurred significant operating losses. Our net loss was $109.9 million for the year ended December 31, 2022 and $72.6 million for the nine months ended September 30, 2023. As of September 30, 2023, we had an accumulated deficit of $484.9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69" w:lineRule="exact"/>
        <w:rPr>
          <w:sz w:val="20"/>
          <w:szCs w:val="20"/>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our clinical development of losmapimod and pociredir;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clinical-stage product candidates through later stage trials, such as REACH, the Phase 3 clinical trial of losmapimod for the treatment of FSHD;</w:t>
      </w:r>
    </w:p>
    <w:p>
      <w:pPr>
        <w:spacing w:after="0" w:line="62"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the discovery of drug targets for other genetically-defined rare diseases and the subsequent development of any resulting product candidates, including for DBA under our recent license agreement with CAMP4;</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00" w:right="300" w:hanging="383"/>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acquire or in-license products, product candidates, technologies and/or data referencing rights , such as our recent agreement with CAMP4;</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900" w:right="380" w:hanging="38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milestone payments to affiliates of GSK, under our right of reference and license agreement with GSK upon the achievement of specified clinical or regulatory milestones, or to CAMP4 under our license agreement with CAMP4;</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00" w:right="220" w:hanging="38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8" w:lineRule="exact"/>
        <w:rPr>
          <w:sz w:val="20"/>
          <w:szCs w:val="20"/>
          <w:color w:val="auto"/>
        </w:rPr>
      </w:pPr>
    </w:p>
    <w:p>
      <w:pPr>
        <w:ind w:left="900" w:right="620" w:hanging="38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required by the FDA, the EMA, or other regulatory authorities to perform trials or studies in addition to, or different than, those expected;</w:t>
      </w:r>
    </w:p>
    <w:p>
      <w:pPr>
        <w:spacing w:after="0" w:line="62" w:lineRule="exact"/>
        <w:rPr>
          <w:rFonts w:ascii="Arial" w:cs="Arial" w:eastAsia="Arial" w:hAnsi="Arial"/>
          <w:sz w:val="18"/>
          <w:szCs w:val="18"/>
          <w:color w:val="auto"/>
        </w:rPr>
      </w:pPr>
    </w:p>
    <w:p>
      <w:pPr>
        <w:ind w:left="900" w:right="80" w:hanging="38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such as the clinical hold imposed by the FDA on the pociredir IND, which was lifted in August 2023; or</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23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expect to devote substantial financial resources to our ongoing and planned activities, particularly as we continue our ongoing and planned clinical trials of losmapimod and pociredir,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900" w:right="60" w:hanging="383"/>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progress, costs and results of our ongoing clinical trials of losmapimod, including REACH, the Phase 3 clinical trial of losmapimod for the treatment of FSHD, which completed enrollment in September 2023, and our Phase 1b clinical trial of pociredir in SCD;</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planned clinical trials;</w:t>
      </w:r>
    </w:p>
    <w:p>
      <w:pPr>
        <w:spacing w:after="0" w:line="117"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00" w:right="22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our collaboration with MyoKardia or under our recent license agreement with CAMP4;</w:t>
      </w:r>
    </w:p>
    <w:p>
      <w:pPr>
        <w:spacing w:after="0" w:line="117" w:lineRule="exact"/>
        <w:rPr>
          <w:rFonts w:ascii="Arial" w:cs="Arial" w:eastAsia="Arial" w:hAnsi="Arial"/>
          <w:sz w:val="18"/>
          <w:szCs w:val="18"/>
          <w:color w:val="auto"/>
        </w:rPr>
      </w:pPr>
    </w:p>
    <w:p>
      <w:pPr>
        <w:ind w:left="900" w:right="64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00" w:right="80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As of September 30, 2023, we had cash, cash equivalents, and marketable securities of approximately $257.1 million. We believe that our cash, cash equivalents, and marketable securities as of September 30, 2023 will enable us to fund our operating expenses and capital expenditure requirements into 2026.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71"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current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 We may also choose to further realign our operations to achieve additional operational efficiencies beyond the strategic realignment commenced in August 2022.</w:t>
      </w:r>
    </w:p>
    <w:p>
      <w:pPr>
        <w:spacing w:after="0" w:line="2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4"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We have in the past relied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88"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May 2022, we established a new ATM offering program to sell shares of our common stock having an aggregate offering price of up to $50.0 million from time to time. In January 2023, immediately prior to commencing our underwritten public offering of common stock, we suspended our use of and terminated the prospectus supplement related to the ATM offering program. We may not make any sales of securities pursuant to the ATM offering program unless and until we file a new prospectus supplement. However,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120"/>
        <w:spacing w:after="0" w:line="263" w:lineRule="auto"/>
        <w:rPr>
          <w:sz w:val="20"/>
          <w:szCs w:val="20"/>
          <w:color w:val="auto"/>
        </w:rPr>
      </w:pPr>
      <w:r>
        <w:rPr>
          <w:rFonts w:ascii="Arial" w:cs="Arial" w:eastAsia="Arial" w:hAnsi="Arial"/>
          <w:sz w:val="18"/>
          <w:szCs w:val="18"/>
          <w:color w:val="auto"/>
        </w:rPr>
        <w:t>given the overall volatility in the capital markets, even if a new prospectus supplement is filed,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84"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6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26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7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9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Our business was negatively impacted by the COVID-19 pandemic and may in the future be impacted by any future pandemics. In addition, the effects of this pandemic may continue to, and any future pandemics may, adversely impact economies worldwide, which could result in adverse effects on our business and operations.</w:t>
      </w:r>
    </w:p>
    <w:p>
      <w:pPr>
        <w:spacing w:after="0" w:line="184"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experienced enrollment delays in our ReDUX4 clinical trial due to the COVID-19 pandemic as the clinical trial sites for our ReDUX4 clinical trial temporarily postponed trial-related activities. We also saw temporary disruptions in other business activities due to a temporary reduction in workforce presence at our Cambridge research facility, and COVID-19 had a significant impact on economies worldwide. Future pandemics may arise, and they, like COVID-19, could impact our company, our CMOs and contract research organizations, or CROs, creating disruptions that affect our ability to initiate and complete preclinical studies or clinical trials, disrupt our supply chain for our research and development activities, and disrupt any then planned or ongoing clinical trials for any number of reasons. Any future pandemics could similarly impact patient recruitment or retention for clinical trials, or result in resources being redirected in a way that adversely impacts our ability to progress regulatory approvals and protect our intellectual property. In addition, as with COVID-19 pandemic, we may face impediments to regulatory meetings and approvals due to recommended safety measures intended to limit in-person interactions in any future pandemic.</w:t>
      </w:r>
    </w:p>
    <w:p>
      <w:pPr>
        <w:spacing w:after="0" w:line="181"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The COVID-19 pandemic caused significant disruptions in the financial markets and any future pandemic could similarly cause such disruptions, which could impact our ability to raise additional funds through public offerings and may also impact the volatility of our stock price and trading in our stock. We cannot be certain what the overall impact of any future pandemic will be on our business. The extent of the impact of COVID-19 and any future pandemic on our business, financial condition, results of operations and prospects will depend on future developments that are uncertain.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225"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under Section 174 of the U.S. Internal Revenue Code of 1986, as amended, or the Code, in taxable years beginning after December 31, 2021, expenses that are incurred for research and development in the United States will be capitalized and amortized,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70"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As of December 31, 2022, we had federal and state net operating loss carryforwards of $275.1 million and $272.6 million, respectively, which begin to expire in 2036. Approximately $251.5 million of the federal net operating losses can be carried forward indefinitely. As of December 31, 2022, we also had federal orphan drug credits of $14.6 million, which begin to expire in 2040. As of December 31, 2022, we also had federal and state research and development tax credit carryforwards of $6.9 million and $4.0 million, respectively, which begin to expire in 2035 and 2030, respectively. These net operating loss and tax credit carryforwards could expire unused and be unavailable to offset future income tax liabilities.</w:t>
      </w:r>
    </w:p>
    <w:p>
      <w:pPr>
        <w:spacing w:after="0" w:line="6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of the Code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77"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3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84"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Signature Bank and Silvergate Capital Corp.) were placed into receivership, followed by First Republic Bank in May 2023. Although the Federal Deposit Insurance Corporation, or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right="460"/>
        <w:spacing w:after="0" w:line="263" w:lineRule="auto"/>
        <w:rPr>
          <w:sz w:val="20"/>
          <w:szCs w:val="20"/>
          <w:color w:val="auto"/>
        </w:rPr>
      </w:pPr>
      <w:r>
        <w:rPr>
          <w:rFonts w:ascii="Arial" w:cs="Arial" w:eastAsia="Arial" w:hAnsi="Arial"/>
          <w:sz w:val="18"/>
          <w:szCs w:val="18"/>
          <w:color w:val="auto"/>
        </w:rPr>
        <w:t>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early in our development efforts, and we only have two clinical-stage product candidates. If we are unable to commercialize our product candidates or experience significant delays in doing so, our business will be materially harmed.</w:t>
      </w:r>
    </w:p>
    <w:p>
      <w:pPr>
        <w:spacing w:after="0" w:line="62"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We are early in our development efforts, and we have advanced only two product candidates into clinical trials, losmapimod for the treatment of FSHD, and pociredir for the treatment of SCD (which was on clinical hold between February and August 2023).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our product candidates. The success of our product candidates will depend on several factors, including the following:</w:t>
      </w:r>
    </w:p>
    <w:p>
      <w:pPr>
        <w:spacing w:after="0" w:line="70" w:lineRule="exact"/>
        <w:rPr>
          <w:sz w:val="20"/>
          <w:szCs w:val="20"/>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allowance by the FDA or other regulatory agencies of the INDs, clinical trial applications, or CTAs, or other regulatory filings for losmapimod, pociredir and future product candidates;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product candidates.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including as a result of our collaboration with MyoKardia,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right="4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jc w:val="both"/>
        <w:ind w:right="220" w:firstLine="509"/>
        <w:spacing w:after="0" w:line="286" w:lineRule="auto"/>
        <w:rPr>
          <w:sz w:val="20"/>
          <w:szCs w:val="20"/>
          <w:color w:val="auto"/>
        </w:rPr>
      </w:pPr>
      <w:r>
        <w:rPr>
          <w:rFonts w:ascii="Arial" w:cs="Arial" w:eastAsia="Arial" w:hAnsi="Arial"/>
          <w:sz w:val="16"/>
          <w:szCs w:val="16"/>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Clinical trials may fail to demonstrate that our product candidates are safe for humans and effective for indicated uses. For example, pociredir, our clinical trial stage candidate to treat SCD, is an embryonic ectoderm development, or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4"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7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clinical trial of pociredir in SCD to address the clinical hold imposed by the FDA, and there can be no certainty as to whether we will be successful in completing the clinical trial with its revised design.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7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As described in Item 1 “Business—Licenses and Collaborations--Right of Reference and License Agreement with GlaxoSmithKline” in our Annual Report on Form 10-K for the year ended December 31, 2022, or the 2022 Annual Report,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Accordingly, the safety data generated from GSK’s clinical trials of losmapimod may not be predictive or indicative of the results of our clinical trials. Similarly, while we believe the safety data from GSK’s clinical trials may, in part, support the safety database for losmapimod, GSK evaluated a limited number of subjects at a dose of 15 mg twice daily.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2" w:name="page43"/>
    <w:bookmarkEnd w:id="42"/>
    <w:p>
      <w:pPr>
        <w:ind w:right="140" w:firstLine="50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900" w:right="16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00" w:right="74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900" w:right="32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900" w:right="340" w:hanging="383"/>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900" w:right="80" w:hanging="383"/>
        <w:spacing w:after="0" w:line="263"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5" w:lineRule="exact"/>
        <w:rPr>
          <w:rFonts w:ascii="Arial" w:cs="Arial" w:eastAsia="Arial" w:hAnsi="Arial"/>
          <w:sz w:val="18"/>
          <w:szCs w:val="18"/>
          <w:color w:val="auto"/>
        </w:rPr>
      </w:pPr>
    </w:p>
    <w:p>
      <w:pPr>
        <w:ind w:left="900" w:right="80" w:hanging="383"/>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90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900" w:right="380" w:hanging="383"/>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900" w:right="20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900" w:right="64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62" w:lineRule="exact"/>
        <w:rPr>
          <w:rFonts w:ascii="Arial" w:cs="Arial" w:eastAsia="Arial" w:hAnsi="Arial"/>
          <w:sz w:val="18"/>
          <w:szCs w:val="18"/>
          <w:color w:val="auto"/>
        </w:rPr>
      </w:pPr>
    </w:p>
    <w:p>
      <w:pPr>
        <w:ind w:left="900" w:right="300" w:hanging="383"/>
        <w:spacing w:after="0" w:line="263"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such as the Russian invasion of Ukraine or recent hostilities in Israel and Gaza Strip, or instability from an outbreak of pandemic or contagious disease in or around the countries in which we conduct our clinical trials, could delay the commencement or rate of completion of our clinical trials; and</w:t>
      </w:r>
    </w:p>
    <w:p>
      <w:pPr>
        <w:spacing w:after="0" w:line="75"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For example, in response to the COVID-19 pandemic, the clinical trial sites for our ReDUX4 trial temporarily postponed trial-related activities, impacting our clinical trial execution plans, and we cannot be certain that we will not face other postponements or similar difficulties in the future. Further, in February 2023, the FDA imposed a clinical hold on our IND for pociredir in SCD, which halted our clinical trial until the FDA lifted the clinical hold in August 2023.</w:t>
      </w:r>
    </w:p>
    <w:p>
      <w:pPr>
        <w:spacing w:after="0" w:line="79"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3" w:name="page44"/>
    <w:bookmarkEnd w:id="43"/>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RWS, which has not been proven for registration to our knowledge. The FDA and other regulatory authorities have indicated support for RWS as a primary endpoint with additional and appropriate supportive data from secondary endpoints. However, such regulatory authorities may not consider the endpoints of our clinical trial(s) to provide clinically meaningful results, even where we believe such results are clinically meaningful. For example, while we have met with regulators to discuss the REACH trial design and registration strategy for losmapimod for FSHD, including our proposed endpoints for REACH, regulators may require additional data to support the RWS functional primary endpoint for approval of losmapimod for FSHD.</w:t>
      </w:r>
    </w:p>
    <w:p>
      <w:pPr>
        <w:spacing w:after="0" w:line="7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Identifying and qualifying patients to participate in and complete clinical trials for our product candidates is critical to our success. Successful and timely completion of clinical trials will require that we enroll a sufficient number of patients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We revised the design of our clinical trial of pociredir in SCD to address the clinical hold imposed by the FDA, and there can be no certainty as to whether we will be successful in completing the clinical trial with its revised design, which include updated inclusion and exclusion criteria and thus a narrower set of eligible patients. Because of our primary focus on genetically-defined rare diseases, we may have difficulty enrolling a sufficient number of eligible patients.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900" w:right="380" w:hanging="383"/>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 or medical resonance imaging (MRI), which requires the use of specialized equipment;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62"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For example, in February 2023, the FDA placed our IND for pociredir on clinical hold based on hematological malignancies observed in nonclinical toxicology studies.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 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73"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10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6" w:lineRule="exact"/>
        <w:rPr>
          <w:sz w:val="20"/>
          <w:szCs w:val="20"/>
          <w:color w:val="auto"/>
        </w:rPr>
      </w:pPr>
    </w:p>
    <w:p>
      <w:pPr>
        <w:ind w:right="320" w:firstLine="509"/>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are conducting clinical trials of losmapimod in patients with FSHD in Europe, the United Kingdom, and Canada and currently plan to conduct additional clinical trials for our product candidates at sites outside the United States, and the FDA may not accept data from trials conducted in such locations.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are currently conducting a Phase 3 clinical trial, an open label extension of our Phase 2b clinical trial, and an open label extension of our Phase 2 open label clinical trial of losmapimod in patients with FSHD in Europe, the United Kingdom,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7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900" w:hanging="38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38"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7" w:name="page48"/>
    <w:bookmarkEnd w:id="47"/>
    <w:p>
      <w:pPr>
        <w:ind w:right="100" w:firstLine="509"/>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83"/>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900" w:right="300" w:hanging="383"/>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0"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For example, we are aware of several product candidates in clinical development that could be competitive with product candidates that we may successfully develop and commercialize. See Item 1 “Business — Competition” in the 2022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jc w:val="both"/>
        <w:ind w:firstLine="509"/>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70"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7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6"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2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7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95"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9" w:name="page50"/>
    <w:bookmarkEnd w:id="49"/>
    <w:p>
      <w:pPr>
        <w:ind w:right="60" w:firstLine="509"/>
        <w:spacing w:after="0" w:line="269" w:lineRule="auto"/>
        <w:rPr>
          <w:sz w:val="20"/>
          <w:szCs w:val="20"/>
          <w:color w:val="auto"/>
        </w:rPr>
      </w:pPr>
      <w:r>
        <w:rPr>
          <w:rFonts w:ascii="Arial" w:cs="Arial" w:eastAsia="Arial" w:hAnsi="Arial"/>
          <w:sz w:val="17"/>
          <w:szCs w:val="17"/>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71"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63"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38"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We do not have any manufacturing facilities. Although we believe we have obtained sufficient losmapimod tablets from GSK to complete our ongoing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planned Phase 3 registrational trial, we cannot be sure we have correctly estimated our drug product and API requirements or that such drug product or API will not expire before we want to use it. In addition, although we believe we have obtained sufficient quantities of pociredir from a CMO for the completion of our Phase 1b clinical trial for SCD, we cannot be sure we have correctly estimated our drug product requirements, which could delay, prevent or impair our development efforts.</w:t>
      </w:r>
    </w:p>
    <w:p>
      <w:pPr>
        <w:spacing w:after="0" w:line="5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expect to rely on third parties for the manufacture of pociredir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0"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6"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49" w:lineRule="exact"/>
        <w:rPr>
          <w:sz w:val="20"/>
          <w:szCs w:val="20"/>
          <w:color w:val="auto"/>
        </w:rPr>
      </w:pPr>
    </w:p>
    <w:p>
      <w:pPr>
        <w:ind w:right="460" w:firstLine="50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2022 Annual Report.</w:t>
      </w:r>
    </w:p>
    <w:p>
      <w:pPr>
        <w:spacing w:after="0" w:line="7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8"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64"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1" w:name="page52"/>
    <w:bookmarkEnd w:id="51"/>
    <w:p>
      <w:pPr>
        <w:ind w:right="14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900" w:right="320" w:hanging="383"/>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economies and markets, which could include localized disputes that have a broader regional or global impact (such as the Russian invasion of Ukraine or recent hostilities in Israel and Gaza Strip);</w:t>
      </w:r>
    </w:p>
    <w:p>
      <w:pPr>
        <w:spacing w:after="0" w:line="15" w:lineRule="exact"/>
        <w:rPr>
          <w:rFonts w:ascii="Arial" w:cs="Arial" w:eastAsia="Arial" w:hAnsi="Arial"/>
          <w:sz w:val="16"/>
          <w:szCs w:val="16"/>
          <w:color w:val="auto"/>
        </w:rPr>
      </w:pPr>
    </w:p>
    <w:p>
      <w:pPr>
        <w:ind w:left="900" w:right="140" w:hanging="383"/>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U.S. or foreign governments;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3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ind w:right="100" w:firstLine="509"/>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2" w:lineRule="exact"/>
        <w:rPr>
          <w:sz w:val="20"/>
          <w:szCs w:val="20"/>
          <w:color w:val="auto"/>
        </w:rPr>
      </w:pPr>
    </w:p>
    <w:p>
      <w:pPr>
        <w:ind w:right="280" w:firstLine="509"/>
        <w:spacing w:after="0" w:line="257" w:lineRule="auto"/>
        <w:rPr>
          <w:sz w:val="20"/>
          <w:szCs w:val="20"/>
          <w:color w:val="auto"/>
        </w:rPr>
      </w:pPr>
      <w:r>
        <w:rPr>
          <w:rFonts w:ascii="Arial" w:cs="Arial" w:eastAsia="Arial" w:hAnsi="Arial"/>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8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w:t>
      </w:r>
    </w:p>
    <w:p>
      <w:pPr>
        <w:spacing w:after="0" w:line="62"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63"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7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have a collaboration and license agreement with MyoKardia (for certain genetically defined cardiomyopathies). See Item 1 “Business—License Agreements and Collaborations” in the 2022 Annual Report.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5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Collaborations that we enter into, including our collaboration with MyoKardia, may not be successful, and any success will depend heavily on the efforts and activities of such collaborators. Collaborations pose a number of risks, including the following:</w:t>
      </w:r>
    </w:p>
    <w:p>
      <w:pPr>
        <w:spacing w:after="0" w:line="62" w:lineRule="exact"/>
        <w:rPr>
          <w:sz w:val="20"/>
          <w:szCs w:val="20"/>
          <w:color w:val="auto"/>
        </w:rPr>
      </w:pPr>
    </w:p>
    <w:p>
      <w:pPr>
        <w:ind w:left="900" w:right="880" w:hanging="383"/>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900" w:right="240" w:hanging="383"/>
        <w:spacing w:after="0" w:line="263"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900" w:right="80" w:hanging="383"/>
        <w:spacing w:after="0" w:line="286"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ind w:left="900" w:right="600" w:hanging="383"/>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00" w:right="160" w:hanging="383"/>
        <w:spacing w:after="0" w:line="26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900" w:right="560" w:hanging="383"/>
        <w:spacing w:after="0" w:line="26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900" w:hanging="383"/>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900" w:right="16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00" w:right="60" w:hanging="383"/>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900" w:right="120" w:hanging="383"/>
        <w:spacing w:after="0" w:line="26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17"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900" w:right="120" w:hanging="383"/>
        <w:spacing w:after="0" w:line="26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(e.g., termination of our collaboration with Acceleron following its acquisition by Merck), and, if terminated, we could be required to raise additional capital to pursue further development or commercialization of the applicable product candidates.</w:t>
      </w:r>
    </w:p>
    <w:p>
      <w:pPr>
        <w:spacing w:after="0" w:line="76"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8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6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For some of our product candidates, we may decide to collaborate with pharmaceutical or biotechnology companies for the development and potential commercialization of those product candidates. For example,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40"/>
        <w:spacing w:after="0" w:line="269" w:lineRule="auto"/>
        <w:rPr>
          <w:sz w:val="20"/>
          <w:szCs w:val="20"/>
          <w:color w:val="auto"/>
        </w:rPr>
      </w:pPr>
      <w:r>
        <w:rPr>
          <w:rFonts w:ascii="Arial" w:cs="Arial" w:eastAsia="Arial" w:hAnsi="Arial"/>
          <w:sz w:val="17"/>
          <w:szCs w:val="17"/>
          <w:color w:val="auto"/>
        </w:rPr>
        <w:t>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77"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and we had restrictions under our collaboration with Acceleron.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 while we are performing the research activities pursuant to the research plan and for a specified period thereafter.</w:t>
      </w:r>
    </w:p>
    <w:p>
      <w:pPr>
        <w:spacing w:after="0" w:line="58"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6"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4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84"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8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right="20"/>
        <w:spacing w:after="0" w:line="286" w:lineRule="auto"/>
        <w:rPr>
          <w:sz w:val="20"/>
          <w:szCs w:val="20"/>
          <w:color w:val="auto"/>
        </w:rPr>
      </w:pPr>
      <w:r>
        <w:rPr>
          <w:rFonts w:ascii="Arial" w:cs="Arial" w:eastAsia="Arial" w:hAnsi="Arial"/>
          <w:sz w:val="16"/>
          <w:szCs w:val="16"/>
          <w:color w:val="auto"/>
        </w:rPr>
        <w:t>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2022 Annual Report.</w:t>
      </w:r>
    </w:p>
    <w:p>
      <w:pPr>
        <w:spacing w:after="0" w:line="174"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pociredir,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7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have expired and are no longer a barrier to entry for any new uses not covered by our other patents and patent applications.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78"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2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2"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7" w:name="page58"/>
    <w:bookmarkEnd w:id="57"/>
    <w:p>
      <w:pPr>
        <w:ind w:right="40" w:firstLine="509"/>
        <w:spacing w:after="0" w:line="255" w:lineRule="auto"/>
        <w:rPr>
          <w:sz w:val="20"/>
          <w:szCs w:val="20"/>
          <w:color w:val="auto"/>
        </w:rPr>
      </w:pPr>
      <w:r>
        <w:rPr>
          <w:rFonts w:ascii="Arial" w:cs="Arial" w:eastAsia="Arial" w:hAnsi="Arial"/>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2022 Annual Report for additional information regarding patent laws and patent protection.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issued European patents could be subject to the jurisdiction of the UPC.</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right="24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62"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w:t>
      </w:r>
      <w:r>
        <w:rPr>
          <w:rFonts w:ascii="Arial" w:cs="Arial" w:eastAsia="Arial" w:hAnsi="Arial"/>
          <w:sz w:val="16"/>
          <w:szCs w:val="16"/>
          <w:i w:val="1"/>
          <w:iCs w:val="1"/>
          <w:color w:val="auto"/>
        </w:rPr>
        <w:t>e.g.</w:t>
      </w:r>
      <w:r>
        <w:rPr>
          <w:rFonts w:ascii="Arial" w:cs="Arial" w:eastAsia="Arial" w:hAnsi="Arial"/>
          <w:sz w:val="16"/>
          <w:szCs w:val="16"/>
          <w:color w:val="auto"/>
        </w:rPr>
        <w:t>, opposition proceedings). The outcome following legal assertions of invalidity and unenforceability is unpredictable.</w:t>
      </w:r>
    </w:p>
    <w:p>
      <w:pPr>
        <w:spacing w:after="0" w:line="17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9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1"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ind w:right="480"/>
        <w:spacing w:after="0" w:line="342" w:lineRule="auto"/>
        <w:rPr>
          <w:sz w:val="20"/>
          <w:szCs w:val="20"/>
          <w:color w:val="auto"/>
        </w:rPr>
      </w:pPr>
      <w:r>
        <w:rPr>
          <w:rFonts w:ascii="Arial" w:cs="Arial" w:eastAsia="Arial" w:hAnsi="Arial"/>
          <w:sz w:val="16"/>
          <w:szCs w:val="16"/>
          <w:color w:val="auto"/>
        </w:rPr>
        <w:t>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24"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6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76"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We are party to license and funding agreements, such as our agreement with GSK and our recent license agreement with CAMP4,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1" w:name="page62"/>
    <w:bookmarkEnd w:id="61"/>
    <w:p>
      <w:pPr>
        <w:ind w:right="60"/>
        <w:spacing w:after="0" w:line="277" w:lineRule="auto"/>
        <w:rPr>
          <w:sz w:val="20"/>
          <w:szCs w:val="20"/>
          <w:color w:val="auto"/>
        </w:rPr>
      </w:pPr>
      <w:r>
        <w:rPr>
          <w:rFonts w:ascii="Arial" w:cs="Arial" w:eastAsia="Arial" w:hAnsi="Arial"/>
          <w:sz w:val="18"/>
          <w:szCs w:val="18"/>
          <w:color w:val="auto"/>
        </w:rPr>
        <w:t>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0"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280"/>
        <w:spacing w:after="0" w:line="277" w:lineRule="auto"/>
        <w:rPr>
          <w:sz w:val="20"/>
          <w:szCs w:val="20"/>
          <w:color w:val="auto"/>
        </w:rPr>
      </w:pPr>
      <w:r>
        <w:rPr>
          <w:rFonts w:ascii="Arial" w:cs="Arial" w:eastAsia="Arial" w:hAnsi="Arial"/>
          <w:sz w:val="18"/>
          <w:szCs w:val="18"/>
          <w:color w:val="auto"/>
        </w:rPr>
        <w:t>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4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92"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00" w:hanging="38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900" w:right="100" w:hanging="383"/>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ind w:left="900" w:right="100" w:hanging="383"/>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900" w:right="820" w:hanging="383"/>
        <w:spacing w:after="0" w:line="308"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900" w:right="380" w:hanging="383"/>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17" w:lineRule="exact"/>
        <w:rPr>
          <w:rFonts w:ascii="Arial" w:cs="Arial" w:eastAsia="Arial" w:hAnsi="Arial"/>
          <w:sz w:val="18"/>
          <w:szCs w:val="18"/>
          <w:color w:val="auto"/>
        </w:rPr>
      </w:pPr>
    </w:p>
    <w:p>
      <w:pPr>
        <w:ind w:left="900" w:right="420" w:hanging="383"/>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900" w:right="120" w:hanging="383"/>
        <w:spacing w:after="0" w:line="263"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9"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63"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right="60" w:firstLine="509"/>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0"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8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During the COVID-19 public health emergency, a number of companies announced receipt of complete response letters due to the FDA’s inability to complete required inspections for their applications. Regulatory authorities outside the United States may adopt similar restrictions or other policy measures in response to a future pandemic or an outbreak of highly infectious or contagious disease, and may experience delays in their regulatory activities.</w:t>
      </w:r>
    </w:p>
    <w:p>
      <w:pPr>
        <w:spacing w:after="0" w:line="7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62"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Regulatory authorities in some jurisdictions, including the United States and European Union,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76"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drug no longer meets the criteria for orphan drug designation, including if the drug is sufficiently profitable so that market exclusivity is no longer justified. Proposed amendments to European Union regulations regarding orphan medicines are under consideration that could reduce the ten-year marketing exclusivity period to eight to nine years (or even as little as three to five years for well-established medicines). The European Union’s April 2023 draft legislative proposal is under review, including by the European Parliament and European Council but, if implemented in due course, may mean that orphan medicines have reduced marketing exclusivity.</w:t>
      </w:r>
    </w:p>
    <w:p>
      <w:pPr>
        <w:spacing w:after="0" w:line="88"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62"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8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Special 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38"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FDA granted fast track designation to losmapimod for the treatment of FSHD and to pociredir for the treatment of SCD,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 condition, the drug sponsor may apply for FDA fast track designation. The FDA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spacing w:after="0" w:line="259" w:lineRule="auto"/>
        <w:rPr>
          <w:sz w:val="20"/>
          <w:szCs w:val="20"/>
          <w:color w:val="auto"/>
        </w:rPr>
      </w:pPr>
      <w:r>
        <w:rPr>
          <w:rFonts w:ascii="Arial" w:cs="Arial" w:eastAsia="Arial" w:hAnsi="Arial"/>
          <w:sz w:val="18"/>
          <w:szCs w:val="18"/>
          <w:color w:val="auto"/>
        </w:rPr>
        <w:t>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79"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5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8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16"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Arial" w:cs="Arial" w:eastAsia="Arial" w:hAnsi="Arial"/>
          <w:sz w:val="16"/>
          <w:szCs w:val="16"/>
          <w:i w:val="1"/>
          <w:iCs w:val="1"/>
          <w:color w:val="auto"/>
        </w:rPr>
        <w:t>i.e.</w:t>
      </w:r>
      <w:r>
        <w:rPr>
          <w:rFonts w:ascii="Arial" w:cs="Arial" w:eastAsia="Arial" w:hAnsi="Arial"/>
          <w:sz w:val="16"/>
          <w:szCs w:val="16"/>
          <w:color w:val="auto"/>
        </w:rPr>
        <w:t>, an intermediate clinical endpoint).</w:t>
      </w:r>
    </w:p>
    <w:p>
      <w:pPr>
        <w:spacing w:after="0" w:line="49"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9"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60"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9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76" w:lineRule="exact"/>
        <w:rPr>
          <w:sz w:val="20"/>
          <w:szCs w:val="20"/>
          <w:color w:val="auto"/>
        </w:rPr>
      </w:pPr>
    </w:p>
    <w:p>
      <w:pPr>
        <w:ind w:right="340" w:firstLine="509"/>
        <w:spacing w:after="0" w:line="296"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5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8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311" w:lineRule="auto"/>
        <w:rPr>
          <w:sz w:val="20"/>
          <w:szCs w:val="20"/>
          <w:color w:val="auto"/>
        </w:rPr>
      </w:pPr>
      <w:r>
        <w:rPr>
          <w:rFonts w:ascii="Arial" w:cs="Arial" w:eastAsia="Arial" w:hAnsi="Arial"/>
          <w:sz w:val="16"/>
          <w:szCs w:val="16"/>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4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8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2022 Annual Report.</w:t>
      </w:r>
    </w:p>
    <w:p>
      <w:pPr>
        <w:spacing w:after="0" w:line="8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62"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7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United Kingdom’s laws, or UK GDPR, alongside the UK Data Protection Act 2018, and together with the EU GDPR, is referred to as GDPR.</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0"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There may be further divergence in the future, including with regard to administrative burdens.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5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Many other states, including Virginia, Colorado and Connecticut, have implemented privacy legislation similar to the CCPA, and various other U.S. states are either preparing to implement their own regulatory frameworks or are considering similar legislation. A wide range of enforcement agencies at both the state and federal levels can review companies for privacy and data security concerns based on general consumer protection laws. The Federal Trade Commission and state Attorneys General all are aggressive in reviewing privacy and data security protections for consumers. For more information regarding the GDPR, the CCPA and other regulations, see Item 1 “Business –Government Regulation and Product Approvals” in the 2022 Annual Report.</w:t>
      </w:r>
    </w:p>
    <w:p>
      <w:pPr>
        <w:spacing w:after="0" w:line="7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Given the breadth and depth of changes in privacy, data protection and consumer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store, process or transfer personal data on our behalf. Many of these laws differ from each other in significant ways and may be interpreted and applied in a manner that is inconsistent from one jurisdiction to another, thus complicating compliance efforts.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6"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2022 Annual Report.</w:t>
      </w:r>
    </w:p>
    <w:p>
      <w:pPr>
        <w:spacing w:after="0" w:line="58"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In August 2022 the Inflation Reduction Act of 2022 was passed, which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spacing w:after="0" w:line="257" w:lineRule="auto"/>
        <w:rPr>
          <w:sz w:val="20"/>
          <w:szCs w:val="20"/>
          <w:color w:val="auto"/>
        </w:rPr>
      </w:pPr>
      <w:r>
        <w:rPr>
          <w:rFonts w:ascii="Arial" w:cs="Arial" w:eastAsia="Arial" w:hAnsi="Arial"/>
          <w:sz w:val="18"/>
          <w:szCs w:val="18"/>
          <w:color w:val="auto"/>
        </w:rPr>
        <w:t>excise tax for offering a price that is not equal to or less than the price negotiated under the law or for taking price increases that exceed inflation. The legislation also requires manufacturers to pay rebates for drugs in Medicare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Inflation Reduction Act of 2022 on our business and the healthcare industry in general is not yet known.</w:t>
      </w:r>
    </w:p>
    <w:p>
      <w:pPr>
        <w:spacing w:after="0" w:line="8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multiple executive orders have been issued that seek to reduce prescription drug costs. In February 2023, HHS also issued a proposal in response to an October 2022 executive order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current administration may reverse or otherwise change these measures, both the current administration and Congress have indicated that they will continue to seek new legislative measures to control drug costs.</w:t>
      </w:r>
    </w:p>
    <w:p>
      <w:pPr>
        <w:spacing w:after="0" w:line="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62"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73" w:lineRule="exact"/>
        <w:rPr>
          <w:sz w:val="20"/>
          <w:szCs w:val="20"/>
          <w:color w:val="auto"/>
        </w:rPr>
      </w:pPr>
    </w:p>
    <w:p>
      <w:pPr>
        <w:jc w:val="both"/>
        <w:ind w:right="160" w:firstLine="509"/>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9"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7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ind w:right="60"/>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3"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6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85"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ind w:right="160"/>
        <w:spacing w:after="0" w:line="342" w:lineRule="auto"/>
        <w:rPr>
          <w:sz w:val="20"/>
          <w:szCs w:val="20"/>
          <w:color w:val="auto"/>
        </w:rPr>
      </w:pPr>
      <w:r>
        <w:rPr>
          <w:rFonts w:ascii="Arial" w:cs="Arial" w:eastAsia="Arial" w:hAnsi="Arial"/>
          <w:sz w:val="16"/>
          <w:szCs w:val="16"/>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material disruption of our product development programs.</w:t>
      </w:r>
    </w:p>
    <w:p>
      <w:pPr>
        <w:spacing w:after="0" w:line="16"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Accordingly,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w:t>
      </w:r>
    </w:p>
    <w:p>
      <w:pPr>
        <w:spacing w:after="0" w:line="63"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2" w:name="page73"/>
    <w:bookmarkEnd w:id="72"/>
    <w:p>
      <w:pPr>
        <w:ind w:right="60" w:firstLine="509"/>
        <w:spacing w:after="0" w:line="267" w:lineRule="auto"/>
        <w:rPr>
          <w:sz w:val="20"/>
          <w:szCs w:val="20"/>
          <w:color w:val="auto"/>
        </w:rPr>
      </w:pPr>
      <w:r>
        <w:rPr>
          <w:rFonts w:ascii="Arial" w:cs="Arial" w:eastAsia="Arial" w:hAnsi="Arial"/>
          <w:sz w:val="17"/>
          <w:szCs w:val="17"/>
          <w:color w:val="auto"/>
        </w:rPr>
        <w:t>We have had recent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For example, our employees have taken on increased responsibilities in light of this turnover, which could divert attention from key business areas. Additionally, the number of recent departures has created some uncertainty.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addition, we rely on consultants and advisors, including scientific and clinical advisors, to assist us in formulating our research and development and commercialization strategy. In August 2022,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9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of October 31, 2023, our executive officers and directors and our stockholders who owned more than 5% of our outstanding common stock in the aggregate beneficially owned shares representing approximately 54.6%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jc w:val="both"/>
        <w:ind w:right="32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17"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900" w:right="480" w:hanging="383"/>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900" w:right="40" w:hanging="383"/>
        <w:spacing w:after="0" w:line="263"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900" w:right="180" w:hanging="383"/>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6"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12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900" w:right="880" w:hanging="383"/>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or developments in preclinical studies and clinical trials of our product candidates or those of our competitors or potential collaborators;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900" w:right="240" w:hanging="383"/>
        <w:spacing w:after="0" w:line="308"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$1.235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4" w:lineRule="exact"/>
        <w:rPr>
          <w:sz w:val="20"/>
          <w:szCs w:val="20"/>
          <w:color w:val="auto"/>
        </w:rPr>
      </w:pPr>
    </w:p>
    <w:p>
      <w:pPr>
        <w:ind w:left="900" w:hanging="383"/>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900" w:right="540" w:hanging="383"/>
        <w:spacing w:after="0" w:line="263"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5" w:name="page76"/>
    <w:bookmarkEnd w:id="75"/>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62"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6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ind w:right="80"/>
        <w:spacing w:after="0" w:line="375"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20" w:type="dxa"/>
            <w:vAlign w:val="bottom"/>
            <w:gridSpan w:val="15"/>
            <w:vMerge w:val="restart"/>
          </w:tcPr>
          <w:p>
            <w:pPr>
              <w:ind w:left="3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2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120"/>
              <w:spacing w:after="0" w:line="169"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10060" w:type="dxa"/>
            <w:vAlign w:val="bottom"/>
            <w:tcBorders>
              <w:bottom w:val="single" w:sz="8" w:color="0000FF"/>
            </w:tcBorders>
            <w:gridSpan w:val="14"/>
          </w:tcPr>
          <w:p>
            <w:pPr>
              <w:spacing w:after="0" w:line="169" w:lineRule="exact"/>
              <w:rPr>
                <w:rFonts w:ascii="Arial" w:cs="Arial" w:eastAsia="Arial" w:hAnsi="Arial"/>
                <w:sz w:val="18"/>
                <w:szCs w:val="18"/>
                <w:color w:val="0000FF"/>
                <w:w w:val="91"/>
              </w:rPr>
            </w:pPr>
            <w:hyperlink r:id="rId221">
              <w:r>
                <w:rPr>
                  <w:rFonts w:ascii="Arial" w:cs="Arial" w:eastAsia="Arial" w:hAnsi="Arial"/>
                  <w:sz w:val="18"/>
                  <w:szCs w:val="18"/>
                  <w:color w:val="0000FF"/>
                  <w:w w:val="91"/>
                </w:rPr>
                <w:t>Restated Certificate of Incorporation of the Registrant (incorporated by reference to Exhibit 3.1 to the Registrant’s Current Report on Form</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Arial" w:cs="Arial" w:eastAsia="Arial" w:hAnsi="Arial"/>
                <w:sz w:val="18"/>
                <w:szCs w:val="18"/>
                <w:color w:val="0000FF"/>
              </w:rPr>
            </w:pPr>
            <w:hyperlink r:id="rId221">
              <w:r>
                <w:rPr>
                  <w:rFonts w:ascii="Arial" w:cs="Arial" w:eastAsia="Arial" w:hAnsi="Arial"/>
                  <w:sz w:val="18"/>
                  <w:szCs w:val="18"/>
                  <w:color w:val="0000FF"/>
                </w:rPr>
                <w:t>8-K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9760" w:type="dxa"/>
            <w:vAlign w:val="bottom"/>
            <w:tcBorders>
              <w:bottom w:val="single" w:sz="8" w:color="0000FF"/>
            </w:tcBorders>
            <w:gridSpan w:val="11"/>
          </w:tcPr>
          <w:p>
            <w:pPr>
              <w:spacing w:after="0"/>
              <w:rPr>
                <w:rFonts w:ascii="Arial" w:cs="Arial" w:eastAsia="Arial" w:hAnsi="Arial"/>
                <w:sz w:val="18"/>
                <w:szCs w:val="18"/>
                <w:color w:val="0000FF"/>
                <w:w w:val="92"/>
              </w:rPr>
            </w:pPr>
            <w:hyperlink r:id="rId222">
              <w:r>
                <w:rPr>
                  <w:rFonts w:ascii="Arial" w:cs="Arial" w:eastAsia="Arial" w:hAnsi="Arial"/>
                  <w:sz w:val="18"/>
                  <w:szCs w:val="18"/>
                  <w:color w:val="0000FF"/>
                  <w:w w:val="92"/>
                </w:rPr>
                <w:t>Certificate of Amendment of the Restated Certificate of Incorporation of the Registrant (incorporated by reference to Exhibit 3.1 to the</w:t>
              </w:r>
            </w:hyperlink>
          </w:p>
        </w:tc>
        <w:tc>
          <w:tcPr>
            <w:tcW w:w="38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222">
              <w:r>
                <w:rPr>
                  <w:rFonts w:ascii="Arial" w:cs="Arial" w:eastAsia="Arial" w:hAnsi="Arial"/>
                  <w:sz w:val="18"/>
                  <w:szCs w:val="18"/>
                  <w:color w:val="0000FF"/>
                  <w:w w:val="90"/>
                </w:rPr>
                <w:t>Registrant’s Current Report on Form 8-K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1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00" w:type="dxa"/>
            <w:vAlign w:val="bottom"/>
            <w:tcBorders>
              <w:bottom w:val="single" w:sz="8" w:color="0000FF"/>
            </w:tcBorders>
            <w:gridSpan w:val="12"/>
          </w:tcPr>
          <w:p>
            <w:pPr>
              <w:spacing w:after="0"/>
              <w:rPr>
                <w:rFonts w:ascii="Arial" w:cs="Arial" w:eastAsia="Arial" w:hAnsi="Arial"/>
                <w:sz w:val="18"/>
                <w:szCs w:val="18"/>
                <w:color w:val="0000FF"/>
                <w:w w:val="91"/>
              </w:rPr>
            </w:pPr>
            <w:hyperlink r:id="rId223">
              <w:r>
                <w:rPr>
                  <w:rFonts w:ascii="Arial" w:cs="Arial" w:eastAsia="Arial" w:hAnsi="Arial"/>
                  <w:sz w:val="18"/>
                  <w:szCs w:val="18"/>
                  <w:color w:val="0000FF"/>
                  <w:w w:val="91"/>
                </w:rPr>
                <w:t>Amended and Restated Bylaws of the Registrant (incorporated by reference to Exhibit 3.2 to the Registrant’s Current Report on Form 8-K</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3"/>
          </w:tcPr>
          <w:p>
            <w:pPr>
              <w:spacing w:after="0" w:line="196" w:lineRule="exact"/>
              <w:rPr>
                <w:rFonts w:ascii="Arial" w:cs="Arial" w:eastAsia="Arial" w:hAnsi="Arial"/>
                <w:sz w:val="18"/>
                <w:szCs w:val="18"/>
                <w:color w:val="0000FF"/>
                <w:w w:val="91"/>
              </w:rPr>
            </w:pPr>
            <w:hyperlink r:id="rId223">
              <w:r>
                <w:rPr>
                  <w:rFonts w:ascii="Arial" w:cs="Arial" w:eastAsia="Arial" w:hAnsi="Arial"/>
                  <w:sz w:val="18"/>
                  <w:szCs w:val="18"/>
                  <w:color w:val="0000FF"/>
                  <w:w w:val="91"/>
                </w:rPr>
                <w:t>filed with the Securities and Exchange Commission on July 22, 2019).</w:t>
              </w:r>
            </w:hyperlink>
          </w:p>
        </w:tc>
        <w:tc>
          <w:tcPr>
            <w:tcW w:w="50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1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86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License Agreement, effective as of July 5, 2023, by and between the Registrant and CAMP4 Therapeutics Corporation.</w:t>
            </w:r>
          </w:p>
        </w:tc>
        <w:tc>
          <w:tcPr>
            <w:tcW w:w="15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1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0000FF"/>
              </w:rPr>
              <w:t>Employment Agreement, dated August 7, 2023, by and between the Registrant and Alan A. Musso.</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200" w:type="dxa"/>
            <w:vAlign w:val="bottom"/>
            <w:tcBorders>
              <w:right w:val="single" w:sz="8" w:color="0000EE"/>
            </w:tcBorders>
            <w:gridSpan w:val="3"/>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96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7"/>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1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96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5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1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1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0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sz w:val="20"/>
                <w:szCs w:val="20"/>
                <w:color w:val="auto"/>
              </w:rPr>
            </w:pPr>
            <w:r>
              <w:rPr>
                <w:rFonts w:ascii="Arial" w:cs="Arial" w:eastAsia="Arial" w:hAnsi="Arial"/>
                <w:sz w:val="18"/>
                <w:szCs w:val="18"/>
                <w:color w:val="0000FF"/>
              </w:rPr>
              <w:t>Act of 2002.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8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1"/>
                <w:szCs w:val="21"/>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9"/>
                <w:szCs w:val="19"/>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9"/>
                <w:szCs w:val="19"/>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9"/>
                <w:szCs w:val="19"/>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0"/>
                <w:szCs w:val="20"/>
                <w:color w:val="auto"/>
              </w:rPr>
            </w:pPr>
          </w:p>
        </w:tc>
        <w:tc>
          <w:tcPr>
            <w:tcW w:w="1014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260" w:firstLine="21"/>
        <w:spacing w:after="0" w:line="430" w:lineRule="auto"/>
        <w:tabs>
          <w:tab w:leader="none" w:pos="1094" w:val="left"/>
        </w:tabs>
        <w:numPr>
          <w:ilvl w:val="2"/>
          <w:numId w:val="4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 * Filed herewith.</w:t>
      </w:r>
    </w:p>
    <w:p>
      <w:pPr>
        <w:ind w:left="140" w:hanging="132"/>
        <w:spacing w:after="0"/>
        <w:tabs>
          <w:tab w:leader="none" w:pos="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512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right="80" w:firstLine="8"/>
        <w:spacing w:after="0" w:line="250" w:lineRule="auto"/>
        <w:tabs>
          <w:tab w:leader="none" w:pos="1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 registrant has determined that they are both not material and is the type of information that the registrant treats as private or confidential.</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3"/>
          </w:tcPr>
          <w:p>
            <w:pPr>
              <w:ind w:left="1760"/>
              <w:spacing w:after="0"/>
              <w:rPr>
                <w:sz w:val="20"/>
                <w:szCs w:val="20"/>
                <w:color w:val="auto"/>
              </w:rPr>
            </w:pPr>
            <w:r>
              <w:rPr>
                <w:rFonts w:ascii="Arial" w:cs="Arial" w:eastAsia="Arial" w:hAnsi="Arial"/>
                <w:sz w:val="18"/>
                <w:szCs w:val="18"/>
                <w:color w:val="auto"/>
              </w:rPr>
              <w:t>FULCRUM THERAPEUTICS, INC.</w:t>
            </w:r>
          </w:p>
        </w:tc>
      </w:tr>
      <w:tr>
        <w:trPr>
          <w:trHeight w:val="473"/>
        </w:trPr>
        <w:tc>
          <w:tcPr>
            <w:tcW w:w="356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ind w:right="130"/>
              <w:spacing w:after="0"/>
              <w:rPr>
                <w:sz w:val="20"/>
                <w:szCs w:val="20"/>
                <w:color w:val="auto"/>
              </w:rPr>
            </w:pPr>
            <w:r>
              <w:rPr>
                <w:rFonts w:ascii="Arial" w:cs="Arial" w:eastAsia="Arial" w:hAnsi="Arial"/>
                <w:sz w:val="18"/>
                <w:szCs w:val="18"/>
                <w:color w:val="auto"/>
                <w:w w:val="92"/>
              </w:rPr>
              <w:t>/s/ Alex C. Sapir</w:t>
            </w:r>
          </w:p>
        </w:tc>
      </w:tr>
      <w:tr>
        <w:trPr>
          <w:trHeight w:val="209"/>
        </w:trPr>
        <w:tc>
          <w:tcPr>
            <w:tcW w:w="3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38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3"/>
              </w:rPr>
              <w:t>Alex C. Sapir</w:t>
            </w:r>
          </w:p>
        </w:tc>
      </w:tr>
      <w:tr>
        <w:trPr>
          <w:trHeight w:val="230"/>
        </w:trPr>
        <w:tc>
          <w:tcPr>
            <w:tcW w:w="3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tcPr>
          <w:p>
            <w:pPr>
              <w:jc w:val="center"/>
              <w:ind w:right="130"/>
              <w:spacing w:after="0"/>
              <w:rPr>
                <w:sz w:val="20"/>
                <w:szCs w:val="20"/>
                <w:color w:val="auto"/>
              </w:rPr>
            </w:pPr>
            <w:r>
              <w:rPr>
                <w:rFonts w:ascii="Arial" w:cs="Arial" w:eastAsia="Arial" w:hAnsi="Arial"/>
                <w:sz w:val="18"/>
                <w:szCs w:val="18"/>
                <w:color w:val="auto"/>
                <w:w w:val="92"/>
              </w:rPr>
              <w:t>President and Chief Executive Officer (Principal Executive Officer)</w:t>
            </w:r>
          </w:p>
        </w:tc>
      </w:tr>
      <w:tr>
        <w:trPr>
          <w:trHeight w:val="473"/>
        </w:trPr>
        <w:tc>
          <w:tcPr>
            <w:tcW w:w="3560" w:type="dxa"/>
            <w:vAlign w:val="bottom"/>
          </w:tcPr>
          <w:p>
            <w:pPr>
              <w:ind w:left="20"/>
              <w:spacing w:after="0"/>
              <w:rPr>
                <w:sz w:val="20"/>
                <w:szCs w:val="20"/>
                <w:color w:val="auto"/>
              </w:rPr>
            </w:pPr>
            <w:r>
              <w:rPr>
                <w:rFonts w:ascii="Arial" w:cs="Arial" w:eastAsia="Arial" w:hAnsi="Arial"/>
                <w:sz w:val="18"/>
                <w:szCs w:val="18"/>
                <w:color w:val="auto"/>
              </w:rPr>
              <w:t>Date: November 7, 2023</w:t>
            </w:r>
          </w:p>
        </w:tc>
        <w:tc>
          <w:tcPr>
            <w:tcW w:w="2300" w:type="dxa"/>
            <w:vAlign w:val="bottom"/>
            <w:gridSpan w:val="2"/>
          </w:tcPr>
          <w:p>
            <w:pPr>
              <w:ind w:left="1760"/>
              <w:spacing w:after="0"/>
              <w:rPr>
                <w:sz w:val="20"/>
                <w:szCs w:val="20"/>
                <w:color w:val="auto"/>
              </w:rPr>
            </w:pPr>
            <w:r>
              <w:rPr>
                <w:rFonts w:ascii="Arial" w:cs="Arial" w:eastAsia="Arial" w:hAnsi="Arial"/>
                <w:sz w:val="18"/>
                <w:szCs w:val="18"/>
                <w:color w:val="auto"/>
              </w:rPr>
              <w:t>By:</w:t>
            </w:r>
          </w:p>
        </w:tc>
        <w:tc>
          <w:tcPr>
            <w:tcW w:w="5380" w:type="dxa"/>
            <w:vAlign w:val="bottom"/>
          </w:tcPr>
          <w:p>
            <w:pPr>
              <w:jc w:val="center"/>
              <w:ind w:right="150"/>
              <w:spacing w:after="0"/>
              <w:rPr>
                <w:sz w:val="20"/>
                <w:szCs w:val="20"/>
                <w:color w:val="auto"/>
              </w:rPr>
            </w:pPr>
            <w:r>
              <w:rPr>
                <w:rFonts w:ascii="Arial" w:cs="Arial" w:eastAsia="Arial" w:hAnsi="Arial"/>
                <w:sz w:val="18"/>
                <w:szCs w:val="18"/>
                <w:color w:val="auto"/>
                <w:w w:val="93"/>
              </w:rPr>
              <w:t>/s/ Alan Musso</w:t>
            </w:r>
          </w:p>
        </w:tc>
      </w:tr>
      <w:tr>
        <w:trPr>
          <w:trHeight w:val="209"/>
        </w:trPr>
        <w:tc>
          <w:tcPr>
            <w:tcW w:w="3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38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1"/>
              </w:rPr>
              <w:t>Alan Musso</w:t>
            </w:r>
          </w:p>
        </w:tc>
      </w:tr>
      <w:tr>
        <w:trPr>
          <w:trHeight w:val="230"/>
        </w:trPr>
        <w:tc>
          <w:tcPr>
            <w:tcW w:w="3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tcPr>
          <w:p>
            <w:pPr>
              <w:jc w:val="center"/>
              <w:ind w:right="150"/>
              <w:spacing w:after="0"/>
              <w:rPr>
                <w:sz w:val="20"/>
                <w:szCs w:val="20"/>
                <w:color w:val="auto"/>
              </w:rPr>
            </w:pPr>
            <w:r>
              <w:rPr>
                <w:rFonts w:ascii="Arial" w:cs="Arial" w:eastAsia="Arial" w:hAnsi="Arial"/>
                <w:sz w:val="18"/>
                <w:szCs w:val="18"/>
                <w:color w:val="auto"/>
                <w:w w:val="94"/>
              </w:rPr>
              <w:t>Chief Financial Officer (Principal Financial Officer)</w:t>
            </w:r>
          </w:p>
        </w:tc>
      </w:tr>
      <w:tr>
        <w:trPr>
          <w:trHeight w:val="891"/>
        </w:trPr>
        <w:tc>
          <w:tcPr>
            <w:tcW w:w="3560" w:type="dxa"/>
            <w:vAlign w:val="bottom"/>
          </w:tcPr>
          <w:p>
            <w:pPr>
              <w:spacing w:after="0"/>
              <w:rPr>
                <w:sz w:val="24"/>
                <w:szCs w:val="24"/>
                <w:color w:val="auto"/>
              </w:rPr>
            </w:pPr>
          </w:p>
        </w:tc>
        <w:tc>
          <w:tcPr>
            <w:tcW w:w="230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538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160" w:right="1280"/>
        <w:spacing w:after="0"/>
        <w:rPr>
          <w:sz w:val="20"/>
          <w:szCs w:val="20"/>
          <w:color w:val="auto"/>
        </w:rPr>
      </w:pPr>
      <w:r>
        <w:rPr>
          <w:rFonts w:ascii="Arial" w:cs="Arial" w:eastAsia="Arial" w:hAnsi="Arial"/>
          <w:sz w:val="22"/>
          <w:szCs w:val="22"/>
          <w:color w:val="auto"/>
        </w:rPr>
        <w:t>CERTAIN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LICENSE AGREEMENT</w:t>
      </w:r>
    </w:p>
    <w:p>
      <w:pPr>
        <w:spacing w:after="0" w:line="200" w:lineRule="exact"/>
        <w:rPr>
          <w:sz w:val="20"/>
          <w:szCs w:val="20"/>
          <w:color w:val="auto"/>
        </w:rPr>
      </w:pPr>
    </w:p>
    <w:p>
      <w:pPr>
        <w:spacing w:after="0" w:line="209"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between</w:t>
      </w:r>
    </w:p>
    <w:p>
      <w:pPr>
        <w:spacing w:after="0" w:line="395"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CAMP4 THERAPEUTICS CORP.</w:t>
      </w:r>
    </w:p>
    <w:p>
      <w:pPr>
        <w:spacing w:after="0" w:line="395"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and</w:t>
      </w:r>
    </w:p>
    <w:p>
      <w:pPr>
        <w:spacing w:after="0" w:line="395" w:lineRule="exact"/>
        <w:rPr>
          <w:sz w:val="20"/>
          <w:szCs w:val="20"/>
          <w:color w:val="auto"/>
        </w:rPr>
      </w:pPr>
    </w:p>
    <w:p>
      <w:pPr>
        <w:ind w:left="2520"/>
        <w:spacing w:after="0"/>
        <w:rPr>
          <w:sz w:val="20"/>
          <w:szCs w:val="20"/>
          <w:color w:val="auto"/>
        </w:rPr>
      </w:pPr>
      <w:r>
        <w:rPr>
          <w:rFonts w:ascii="Arial" w:cs="Arial" w:eastAsia="Arial" w:hAnsi="Arial"/>
          <w:sz w:val="22"/>
          <w:szCs w:val="22"/>
          <w:b w:val="1"/>
          <w:bCs w:val="1"/>
          <w:color w:val="auto"/>
        </w:rPr>
        <w:t>FULCRUM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212725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395" w:lineRule="exact"/>
        <w:rPr>
          <w:sz w:val="20"/>
          <w:szCs w:val="20"/>
          <w:color w:val="auto"/>
        </w:rPr>
      </w:pPr>
    </w:p>
    <w:p>
      <w:pPr>
        <w:jc w:val="both"/>
        <w:ind w:firstLine="747"/>
        <w:spacing w:after="0" w:line="249"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L</w:t>
      </w:r>
      <w:r>
        <w:rPr>
          <w:rFonts w:ascii="Arial" w:cs="Arial" w:eastAsia="Arial" w:hAnsi="Arial"/>
          <w:sz w:val="13"/>
          <w:szCs w:val="13"/>
          <w:b w:val="1"/>
          <w:bCs w:val="1"/>
          <w:color w:val="auto"/>
        </w:rPr>
        <w:t>icense</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July 5</w:t>
      </w:r>
      <w:r>
        <w:rPr>
          <w:rFonts w:ascii="Arial" w:cs="Arial" w:eastAsia="Arial" w:hAnsi="Arial"/>
          <w:sz w:val="26"/>
          <w:szCs w:val="26"/>
          <w:color w:val="auto"/>
          <w:vertAlign w:val="superscript"/>
        </w:rPr>
        <w:t>th</w:t>
      </w:r>
      <w:r>
        <w:rPr>
          <w:rFonts w:ascii="Arial" w:cs="Arial" w:eastAsia="Arial" w:hAnsi="Arial"/>
          <w:sz w:val="20"/>
          <w:szCs w:val="20"/>
          <w:color w:val="auto"/>
        </w:rPr>
        <w:t>, 2023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CAMP4 T</w:t>
      </w:r>
      <w:r>
        <w:rPr>
          <w:rFonts w:ascii="Arial" w:cs="Arial" w:eastAsia="Arial" w:hAnsi="Arial"/>
          <w:sz w:val="13"/>
          <w:szCs w:val="13"/>
          <w:b w:val="1"/>
          <w:bCs w:val="1"/>
          <w:color w:val="auto"/>
        </w:rPr>
        <w:t>herapeutics</w:t>
      </w:r>
      <w:r>
        <w:rPr>
          <w:rFonts w:ascii="Arial" w:cs="Arial" w:eastAsia="Arial" w:hAnsi="Arial"/>
          <w:sz w:val="20"/>
          <w:szCs w:val="20"/>
          <w:color w:val="auto"/>
        </w:rPr>
        <w:t xml:space="preserve"> </w:t>
      </w:r>
      <w:r>
        <w:rPr>
          <w:rFonts w:ascii="Arial" w:cs="Arial" w:eastAsia="Arial" w:hAnsi="Arial"/>
          <w:sz w:val="20"/>
          <w:szCs w:val="20"/>
          <w:b w:val="1"/>
          <w:bCs w:val="1"/>
          <w:color w:val="auto"/>
        </w:rPr>
        <w:t>C</w:t>
      </w:r>
      <w:r>
        <w:rPr>
          <w:rFonts w:ascii="Arial" w:cs="Arial" w:eastAsia="Arial" w:hAnsi="Arial"/>
          <w:sz w:val="13"/>
          <w:szCs w:val="13"/>
          <w:b w:val="1"/>
          <w:bCs w:val="1"/>
          <w:color w:val="auto"/>
        </w:rPr>
        <w:t>orporation</w:t>
      </w:r>
      <w:r>
        <w:rPr>
          <w:rFonts w:ascii="Arial" w:cs="Arial" w:eastAsia="Arial" w:hAnsi="Arial"/>
          <w:sz w:val="20"/>
          <w:szCs w:val="20"/>
          <w:color w:val="auto"/>
        </w:rPr>
        <w:t>, a corporation organized and existing under the laws of Delaware, with its principal business office located at One Kendall Square, Bldg 1400 West, 3rd Floor, Cambridge, MA 02139, U.S.A. (“</w:t>
      </w:r>
      <w:r>
        <w:rPr>
          <w:rFonts w:ascii="Arial" w:cs="Arial" w:eastAsia="Arial" w:hAnsi="Arial"/>
          <w:sz w:val="20"/>
          <w:szCs w:val="20"/>
          <w:b w:val="1"/>
          <w:bCs w:val="1"/>
          <w:i w:val="1"/>
          <w:iCs w:val="1"/>
          <w:color w:val="auto"/>
        </w:rPr>
        <w:t>CAMP4</w:t>
      </w:r>
      <w:r>
        <w:rPr>
          <w:rFonts w:ascii="Arial" w:cs="Arial" w:eastAsia="Arial" w:hAnsi="Arial"/>
          <w:sz w:val="20"/>
          <w:szCs w:val="20"/>
          <w:color w:val="auto"/>
        </w:rPr>
        <w:t xml:space="preserve">”), and </w:t>
      </w:r>
      <w:r>
        <w:rPr>
          <w:rFonts w:ascii="Arial" w:cs="Arial" w:eastAsia="Arial" w:hAnsi="Arial"/>
          <w:sz w:val="20"/>
          <w:szCs w:val="20"/>
          <w:b w:val="1"/>
          <w:bCs w:val="1"/>
          <w:color w:val="auto"/>
        </w:rPr>
        <w:t>F</w:t>
      </w:r>
      <w:r>
        <w:rPr>
          <w:rFonts w:ascii="Arial" w:cs="Arial" w:eastAsia="Arial" w:hAnsi="Arial"/>
          <w:sz w:val="13"/>
          <w:szCs w:val="13"/>
          <w:b w:val="1"/>
          <w:bCs w:val="1"/>
          <w:color w:val="auto"/>
        </w:rPr>
        <w:t>ulcrum</w:t>
      </w:r>
      <w:r>
        <w:rPr>
          <w:rFonts w:ascii="Arial" w:cs="Arial" w:eastAsia="Arial" w:hAnsi="Arial"/>
          <w:sz w:val="20"/>
          <w:szCs w:val="20"/>
          <w:color w:val="auto"/>
        </w:rPr>
        <w:t xml:space="preserve"> </w:t>
      </w:r>
      <w:r>
        <w:rPr>
          <w:rFonts w:ascii="Arial" w:cs="Arial" w:eastAsia="Arial" w:hAnsi="Arial"/>
          <w:sz w:val="20"/>
          <w:szCs w:val="20"/>
          <w:b w:val="1"/>
          <w:bCs w:val="1"/>
          <w:color w:val="auto"/>
        </w:rPr>
        <w:t>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corporation organized and existing under the laws of Massachusetts, with its principal business office located at 26 Landsdowne Street Cambridge, MA 02139, U.S.A. (“</w:t>
      </w:r>
      <w:r>
        <w:rPr>
          <w:rFonts w:ascii="Arial" w:cs="Arial" w:eastAsia="Arial" w:hAnsi="Arial"/>
          <w:sz w:val="20"/>
          <w:szCs w:val="20"/>
          <w:b w:val="1"/>
          <w:bCs w:val="1"/>
          <w:i w:val="1"/>
          <w:iCs w:val="1"/>
          <w:color w:val="auto"/>
        </w:rPr>
        <w:t>Fulcrum</w:t>
      </w:r>
      <w:r>
        <w:rPr>
          <w:rFonts w:ascii="Arial" w:cs="Arial" w:eastAsia="Arial" w:hAnsi="Arial"/>
          <w:sz w:val="20"/>
          <w:szCs w:val="20"/>
          <w:color w:val="auto"/>
        </w:rPr>
        <w:t>”). Fulcrum and CAMP4 are each hereafter referred to individually as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and together as the “</w:t>
      </w:r>
      <w:r>
        <w:rPr>
          <w:rFonts w:ascii="Arial" w:cs="Arial" w:eastAsia="Arial" w:hAnsi="Arial"/>
          <w:sz w:val="20"/>
          <w:szCs w:val="20"/>
          <w:b w:val="1"/>
          <w:bCs w:val="1"/>
          <w:i w:val="1"/>
          <w:iCs w:val="1"/>
          <w:color w:val="auto"/>
        </w:rPr>
        <w:t>Parties</w:t>
      </w:r>
      <w:r>
        <w:rPr>
          <w:rFonts w:ascii="Arial" w:cs="Arial" w:eastAsia="Arial" w:hAnsi="Arial"/>
          <w:sz w:val="20"/>
          <w:szCs w:val="20"/>
          <w:i w:val="1"/>
          <w:iCs w:val="1"/>
          <w:color w:val="auto"/>
        </w:rPr>
        <w:t>.</w:t>
      </w:r>
      <w:r>
        <w:rPr>
          <w:rFonts w:ascii="Arial" w:cs="Arial" w:eastAsia="Arial" w:hAnsi="Arial"/>
          <w:sz w:val="20"/>
          <w:szCs w:val="20"/>
          <w:color w:val="auto"/>
        </w:rPr>
        <w:t>”</w:t>
      </w:r>
    </w:p>
    <w:p>
      <w:pPr>
        <w:spacing w:after="0" w:line="211" w:lineRule="exact"/>
        <w:rPr>
          <w:sz w:val="20"/>
          <w:szCs w:val="20"/>
          <w:color w:val="auto"/>
        </w:rPr>
      </w:pPr>
    </w:p>
    <w:p>
      <w:pPr>
        <w:jc w:val="both"/>
        <w:ind w:right="20" w:firstLine="747"/>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CAMP4 is a biotechnology company engaged in the research and development of therapeutics for</w:t>
      </w:r>
      <w:r>
        <w:rPr>
          <w:rFonts w:ascii="Arial" w:cs="Arial" w:eastAsia="Arial" w:hAnsi="Arial"/>
          <w:sz w:val="22"/>
          <w:szCs w:val="22"/>
          <w:b w:val="1"/>
          <w:bCs w:val="1"/>
          <w:color w:val="auto"/>
        </w:rPr>
        <w:t xml:space="preserve"> </w:t>
      </w:r>
      <w:r>
        <w:rPr>
          <w:rFonts w:ascii="Arial" w:cs="Arial" w:eastAsia="Arial" w:hAnsi="Arial"/>
          <w:sz w:val="22"/>
          <w:szCs w:val="22"/>
          <w:color w:val="auto"/>
        </w:rPr>
        <w:t>treatment of various diseases;</w:t>
      </w:r>
    </w:p>
    <w:p>
      <w:pPr>
        <w:spacing w:after="0" w:line="203" w:lineRule="exact"/>
        <w:rPr>
          <w:sz w:val="20"/>
          <w:szCs w:val="20"/>
          <w:color w:val="auto"/>
        </w:rPr>
      </w:pPr>
    </w:p>
    <w:p>
      <w:pPr>
        <w:jc w:val="both"/>
        <w:ind w:firstLine="747"/>
        <w:spacing w:after="0" w:line="306"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Fulcrum is a clinical-stage biopharmaceutical company engaged in the research, development,</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marketing and distribution of precision medicines in areas of high unmet medical need;</w:t>
      </w:r>
    </w:p>
    <w:p>
      <w:pPr>
        <w:spacing w:after="0" w:line="143" w:lineRule="exact"/>
        <w:rPr>
          <w:sz w:val="20"/>
          <w:szCs w:val="20"/>
          <w:color w:val="auto"/>
        </w:rPr>
      </w:pPr>
    </w:p>
    <w:p>
      <w:pPr>
        <w:jc w:val="both"/>
        <w:ind w:firstLine="747"/>
        <w:spacing w:after="0" w:line="237"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CAMP4 wishes to license to Fulcrum rights under its Diamond Blackfan Anemia (DBA) program,</w:t>
      </w:r>
      <w:r>
        <w:rPr>
          <w:rFonts w:ascii="Arial" w:cs="Arial" w:eastAsia="Arial" w:hAnsi="Arial"/>
          <w:sz w:val="22"/>
          <w:szCs w:val="22"/>
          <w:b w:val="1"/>
          <w:bCs w:val="1"/>
          <w:color w:val="auto"/>
        </w:rPr>
        <w:t xml:space="preserve"> </w:t>
      </w:r>
      <w:r>
        <w:rPr>
          <w:rFonts w:ascii="Arial" w:cs="Arial" w:eastAsia="Arial" w:hAnsi="Arial"/>
          <w:sz w:val="22"/>
          <w:szCs w:val="22"/>
          <w:color w:val="auto"/>
        </w:rPr>
        <w:t>which includes certain small molecule compounds, composition of matter and method of use patent rights, and know-how for Fulcrum to develop and commercialize therapeutic products in any indication, including the grant of a sublicense under certain intellectual property rights that CAMP4 has licensed under the CMCC License Agreement (as defined below); and</w:t>
      </w:r>
    </w:p>
    <w:p>
      <w:pPr>
        <w:spacing w:after="0" w:line="290" w:lineRule="exact"/>
        <w:rPr>
          <w:sz w:val="20"/>
          <w:szCs w:val="20"/>
          <w:color w:val="auto"/>
        </w:rPr>
      </w:pPr>
    </w:p>
    <w:p>
      <w:pPr>
        <w:jc w:val="both"/>
        <w:ind w:right="20" w:firstLine="747"/>
        <w:spacing w:after="0" w:line="279"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Fulcrum desires to obtain from CAMP4, and CAMP4 desires to grant to Fulcrum, an exclusive</w:t>
      </w:r>
      <w:r>
        <w:rPr>
          <w:rFonts w:ascii="Arial" w:cs="Arial" w:eastAsia="Arial" w:hAnsi="Arial"/>
          <w:sz w:val="20"/>
          <w:szCs w:val="20"/>
          <w:b w:val="1"/>
          <w:bCs w:val="1"/>
          <w:color w:val="auto"/>
        </w:rPr>
        <w:t xml:space="preserve"> </w:t>
      </w:r>
      <w:r>
        <w:rPr>
          <w:rFonts w:ascii="Arial" w:cs="Arial" w:eastAsia="Arial" w:hAnsi="Arial"/>
          <w:sz w:val="20"/>
          <w:szCs w:val="20"/>
          <w:color w:val="auto"/>
        </w:rPr>
        <w:t>license to certain intellectual property rights and know-how to research, develop, manufacture, and commercialize Licensed Products (as defined below), subject to the terms and conditions of this Agreement.</w:t>
      </w:r>
    </w:p>
    <w:p>
      <w:pPr>
        <w:spacing w:after="0" w:line="183" w:lineRule="exact"/>
        <w:rPr>
          <w:sz w:val="20"/>
          <w:szCs w:val="20"/>
          <w:color w:val="auto"/>
        </w:rPr>
      </w:pPr>
    </w:p>
    <w:p>
      <w:pPr>
        <w:jc w:val="both"/>
        <w:ind w:right="20" w:firstLine="747"/>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mutual covenants contained herein,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adequacy of which are hereby acknowledged, the Parties hereby agree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jc w:val="both"/>
        <w:ind w:right="20" w:firstLine="747"/>
        <w:spacing w:after="0" w:line="250" w:lineRule="auto"/>
        <w:rPr>
          <w:sz w:val="20"/>
          <w:szCs w:val="20"/>
          <w:color w:val="auto"/>
        </w:rPr>
      </w:pPr>
      <w:r>
        <w:rPr>
          <w:rFonts w:ascii="Arial" w:cs="Arial" w:eastAsia="Arial" w:hAnsi="Arial"/>
          <w:sz w:val="22"/>
          <w:szCs w:val="22"/>
          <w:color w:val="auto"/>
        </w:rPr>
        <w:t>Capitalized terms used in this Agreement and the Exhibits hereto shall have the following meanings (or as defined elsewhere in this Agreement):</w:t>
      </w:r>
    </w:p>
    <w:p>
      <w:pPr>
        <w:spacing w:after="0" w:line="215"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Acquired Party</w:t>
      </w:r>
      <w:r>
        <w:rPr>
          <w:rFonts w:ascii="Arial" w:cs="Arial" w:eastAsia="Arial" w:hAnsi="Arial"/>
          <w:sz w:val="19"/>
          <w:szCs w:val="19"/>
          <w:color w:val="auto"/>
        </w:rPr>
        <w:t>” has the meaning set forth in Section 2.6.2.</w:t>
      </w:r>
    </w:p>
    <w:p>
      <w:pPr>
        <w:spacing w:after="0" w:line="233"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22"/>
          <w:szCs w:val="22"/>
          <w:color w:val="auto"/>
        </w:rPr>
        <w:t>1.2“</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with respect to either Party, any entity that, at the relevant time (whether as of the Effective Date or thereafter), directly or indirectly through one or more intermediaries, controls, is controlled by, or is under common control with such Party, for so long as such control exists. As used in this Section 1.2, “control” means: (a) to possess, directly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203835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436" w:right="1039" w:bottom="1440" w:gutter="0" w:footer="0" w:header="0"/>
        </w:sectPr>
      </w:pPr>
    </w:p>
    <w:bookmarkStart w:id="81" w:name="page82"/>
    <w:bookmarkEnd w:id="81"/>
    <w:p>
      <w:pPr>
        <w:jc w:val="both"/>
        <w:spacing w:after="0" w:line="287" w:lineRule="auto"/>
        <w:rPr>
          <w:sz w:val="20"/>
          <w:szCs w:val="20"/>
          <w:color w:val="auto"/>
        </w:rPr>
      </w:pPr>
      <w:r>
        <w:rPr>
          <w:rFonts w:ascii="Arial" w:cs="Arial" w:eastAsia="Arial" w:hAnsi="Arial"/>
          <w:sz w:val="19"/>
          <w:szCs w:val="19"/>
          <w:color w:val="auto"/>
        </w:rPr>
        <w:t>indirectly, the power to direct or cause the direction of the management or policies of an entity, whether through ownership of voting securities or by contract relating to voting rights or corporate governance; or (b) direct or indirect ownership of fifty percent (50%) (or such lesser percentage that is the maximum allowed to be owned by a foreign entity in a particular jurisdiction) or more of the voting share capital or other equity interest in such entity.</w:t>
      </w:r>
    </w:p>
    <w:p>
      <w:pPr>
        <w:spacing w:after="0" w:line="183"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has the meaning set forth in the Preamble.</w:t>
      </w:r>
    </w:p>
    <w:p>
      <w:pPr>
        <w:spacing w:after="0" w:line="24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1.4“</w:t>
      </w:r>
      <w:r>
        <w:rPr>
          <w:rFonts w:ascii="Arial" w:cs="Arial" w:eastAsia="Arial" w:hAnsi="Arial"/>
          <w:sz w:val="19"/>
          <w:szCs w:val="19"/>
          <w:b w:val="1"/>
          <w:bCs w:val="1"/>
          <w:i w:val="1"/>
          <w:iCs w:val="1"/>
          <w:color w:val="auto"/>
        </w:rPr>
        <w:t>Applicable Laws</w:t>
      </w:r>
      <w:r>
        <w:rPr>
          <w:rFonts w:ascii="Arial" w:cs="Arial" w:eastAsia="Arial" w:hAnsi="Arial"/>
          <w:sz w:val="19"/>
          <w:szCs w:val="19"/>
          <w:color w:val="auto"/>
        </w:rPr>
        <w:t>” means the applicable provisions of any and all federal, national, supranational, regional, state, provincial and local laws, treaties, statutes, rules, regulations, guidelines or requirements, administrative codes, guidance, ordinances, judgments, decrees, directives, injunctions, orders, or permits of or from any court, arbitrator, Regulatory Authority, Governmental Authority, taxing authority, securities exchange or exchange listing organization having jurisdiction over or related to the relevant subject item that may be in effect from time to time during the Term.</w:t>
      </w:r>
    </w:p>
    <w:p>
      <w:pPr>
        <w:spacing w:after="0" w:line="174"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1.5“</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any day other than Saturday, Sunday, or any day that banks are authorized or required to be closed in Cambridge, Massachusetts, U.S.A.</w:t>
      </w:r>
    </w:p>
    <w:p>
      <w:pPr>
        <w:spacing w:after="0" w:line="21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1.6“</w:t>
      </w:r>
      <w:r>
        <w:rPr>
          <w:rFonts w:ascii="Arial" w:cs="Arial" w:eastAsia="Arial" w:hAnsi="Arial"/>
          <w:sz w:val="22"/>
          <w:szCs w:val="22"/>
          <w:b w:val="1"/>
          <w:bCs w:val="1"/>
          <w:i w:val="1"/>
          <w:iCs w:val="1"/>
          <w:color w:val="auto"/>
        </w:rPr>
        <w:t>Calendar Quarter</w:t>
      </w:r>
      <w:r>
        <w:rPr>
          <w:rFonts w:ascii="Arial" w:cs="Arial" w:eastAsia="Arial" w:hAnsi="Arial"/>
          <w:sz w:val="22"/>
          <w:szCs w:val="22"/>
          <w:color w:val="auto"/>
        </w:rPr>
        <w:t>” means each respective period of three (3) consecutive months ending on March 31, June 30, September 30, and December 31 of any Calendar Year.</w:t>
      </w:r>
    </w:p>
    <w:p>
      <w:pPr>
        <w:spacing w:after="0" w:line="21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1.7“</w:t>
      </w:r>
      <w:r>
        <w:rPr>
          <w:rFonts w:ascii="Arial" w:cs="Arial" w:eastAsia="Arial" w:hAnsi="Arial"/>
          <w:sz w:val="19"/>
          <w:szCs w:val="19"/>
          <w:b w:val="1"/>
          <w:bCs w:val="1"/>
          <w:i w:val="1"/>
          <w:iCs w:val="1"/>
          <w:color w:val="auto"/>
        </w:rPr>
        <w:t>Calendar Year</w:t>
      </w:r>
      <w:r>
        <w:rPr>
          <w:rFonts w:ascii="Arial" w:cs="Arial" w:eastAsia="Arial" w:hAnsi="Arial"/>
          <w:sz w:val="19"/>
          <w:szCs w:val="19"/>
          <w:color w:val="auto"/>
        </w:rPr>
        <w:t>” means each respective period of twelve (12) consecutive months commencing on January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 and ending on December 31.</w:t>
      </w:r>
    </w:p>
    <w:p>
      <w:pPr>
        <w:spacing w:after="0" w:line="215"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CAMP4</w:t>
      </w:r>
      <w:r>
        <w:rPr>
          <w:rFonts w:ascii="Arial" w:cs="Arial" w:eastAsia="Arial" w:hAnsi="Arial"/>
          <w:sz w:val="19"/>
          <w:szCs w:val="19"/>
          <w:color w:val="auto"/>
        </w:rPr>
        <w:t>” has the meaning set forth in the Preamble.</w:t>
      </w:r>
    </w:p>
    <w:p>
      <w:pPr>
        <w:spacing w:after="0" w:line="24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CAMP4 Indemnitee</w:t>
      </w:r>
      <w:r>
        <w:rPr>
          <w:rFonts w:ascii="Arial" w:cs="Arial" w:eastAsia="Arial" w:hAnsi="Arial"/>
          <w:sz w:val="19"/>
          <w:szCs w:val="19"/>
          <w:color w:val="auto"/>
        </w:rPr>
        <w:t>” has the meaning set forth in Section 7.1.6.</w:t>
      </w:r>
    </w:p>
    <w:p>
      <w:pPr>
        <w:spacing w:after="0" w:line="24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1.10“</w:t>
      </w:r>
      <w:r>
        <w:rPr>
          <w:rFonts w:ascii="Arial" w:cs="Arial" w:eastAsia="Arial" w:hAnsi="Arial"/>
          <w:sz w:val="21"/>
          <w:szCs w:val="21"/>
          <w:b w:val="1"/>
          <w:bCs w:val="1"/>
          <w:i w:val="1"/>
          <w:iCs w:val="1"/>
          <w:color w:val="auto"/>
        </w:rPr>
        <w:t>CAMP4-Assignee Patents”</w:t>
      </w:r>
      <w:r>
        <w:rPr>
          <w:rFonts w:ascii="Arial" w:cs="Arial" w:eastAsia="Arial" w:hAnsi="Arial"/>
          <w:sz w:val="21"/>
          <w:szCs w:val="21"/>
          <w:color w:val="auto"/>
        </w:rPr>
        <w:t xml:space="preserve"> means (i) the Patents listed in Part A of </w:t>
      </w:r>
      <w:r>
        <w:rPr>
          <w:rFonts w:ascii="Arial" w:cs="Arial" w:eastAsia="Arial" w:hAnsi="Arial"/>
          <w:sz w:val="21"/>
          <w:szCs w:val="21"/>
          <w:u w:val="single" w:color="auto"/>
          <w:color w:val="auto"/>
        </w:rPr>
        <w:t>Exhibit A</w:t>
      </w:r>
      <w:r>
        <w:rPr>
          <w:rFonts w:ascii="Arial" w:cs="Arial" w:eastAsia="Arial" w:hAnsi="Arial"/>
          <w:sz w:val="21"/>
          <w:szCs w:val="21"/>
          <w:color w:val="auto"/>
        </w:rPr>
        <w:t>; and (ii) any other Patents, other than any CMCC-Licensed Patents, Controlled by CAMP4 or its Affiliates as of the Effective Date or that become Controlled by CAMP4 or its Affiliates at any time during the Term that are necessary or reasonably useful for the Development, Manufacture or Commercialization of a Licensed Product.</w:t>
      </w:r>
    </w:p>
    <w:p>
      <w:pPr>
        <w:spacing w:after="0" w:line="20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1.11“</w:t>
      </w:r>
      <w:r>
        <w:rPr>
          <w:rFonts w:ascii="Arial" w:cs="Arial" w:eastAsia="Arial" w:hAnsi="Arial"/>
          <w:sz w:val="22"/>
          <w:szCs w:val="22"/>
          <w:b w:val="1"/>
          <w:bCs w:val="1"/>
          <w:i w:val="1"/>
          <w:iCs w:val="1"/>
          <w:color w:val="auto"/>
        </w:rPr>
        <w:t>CAMP4 Know-How</w:t>
      </w:r>
      <w:r>
        <w:rPr>
          <w:rFonts w:ascii="Arial" w:cs="Arial" w:eastAsia="Arial" w:hAnsi="Arial"/>
          <w:sz w:val="22"/>
          <w:szCs w:val="22"/>
          <w:color w:val="auto"/>
        </w:rPr>
        <w:t xml:space="preserve">” means any other Know-How Controlled by CAMP4 or its Affiliates as of the Effective Date or that becomes Controlled by CAMP4 or its Affiliates at any time during the Term that is necessary or reasonably useful for the Development, Manufacture or Commercialization of a Licensed Product developed pursuant to this Agreement, including for clarity the information listed in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29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1.12“</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means: (a) with respect to a Party, the acquisition by a Third Party, in one transaction or a series of related transactions, of direct or indirect beneficial ownership of more than fifty percent (50%) of the outstanding securities or combined voting power of such Party (or any controlling Affiliate of such Party); (b) a merger or consolidation or other business combination involving such Party, as a result of which a Third Party acquires direct or</w:t>
      </w: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429" w:right="1039" w:bottom="1440" w:gutter="0" w:footer="0" w:header="0"/>
        </w:sectPr>
      </w:pPr>
    </w:p>
    <w:bookmarkStart w:id="82" w:name="page83"/>
    <w:bookmarkEnd w:id="82"/>
    <w:p>
      <w:pPr>
        <w:jc w:val="both"/>
        <w:ind w:left="9"/>
        <w:spacing w:after="0" w:line="273" w:lineRule="auto"/>
        <w:rPr>
          <w:sz w:val="20"/>
          <w:szCs w:val="20"/>
          <w:color w:val="auto"/>
        </w:rPr>
      </w:pPr>
      <w:r>
        <w:rPr>
          <w:rFonts w:ascii="Arial" w:cs="Arial" w:eastAsia="Arial" w:hAnsi="Arial"/>
          <w:sz w:val="19"/>
          <w:szCs w:val="19"/>
          <w:color w:val="auto"/>
        </w:rPr>
        <w:t>indirect beneficial ownership of more than fifty percent (50%) of the outstanding securities or combined voting power of the surviving entity immediately after such merger, reorganization or combination; or (c) a sale of all or substantially all of the assets of such Party related to this Agreement in one transaction or a series of related transactions to a Third Party. The acquiring or combining Third Party in any of (a), (b) or (c), and any of such Third Party’s Affiliates (whether in existence as of or any time following the applicable transaction, but other than the acquired Party and its Affiliates as in existence prior to the applicable transaction or Affiliates it controls after the applicable transaction) are referred to collectively herein as the “</w:t>
      </w:r>
      <w:r>
        <w:rPr>
          <w:rFonts w:ascii="Arial" w:cs="Arial" w:eastAsia="Arial" w:hAnsi="Arial"/>
          <w:sz w:val="19"/>
          <w:szCs w:val="19"/>
          <w:b w:val="1"/>
          <w:bCs w:val="1"/>
          <w:i w:val="1"/>
          <w:iCs w:val="1"/>
          <w:color w:val="auto"/>
        </w:rPr>
        <w:t>Acquirer</w:t>
      </w:r>
      <w:r>
        <w:rPr>
          <w:rFonts w:ascii="Arial" w:cs="Arial" w:eastAsia="Arial" w:hAnsi="Arial"/>
          <w:sz w:val="19"/>
          <w:szCs w:val="19"/>
          <w:color w:val="auto"/>
        </w:rPr>
        <w:t>.” As used in this definition, “control” means (1) to possess, directly or indirectly, the power to direct or cause the direction of the management or policies of an entity, whether through ownership of outstanding securities or voting power or by contract relating to voting rights or corporate governance; or (2) direct or indirect ownership of more than fifty percent (50%) of the outstanding securities or voting power interest in such entity.</w:t>
      </w:r>
    </w:p>
    <w:p>
      <w:pPr>
        <w:spacing w:after="0" w:line="201"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has the meaning set forth in Section 7.1.4.</w:t>
      </w:r>
    </w:p>
    <w:p>
      <w:pPr>
        <w:spacing w:after="0" w:line="247" w:lineRule="exact"/>
        <w:rPr>
          <w:sz w:val="20"/>
          <w:szCs w:val="20"/>
          <w:color w:val="auto"/>
        </w:rPr>
      </w:pPr>
    </w:p>
    <w:p>
      <w:pPr>
        <w:jc w:val="both"/>
        <w:ind w:left="9" w:firstLine="749"/>
        <w:spacing w:after="0" w:line="250" w:lineRule="auto"/>
        <w:rPr>
          <w:sz w:val="20"/>
          <w:szCs w:val="20"/>
          <w:color w:val="auto"/>
        </w:rPr>
      </w:pPr>
      <w:r>
        <w:rPr>
          <w:rFonts w:ascii="Arial" w:cs="Arial" w:eastAsia="Arial" w:hAnsi="Arial"/>
          <w:sz w:val="22"/>
          <w:szCs w:val="22"/>
          <w:color w:val="auto"/>
        </w:rPr>
        <w:t>1.14“</w:t>
      </w:r>
      <w:r>
        <w:rPr>
          <w:rFonts w:ascii="Arial" w:cs="Arial" w:eastAsia="Arial" w:hAnsi="Arial"/>
          <w:sz w:val="22"/>
          <w:szCs w:val="22"/>
          <w:b w:val="1"/>
          <w:bCs w:val="1"/>
          <w:i w:val="1"/>
          <w:iCs w:val="1"/>
          <w:color w:val="auto"/>
        </w:rPr>
        <w:t>Clinical Trial</w:t>
      </w:r>
      <w:r>
        <w:rPr>
          <w:rFonts w:ascii="Arial" w:cs="Arial" w:eastAsia="Arial" w:hAnsi="Arial"/>
          <w:sz w:val="22"/>
          <w:szCs w:val="22"/>
          <w:color w:val="auto"/>
        </w:rPr>
        <w:t>” means a Phase I Clinical Trial, Phase II Clinical Trial or Phase III Clinical Trial, or any post-Regulatory Approval human clinical trial, as applicable.</w:t>
      </w:r>
    </w:p>
    <w:p>
      <w:pPr>
        <w:spacing w:after="0" w:line="202" w:lineRule="exact"/>
        <w:rPr>
          <w:sz w:val="20"/>
          <w:szCs w:val="20"/>
          <w:color w:val="auto"/>
        </w:rPr>
      </w:pPr>
    </w:p>
    <w:p>
      <w:pPr>
        <w:jc w:val="both"/>
        <w:ind w:left="9" w:firstLine="749"/>
        <w:spacing w:after="0" w:line="250" w:lineRule="auto"/>
        <w:rPr>
          <w:sz w:val="20"/>
          <w:szCs w:val="20"/>
          <w:color w:val="auto"/>
        </w:rPr>
      </w:pPr>
      <w:r>
        <w:rPr>
          <w:rFonts w:ascii="Arial" w:cs="Arial" w:eastAsia="Arial" w:hAnsi="Arial"/>
          <w:sz w:val="22"/>
          <w:szCs w:val="22"/>
          <w:color w:val="auto"/>
        </w:rPr>
        <w:t>1.15“</w:t>
      </w:r>
      <w:r>
        <w:rPr>
          <w:rFonts w:ascii="Arial" w:cs="Arial" w:eastAsia="Arial" w:hAnsi="Arial"/>
          <w:sz w:val="22"/>
          <w:szCs w:val="22"/>
          <w:b w:val="1"/>
          <w:bCs w:val="1"/>
          <w:i w:val="1"/>
          <w:iCs w:val="1"/>
          <w:color w:val="auto"/>
        </w:rPr>
        <w:t>CMCC</w:t>
      </w:r>
      <w:r>
        <w:rPr>
          <w:rFonts w:ascii="Arial" w:cs="Arial" w:eastAsia="Arial" w:hAnsi="Arial"/>
          <w:sz w:val="22"/>
          <w:szCs w:val="22"/>
          <w:color w:val="auto"/>
        </w:rPr>
        <w:t>” means the Children’s Medical Center Corporation, a charitable corporation having its principal office at 300 Longwood Avenue, Boston.</w:t>
      </w:r>
    </w:p>
    <w:p>
      <w:pPr>
        <w:spacing w:after="0" w:line="215"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CMCC Indemnitee</w:t>
      </w:r>
      <w:r>
        <w:rPr>
          <w:rFonts w:ascii="Arial" w:cs="Arial" w:eastAsia="Arial" w:hAnsi="Arial"/>
          <w:sz w:val="19"/>
          <w:szCs w:val="19"/>
          <w:color w:val="auto"/>
        </w:rPr>
        <w:t>” has the meaning set forth in Section 7.1.1.</w:t>
      </w:r>
    </w:p>
    <w:p>
      <w:pPr>
        <w:spacing w:after="0" w:line="247" w:lineRule="exact"/>
        <w:rPr>
          <w:sz w:val="20"/>
          <w:szCs w:val="20"/>
          <w:color w:val="auto"/>
        </w:rPr>
      </w:pPr>
    </w:p>
    <w:p>
      <w:pPr>
        <w:jc w:val="both"/>
        <w:ind w:left="9" w:right="20" w:firstLine="749"/>
        <w:spacing w:after="0" w:line="250" w:lineRule="auto"/>
        <w:rPr>
          <w:sz w:val="20"/>
          <w:szCs w:val="20"/>
          <w:color w:val="auto"/>
        </w:rPr>
      </w:pPr>
      <w:r>
        <w:rPr>
          <w:rFonts w:ascii="Arial" w:cs="Arial" w:eastAsia="Arial" w:hAnsi="Arial"/>
          <w:sz w:val="22"/>
          <w:szCs w:val="22"/>
          <w:color w:val="auto"/>
        </w:rPr>
        <w:t>1.17“</w:t>
      </w:r>
      <w:r>
        <w:rPr>
          <w:rFonts w:ascii="Arial" w:cs="Arial" w:eastAsia="Arial" w:hAnsi="Arial"/>
          <w:sz w:val="22"/>
          <w:szCs w:val="22"/>
          <w:b w:val="1"/>
          <w:bCs w:val="1"/>
          <w:i w:val="1"/>
          <w:iCs w:val="1"/>
          <w:color w:val="auto"/>
        </w:rPr>
        <w:t>CMCC Know-How</w:t>
      </w:r>
      <w:r>
        <w:rPr>
          <w:rFonts w:ascii="Arial" w:cs="Arial" w:eastAsia="Arial" w:hAnsi="Arial"/>
          <w:sz w:val="22"/>
          <w:szCs w:val="22"/>
          <w:color w:val="auto"/>
        </w:rPr>
        <w:t>” means all Know-How licensed to CAMP4 as of the Effective Date or at any time during the Term under the CMCC License Agreement.</w:t>
      </w:r>
    </w:p>
    <w:p>
      <w:pPr>
        <w:spacing w:after="0" w:line="202"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CMCC-Licensed Patents</w:t>
      </w:r>
      <w:r>
        <w:rPr>
          <w:rFonts w:ascii="Arial" w:cs="Arial" w:eastAsia="Arial" w:hAnsi="Arial"/>
          <w:sz w:val="19"/>
          <w:szCs w:val="19"/>
          <w:color w:val="auto"/>
        </w:rPr>
        <w:t xml:space="preserve">” means (i) the Patents listed in Part B of </w:t>
      </w:r>
      <w:r>
        <w:rPr>
          <w:rFonts w:ascii="Arial" w:cs="Arial" w:eastAsia="Arial" w:hAnsi="Arial"/>
          <w:sz w:val="19"/>
          <w:szCs w:val="19"/>
          <w:u w:val="single" w:color="auto"/>
          <w:color w:val="auto"/>
        </w:rPr>
        <w:t>Exhibit A</w:t>
      </w:r>
      <w:r>
        <w:rPr>
          <w:rFonts w:ascii="Arial" w:cs="Arial" w:eastAsia="Arial" w:hAnsi="Arial"/>
          <w:sz w:val="19"/>
          <w:szCs w:val="19"/>
          <w:color w:val="auto"/>
        </w:rPr>
        <w:t>; and</w:t>
      </w:r>
    </w:p>
    <w:p>
      <w:pPr>
        <w:spacing w:after="0" w:line="8" w:lineRule="exact"/>
        <w:rPr>
          <w:sz w:val="20"/>
          <w:szCs w:val="20"/>
          <w:color w:val="auto"/>
        </w:rPr>
      </w:pPr>
    </w:p>
    <w:p>
      <w:pPr>
        <w:ind w:left="9" w:right="60" w:hanging="9"/>
        <w:spacing w:after="0" w:line="236" w:lineRule="auto"/>
        <w:tabs>
          <w:tab w:leader="none" w:pos="327"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other Patents that are licensed to CAMP4 as of the Effective Date or at any time during the Term pursuant to the CMCC License Agreement.</w:t>
      </w:r>
    </w:p>
    <w:p>
      <w:pPr>
        <w:spacing w:after="0" w:line="227" w:lineRule="exact"/>
        <w:rPr>
          <w:sz w:val="20"/>
          <w:szCs w:val="20"/>
          <w:color w:val="auto"/>
        </w:rPr>
      </w:pPr>
    </w:p>
    <w:p>
      <w:pPr>
        <w:ind w:left="749"/>
        <w:spacing w:after="0"/>
        <w:rPr>
          <w:sz w:val="20"/>
          <w:szCs w:val="20"/>
          <w:color w:val="auto"/>
        </w:rPr>
      </w:pPr>
      <w:r>
        <w:rPr>
          <w:rFonts w:ascii="Arial" w:cs="Arial" w:eastAsia="Arial" w:hAnsi="Arial"/>
          <w:sz w:val="19"/>
          <w:szCs w:val="19"/>
          <w:color w:val="auto"/>
        </w:rPr>
        <w:t>1.19“</w:t>
      </w:r>
      <w:r>
        <w:rPr>
          <w:rFonts w:ascii="Arial" w:cs="Arial" w:eastAsia="Arial" w:hAnsi="Arial"/>
          <w:sz w:val="19"/>
          <w:szCs w:val="19"/>
          <w:b w:val="1"/>
          <w:bCs w:val="1"/>
          <w:i w:val="1"/>
          <w:iCs w:val="1"/>
          <w:color w:val="auto"/>
        </w:rPr>
        <w:t>CMCC License Agreement</w:t>
      </w:r>
      <w:r>
        <w:rPr>
          <w:rFonts w:ascii="Arial" w:cs="Arial" w:eastAsia="Arial" w:hAnsi="Arial"/>
          <w:sz w:val="19"/>
          <w:szCs w:val="19"/>
          <w:color w:val="auto"/>
        </w:rPr>
        <w:t>” means the license agreement between CMCC and CAMP4, dated April 19,</w:t>
      </w:r>
    </w:p>
    <w:p>
      <w:pPr>
        <w:spacing w:after="0" w:line="43" w:lineRule="exact"/>
        <w:rPr>
          <w:sz w:val="20"/>
          <w:szCs w:val="20"/>
          <w:color w:val="auto"/>
        </w:rPr>
      </w:pPr>
    </w:p>
    <w:p>
      <w:pPr>
        <w:ind w:left="9"/>
        <w:spacing w:after="0"/>
        <w:rPr>
          <w:sz w:val="20"/>
          <w:szCs w:val="20"/>
          <w:color w:val="auto"/>
        </w:rPr>
      </w:pPr>
      <w:r>
        <w:rPr>
          <w:rFonts w:ascii="Arial" w:cs="Arial" w:eastAsia="Arial" w:hAnsi="Arial"/>
          <w:sz w:val="22"/>
          <w:szCs w:val="22"/>
          <w:color w:val="auto"/>
        </w:rPr>
        <w:t>2018 (the “</w:t>
      </w:r>
      <w:r>
        <w:rPr>
          <w:rFonts w:ascii="Arial" w:cs="Arial" w:eastAsia="Arial" w:hAnsi="Arial"/>
          <w:sz w:val="22"/>
          <w:szCs w:val="22"/>
          <w:b w:val="1"/>
          <w:bCs w:val="1"/>
          <w:i w:val="1"/>
          <w:iCs w:val="1"/>
          <w:color w:val="auto"/>
        </w:rPr>
        <w:t>CMCC Agreement Effective Date</w:t>
      </w:r>
      <w:r>
        <w:rPr>
          <w:rFonts w:ascii="Arial" w:cs="Arial" w:eastAsia="Arial" w:hAnsi="Arial"/>
          <w:sz w:val="22"/>
          <w:szCs w:val="22"/>
          <w:color w:val="auto"/>
        </w:rPr>
        <w:t>”).</w:t>
      </w:r>
    </w:p>
    <w:p>
      <w:pPr>
        <w:spacing w:after="0" w:line="229"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 Milestone Event</w:t>
      </w:r>
      <w:r>
        <w:rPr>
          <w:rFonts w:ascii="Arial" w:cs="Arial" w:eastAsia="Arial" w:hAnsi="Arial"/>
          <w:sz w:val="19"/>
          <w:szCs w:val="19"/>
          <w:color w:val="auto"/>
        </w:rPr>
        <w:t>” has the meaning set forth in Section 4.2.</w:t>
      </w:r>
    </w:p>
    <w:p>
      <w:pPr>
        <w:spacing w:after="0" w:line="233"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 Milestone Payment</w:t>
      </w:r>
      <w:r>
        <w:rPr>
          <w:rFonts w:ascii="Arial" w:cs="Arial" w:eastAsia="Arial" w:hAnsi="Arial"/>
          <w:sz w:val="19"/>
          <w:szCs w:val="19"/>
          <w:color w:val="auto"/>
        </w:rPr>
        <w:t>” has the meaning set forth in Section 4.2.</w:t>
      </w:r>
    </w:p>
    <w:p>
      <w:pPr>
        <w:spacing w:after="0" w:line="247" w:lineRule="exact"/>
        <w:rPr>
          <w:sz w:val="20"/>
          <w:szCs w:val="20"/>
          <w:color w:val="auto"/>
        </w:rPr>
      </w:pPr>
    </w:p>
    <w:p>
      <w:pPr>
        <w:jc w:val="both"/>
        <w:ind w:left="9" w:firstLine="749"/>
        <w:spacing w:after="0" w:line="246" w:lineRule="auto"/>
        <w:rPr>
          <w:sz w:val="20"/>
          <w:szCs w:val="20"/>
          <w:color w:val="auto"/>
        </w:rPr>
      </w:pPr>
      <w:r>
        <w:rPr>
          <w:rFonts w:ascii="Arial" w:cs="Arial" w:eastAsia="Arial" w:hAnsi="Arial"/>
          <w:sz w:val="21"/>
          <w:szCs w:val="21"/>
          <w:color w:val="auto"/>
        </w:rPr>
        <w:t>1.22“</w:t>
      </w:r>
      <w:r>
        <w:rPr>
          <w:rFonts w:ascii="Arial" w:cs="Arial" w:eastAsia="Arial" w:hAnsi="Arial"/>
          <w:sz w:val="21"/>
          <w:szCs w:val="21"/>
          <w:b w:val="1"/>
          <w:bCs w:val="1"/>
          <w:i w:val="1"/>
          <w:iCs w:val="1"/>
          <w:color w:val="auto"/>
        </w:rPr>
        <w:t>Commercialization</w:t>
      </w:r>
      <w:r>
        <w:rPr>
          <w:rFonts w:ascii="Arial" w:cs="Arial" w:eastAsia="Arial" w:hAnsi="Arial"/>
          <w:sz w:val="21"/>
          <w:szCs w:val="21"/>
          <w:color w:val="auto"/>
        </w:rPr>
        <w:t>” means any and all activities directed to the offering for sale and sale of a Licensed Product, or other compound, product or therapy including: (a) activities directed to storing, marketing, promoting, detailing, distributing, importing, exporting, selling and offering to sell that Licensed Product, or other compound, product or therapy; (b) conducting Clinical Trials after Marketing Authorization of a Licensed Product, or other compound, product or therapy with respect to such Licensed Product, or other compound, product or therapy; (c) interacting with Regulatory Authorities regarding the foregoing; and (d) seeking Regulatory Approvals (as applicable) for and registration of that Licensed Product, or other compound,</w:t>
      </w:r>
    </w:p>
    <w:p>
      <w:pPr>
        <w:spacing w:after="0" w:line="200" w:lineRule="exact"/>
        <w:rPr>
          <w:sz w:val="20"/>
          <w:szCs w:val="20"/>
          <w:color w:val="auto"/>
        </w:rPr>
      </w:pPr>
    </w:p>
    <w:p>
      <w:pPr>
        <w:spacing w:after="0" w:line="268" w:lineRule="exact"/>
        <w:rPr>
          <w:sz w:val="20"/>
          <w:szCs w:val="20"/>
          <w:color w:val="auto"/>
        </w:rPr>
      </w:pPr>
    </w:p>
    <w:p>
      <w:pPr>
        <w:ind w:left="548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62865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9"/>
          </w:cols>
          <w:pgMar w:left="431" w:top="429" w:right="1039" w:bottom="1440" w:gutter="0" w:footer="0" w:header="0"/>
        </w:sectPr>
      </w:pPr>
    </w:p>
    <w:bookmarkStart w:id="83" w:name="page84"/>
    <w:bookmarkEnd w:id="83"/>
    <w:p>
      <w:pPr>
        <w:jc w:val="both"/>
        <w:ind w:left="7"/>
        <w:spacing w:after="0" w:line="257" w:lineRule="auto"/>
        <w:rPr>
          <w:sz w:val="20"/>
          <w:szCs w:val="20"/>
          <w:color w:val="auto"/>
        </w:rPr>
      </w:pPr>
      <w:r>
        <w:rPr>
          <w:rFonts w:ascii="Arial" w:cs="Arial" w:eastAsia="Arial" w:hAnsi="Arial"/>
          <w:sz w:val="21"/>
          <w:szCs w:val="21"/>
          <w:color w:val="auto"/>
        </w:rPr>
        <w:t xml:space="preserve">product or therapy beyond Marketing Authorization. For clarity, “Commercialization” does not include Development or Manufacturing activities. When used as a verb, “to </w:t>
      </w:r>
      <w:r>
        <w:rPr>
          <w:rFonts w:ascii="Arial" w:cs="Arial" w:eastAsia="Arial" w:hAnsi="Arial"/>
          <w:sz w:val="21"/>
          <w:szCs w:val="21"/>
          <w:b w:val="1"/>
          <w:bCs w:val="1"/>
          <w:i w:val="1"/>
          <w:iCs w:val="1"/>
          <w:color w:val="auto"/>
        </w:rPr>
        <w:t>Commercialize</w:t>
      </w:r>
      <w:r>
        <w:rPr>
          <w:rFonts w:ascii="Arial" w:cs="Arial" w:eastAsia="Arial" w:hAnsi="Arial"/>
          <w:sz w:val="21"/>
          <w:szCs w:val="21"/>
          <w:color w:val="auto"/>
        </w:rPr>
        <w:t>” and “</w:t>
      </w:r>
      <w:r>
        <w:rPr>
          <w:rFonts w:ascii="Arial" w:cs="Arial" w:eastAsia="Arial" w:hAnsi="Arial"/>
          <w:sz w:val="21"/>
          <w:szCs w:val="21"/>
          <w:b w:val="1"/>
          <w:bCs w:val="1"/>
          <w:i w:val="1"/>
          <w:iCs w:val="1"/>
          <w:color w:val="auto"/>
        </w:rPr>
        <w:t>Commercializing</w:t>
      </w:r>
      <w:r>
        <w:rPr>
          <w:rFonts w:ascii="Arial" w:cs="Arial" w:eastAsia="Arial" w:hAnsi="Arial"/>
          <w:sz w:val="21"/>
          <w:szCs w:val="21"/>
          <w:color w:val="auto"/>
        </w:rPr>
        <w:t>” means to engage in Commercialization and “</w:t>
      </w:r>
      <w:r>
        <w:rPr>
          <w:rFonts w:ascii="Arial" w:cs="Arial" w:eastAsia="Arial" w:hAnsi="Arial"/>
          <w:sz w:val="21"/>
          <w:szCs w:val="21"/>
          <w:b w:val="1"/>
          <w:bCs w:val="1"/>
          <w:i w:val="1"/>
          <w:iCs w:val="1"/>
          <w:color w:val="auto"/>
        </w:rPr>
        <w:t>Commercialized</w:t>
      </w:r>
      <w:r>
        <w:rPr>
          <w:rFonts w:ascii="Arial" w:cs="Arial" w:eastAsia="Arial" w:hAnsi="Arial"/>
          <w:sz w:val="21"/>
          <w:szCs w:val="21"/>
          <w:color w:val="auto"/>
        </w:rPr>
        <w:t>” has a corresponding meaning.</w:t>
      </w:r>
    </w:p>
    <w:p>
      <w:pPr>
        <w:spacing w:after="0" w:line="21" w:lineRule="exact"/>
        <w:rPr>
          <w:sz w:val="20"/>
          <w:szCs w:val="20"/>
          <w:color w:val="auto"/>
        </w:rPr>
      </w:pPr>
    </w:p>
    <w:p>
      <w:pPr>
        <w:jc w:val="both"/>
        <w:ind w:left="7" w:firstLine="749"/>
        <w:spacing w:after="0" w:line="250" w:lineRule="auto"/>
        <w:rPr>
          <w:sz w:val="20"/>
          <w:szCs w:val="20"/>
          <w:color w:val="auto"/>
        </w:rPr>
      </w:pPr>
      <w:r>
        <w:rPr>
          <w:rFonts w:ascii="Arial" w:cs="Arial" w:eastAsia="Arial" w:hAnsi="Arial"/>
          <w:sz w:val="22"/>
          <w:szCs w:val="22"/>
          <w:color w:val="auto"/>
        </w:rPr>
        <w:t>1.23“</w:t>
      </w:r>
      <w:r>
        <w:rPr>
          <w:rFonts w:ascii="Arial" w:cs="Arial" w:eastAsia="Arial" w:hAnsi="Arial"/>
          <w:sz w:val="22"/>
          <w:szCs w:val="22"/>
          <w:b w:val="1"/>
          <w:bCs w:val="1"/>
          <w:i w:val="1"/>
          <w:iCs w:val="1"/>
          <w:color w:val="auto"/>
        </w:rPr>
        <w:t>Commercially Reasonable Efforts</w:t>
      </w:r>
      <w:r>
        <w:rPr>
          <w:rFonts w:ascii="Arial" w:cs="Arial" w:eastAsia="Arial" w:hAnsi="Arial"/>
          <w:sz w:val="22"/>
          <w:szCs w:val="22"/>
          <w:color w:val="auto"/>
        </w:rPr>
        <w:t>” of a Party means [***]. For clarity, “Commercially Reasonable Efforts” shall be [***].</w:t>
      </w:r>
    </w:p>
    <w:p>
      <w:pPr>
        <w:spacing w:after="0" w:line="215" w:lineRule="exact"/>
        <w:rPr>
          <w:sz w:val="20"/>
          <w:szCs w:val="20"/>
          <w:color w:val="auto"/>
        </w:rPr>
      </w:pPr>
    </w:p>
    <w:p>
      <w:pPr>
        <w:ind w:left="747"/>
        <w:spacing w:after="0"/>
        <w:tabs>
          <w:tab w:leader="none" w:pos="1487"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Competing Product</w:t>
      </w:r>
      <w:r>
        <w:rPr>
          <w:rFonts w:ascii="Arial" w:cs="Arial" w:eastAsia="Arial" w:hAnsi="Arial"/>
          <w:sz w:val="19"/>
          <w:szCs w:val="19"/>
          <w:color w:val="auto"/>
        </w:rPr>
        <w:t>” has the meaning set forth in Section 2.6.1.</w:t>
      </w:r>
    </w:p>
    <w:p>
      <w:pPr>
        <w:spacing w:after="0" w:line="247" w:lineRule="exact"/>
        <w:rPr>
          <w:sz w:val="20"/>
          <w:szCs w:val="20"/>
          <w:color w:val="auto"/>
        </w:rPr>
      </w:pPr>
    </w:p>
    <w:p>
      <w:pPr>
        <w:jc w:val="both"/>
        <w:ind w:left="7" w:firstLine="749"/>
        <w:spacing w:after="0" w:line="233" w:lineRule="auto"/>
        <w:rPr>
          <w:sz w:val="20"/>
          <w:szCs w:val="20"/>
          <w:color w:val="auto"/>
        </w:rPr>
      </w:pPr>
      <w:r>
        <w:rPr>
          <w:rFonts w:ascii="Arial" w:cs="Arial" w:eastAsia="Arial" w:hAnsi="Arial"/>
          <w:sz w:val="22"/>
          <w:szCs w:val="22"/>
          <w:color w:val="auto"/>
        </w:rPr>
        <w:t>1.25“</w:t>
      </w:r>
      <w:r>
        <w:rPr>
          <w:rFonts w:ascii="Arial" w:cs="Arial" w:eastAsia="Arial" w:hAnsi="Arial"/>
          <w:sz w:val="22"/>
          <w:szCs w:val="22"/>
          <w:b w:val="1"/>
          <w:bCs w:val="1"/>
          <w:i w:val="1"/>
          <w:iCs w:val="1"/>
          <w:color w:val="auto"/>
        </w:rPr>
        <w:t>Confidential Information</w:t>
      </w:r>
      <w:r>
        <w:rPr>
          <w:rFonts w:ascii="Arial" w:cs="Arial" w:eastAsia="Arial" w:hAnsi="Arial"/>
          <w:sz w:val="22"/>
          <w:szCs w:val="22"/>
          <w:color w:val="auto"/>
        </w:rPr>
        <w:t>” means all information (including chemical or biological materials, chemical structures correspondence, customer lists, data, formulae, improvements, inventions, Know-How, processes, Regulatory Approvals, Regulatory Filings, reports, strategies, techniques, or other information) that is disclosed by or on behalf of such Party or any of its Affiliates to the other Party or any of its Affiliates pursuant to this Agreement or the Mutual Confidentiality Agreement, regardless of whether any of the foregoing are marked “confidential” or “proprietary” or communicated to the other Party by or on behalf of the Disclosing Party in oral, written, visual, graphic or electronic form. Without limiting the generality of the foregoing, Confidential Information includes: (a) information acquired by Fulcrum from CMCC in the course of Prosecution and Maintenance of the CMCC-Licensed Patents; and (b) information disclosed to CAMP4 pursuant to Sections 2.2, 3.3, 4.5, 4.7, 7.2 or other reporting obligations under this Agreement.</w:t>
      </w:r>
    </w:p>
    <w:p>
      <w:pPr>
        <w:spacing w:after="0" w:line="217" w:lineRule="exact"/>
        <w:rPr>
          <w:sz w:val="20"/>
          <w:szCs w:val="20"/>
          <w:color w:val="auto"/>
        </w:rPr>
      </w:pPr>
    </w:p>
    <w:p>
      <w:pPr>
        <w:jc w:val="both"/>
        <w:ind w:left="7" w:firstLine="749"/>
        <w:spacing w:after="0" w:line="268" w:lineRule="auto"/>
        <w:rPr>
          <w:sz w:val="20"/>
          <w:szCs w:val="20"/>
          <w:color w:val="auto"/>
        </w:rPr>
      </w:pPr>
      <w:r>
        <w:rPr>
          <w:rFonts w:ascii="Arial" w:cs="Arial" w:eastAsia="Arial" w:hAnsi="Arial"/>
          <w:sz w:val="19"/>
          <w:szCs w:val="19"/>
          <w:color w:val="auto"/>
        </w:rPr>
        <w:t>1.26“</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or “</w:t>
      </w:r>
      <w:r>
        <w:rPr>
          <w:rFonts w:ascii="Arial" w:cs="Arial" w:eastAsia="Arial" w:hAnsi="Arial"/>
          <w:sz w:val="19"/>
          <w:szCs w:val="19"/>
          <w:b w:val="1"/>
          <w:bCs w:val="1"/>
          <w:i w:val="1"/>
          <w:iCs w:val="1"/>
          <w:color w:val="auto"/>
        </w:rPr>
        <w:t>Controlled</w:t>
      </w:r>
      <w:r>
        <w:rPr>
          <w:rFonts w:ascii="Arial" w:cs="Arial" w:eastAsia="Arial" w:hAnsi="Arial"/>
          <w:sz w:val="19"/>
          <w:szCs w:val="19"/>
          <w:color w:val="auto"/>
        </w:rPr>
        <w:t xml:space="preserve">” means, with respect to any Know-How, Patents, or other intellectual property rights, that a Party has the legal authority or right (whether by ownership, license, or otherwise) to grant to the other Party a license, covenant not to sue, sublicense, access, or right to use (as applicable) under such Know-How, Patents, or other intellectual property rights, on the terms and conditions set forth herein without requiring any payment right to a Third Party arising from such Party’s use or exploitation of such Know-How, Patent, or other intellectual property (other than all Know-How, Patent and other intellectual property rights licensed to CAMP4 pursuant to the CMCC License Agreement, which shall be deemed Controlled by CAMP4 as of the Effective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Party or any of its Affiliates shall be deemed not to “Control” any Patent, Know-How, or other intellectual property right if such Patent, Know-How, or other intellectual property right is owned or in-licensed by an Acquirer of a Party that becomes an Affiliate of such Party (or that merges or consolidates with such Party) on or after the Effective Date as a result of a Change of Control of such Party, except to the extent, and only to the extent that, such Patent, Know-How, or other intellectual property right is (a) actually used by such Party or its Affiliates, or the Acquirer, to Develop, Manufacture, Commercialize, or otherwise exploit the Licensed Products following the consummation of such Change of Control or</w:t>
      </w:r>
    </w:p>
    <w:p>
      <w:pPr>
        <w:spacing w:after="0" w:line="5" w:lineRule="exact"/>
        <w:rPr>
          <w:sz w:val="20"/>
          <w:szCs w:val="20"/>
          <w:color w:val="auto"/>
        </w:rPr>
      </w:pPr>
    </w:p>
    <w:p>
      <w:pPr>
        <w:jc w:val="both"/>
        <w:ind w:left="7" w:right="20" w:hanging="7"/>
        <w:spacing w:after="0" w:line="234" w:lineRule="auto"/>
        <w:tabs>
          <w:tab w:leader="none" w:pos="338" w:val="left"/>
        </w:tabs>
        <w:numPr>
          <w:ilvl w:val="0"/>
          <w:numId w:val="52"/>
        </w:numPr>
        <w:rPr>
          <w:rFonts w:ascii="Arial" w:cs="Arial" w:eastAsia="Arial" w:hAnsi="Arial"/>
          <w:sz w:val="22"/>
          <w:szCs w:val="22"/>
          <w:color w:val="auto"/>
        </w:rPr>
      </w:pPr>
      <w:r>
        <w:rPr>
          <w:rFonts w:ascii="Arial" w:cs="Arial" w:eastAsia="Arial" w:hAnsi="Arial"/>
          <w:sz w:val="22"/>
          <w:szCs w:val="22"/>
          <w:color w:val="auto"/>
        </w:rPr>
        <w:t>made, conceived, or reduced to practice by the Acquirer or its Affiliates through the use of, or reference to, any Patent, Know-How, or other intellectual property right or Confidential Information of the other Party or (c) was Controlled by such Party or its Affiliates prior to the applicable Change of Control.</w:t>
      </w:r>
    </w:p>
    <w:p>
      <w:pPr>
        <w:spacing w:after="0" w:line="228" w:lineRule="exact"/>
        <w:rPr>
          <w:sz w:val="20"/>
          <w:szCs w:val="20"/>
          <w:color w:val="auto"/>
        </w:rPr>
      </w:pPr>
    </w:p>
    <w:p>
      <w:pPr>
        <w:jc w:val="both"/>
        <w:ind w:left="7" w:firstLine="749"/>
        <w:spacing w:after="0"/>
        <w:rPr>
          <w:sz w:val="20"/>
          <w:szCs w:val="20"/>
          <w:color w:val="auto"/>
        </w:rPr>
      </w:pPr>
      <w:r>
        <w:rPr>
          <w:rFonts w:ascii="Arial" w:cs="Arial" w:eastAsia="Arial" w:hAnsi="Arial"/>
          <w:sz w:val="22"/>
          <w:szCs w:val="22"/>
          <w:color w:val="auto"/>
        </w:rPr>
        <w:t>1.27“</w:t>
      </w:r>
      <w:r>
        <w:rPr>
          <w:rFonts w:ascii="Arial" w:cs="Arial" w:eastAsia="Arial" w:hAnsi="Arial"/>
          <w:sz w:val="22"/>
          <w:szCs w:val="22"/>
          <w:b w:val="1"/>
          <w:bCs w:val="1"/>
          <w:i w:val="1"/>
          <w:iCs w:val="1"/>
          <w:color w:val="auto"/>
        </w:rPr>
        <w:t>Cover</w:t>
      </w:r>
      <w:r>
        <w:rPr>
          <w:rFonts w:ascii="Arial" w:cs="Arial" w:eastAsia="Arial" w:hAnsi="Arial"/>
          <w:sz w:val="22"/>
          <w:szCs w:val="22"/>
          <w:color w:val="auto"/>
        </w:rPr>
        <w:t>” means, with respect to a given product, service or process, that a Valid Claim would, absent a license thereunder, be infringed by the manufacture, use, sale, offer for sale, importation or practice of such product, service or process.</w:t>
      </w:r>
    </w:p>
    <w:p>
      <w:pPr>
        <w:spacing w:after="0" w:line="200" w:lineRule="exact"/>
        <w:rPr>
          <w:sz w:val="20"/>
          <w:szCs w:val="20"/>
          <w:color w:val="auto"/>
        </w:rPr>
      </w:pPr>
    </w:p>
    <w:p>
      <w:pPr>
        <w:spacing w:after="0" w:line="270" w:lineRule="exact"/>
        <w:rPr>
          <w:sz w:val="20"/>
          <w:szCs w:val="20"/>
          <w:color w:val="auto"/>
        </w:rPr>
      </w:pPr>
    </w:p>
    <w:p>
      <w:pPr>
        <w:ind w:left="5487"/>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62865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7"/>
          </w:cols>
          <w:pgMar w:left="433" w:top="361" w:right="1039" w:bottom="1440" w:gutter="0" w:footer="0" w:header="0"/>
        </w:sectPr>
      </w:pPr>
    </w:p>
    <w:bookmarkStart w:id="84" w:name="page85"/>
    <w:bookmarkEnd w:id="84"/>
    <w:p>
      <w:pPr>
        <w:jc w:val="both"/>
        <w:ind w:right="20" w:firstLine="749"/>
        <w:spacing w:after="0"/>
        <w:rPr>
          <w:sz w:val="20"/>
          <w:szCs w:val="20"/>
          <w:color w:val="auto"/>
        </w:rPr>
      </w:pPr>
      <w:r>
        <w:rPr>
          <w:rFonts w:ascii="Arial" w:cs="Arial" w:eastAsia="Arial" w:hAnsi="Arial"/>
          <w:sz w:val="22"/>
          <w:szCs w:val="22"/>
          <w:color w:val="auto"/>
        </w:rPr>
        <w:t>1.28“</w:t>
      </w:r>
      <w:r>
        <w:rPr>
          <w:rFonts w:ascii="Arial" w:cs="Arial" w:eastAsia="Arial" w:hAnsi="Arial"/>
          <w:sz w:val="22"/>
          <w:szCs w:val="22"/>
          <w:b w:val="1"/>
          <w:bCs w:val="1"/>
          <w:i w:val="1"/>
          <w:iCs w:val="1"/>
          <w:color w:val="auto"/>
        </w:rPr>
        <w:t>DBA Program</w:t>
      </w:r>
      <w:r>
        <w:rPr>
          <w:rFonts w:ascii="Arial" w:cs="Arial" w:eastAsia="Arial" w:hAnsi="Arial"/>
          <w:sz w:val="22"/>
          <w:szCs w:val="22"/>
          <w:color w:val="auto"/>
        </w:rPr>
        <w:t>” means the research and development program conducted by CAMP4 under the CMCC-Licensed Patents and the CAMP4-Assignee Patents, focused on using [***] to rescue Diamond Blackfan Anemia disease states.</w:t>
      </w:r>
    </w:p>
    <w:p>
      <w:pPr>
        <w:spacing w:after="0" w:line="21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1.29“</w:t>
      </w:r>
      <w:r>
        <w:rPr>
          <w:rFonts w:ascii="Arial" w:cs="Arial" w:eastAsia="Arial" w:hAnsi="Arial"/>
          <w:sz w:val="22"/>
          <w:szCs w:val="22"/>
          <w:b w:val="1"/>
          <w:bCs w:val="1"/>
          <w:i w:val="1"/>
          <w:iCs w:val="1"/>
          <w:color w:val="auto"/>
        </w:rPr>
        <w:t>Development</w:t>
      </w:r>
      <w:r>
        <w:rPr>
          <w:rFonts w:ascii="Arial" w:cs="Arial" w:eastAsia="Arial" w:hAnsi="Arial"/>
          <w:sz w:val="22"/>
          <w:szCs w:val="22"/>
          <w:color w:val="auto"/>
        </w:rPr>
        <w:t>” or “</w:t>
      </w:r>
      <w:r>
        <w:rPr>
          <w:rFonts w:ascii="Arial" w:cs="Arial" w:eastAsia="Arial" w:hAnsi="Arial"/>
          <w:sz w:val="22"/>
          <w:szCs w:val="22"/>
          <w:b w:val="1"/>
          <w:bCs w:val="1"/>
          <w:i w:val="1"/>
          <w:iCs w:val="1"/>
          <w:color w:val="auto"/>
        </w:rPr>
        <w:t>Develop</w:t>
      </w:r>
      <w:r>
        <w:rPr>
          <w:rFonts w:ascii="Arial" w:cs="Arial" w:eastAsia="Arial" w:hAnsi="Arial"/>
          <w:sz w:val="22"/>
          <w:szCs w:val="22"/>
          <w:color w:val="auto"/>
        </w:rPr>
        <w:t xml:space="preserve">” means any and all activities directed to the non- clinical and clinical drug development activities that are necessary or useful to obtain Marketing Authorization for a Licensed Product, or other compound, product or therapy, including design and conduct of Clinical Trials and the preparation and filing of Regulatory Filings and all regulatory affairs related to the foregoing. For clarity, “Development” does not include Commercialization or Manufacturing activities. When used as a verb,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Developing</w:t>
      </w:r>
      <w:r>
        <w:rPr>
          <w:rFonts w:ascii="Arial" w:cs="Arial" w:eastAsia="Arial" w:hAnsi="Arial"/>
          <w:sz w:val="22"/>
          <w:szCs w:val="22"/>
          <w:b w:val="1"/>
          <w:bCs w:val="1"/>
          <w:color w:val="auto"/>
        </w:rPr>
        <w:t>”</w:t>
      </w:r>
      <w:r>
        <w:rPr>
          <w:rFonts w:ascii="Arial" w:cs="Arial" w:eastAsia="Arial" w:hAnsi="Arial"/>
          <w:sz w:val="22"/>
          <w:szCs w:val="22"/>
          <w:color w:val="auto"/>
        </w:rPr>
        <w:t xml:space="preserve"> means to engage in Development and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Developed</w:t>
      </w:r>
      <w:r>
        <w:rPr>
          <w:rFonts w:ascii="Arial" w:cs="Arial" w:eastAsia="Arial" w:hAnsi="Arial"/>
          <w:sz w:val="22"/>
          <w:szCs w:val="22"/>
          <w:b w:val="1"/>
          <w:bCs w:val="1"/>
          <w:color w:val="auto"/>
        </w:rPr>
        <w:t>”</w:t>
      </w:r>
      <w:r>
        <w:rPr>
          <w:rFonts w:ascii="Arial" w:cs="Arial" w:eastAsia="Arial" w:hAnsi="Arial"/>
          <w:sz w:val="22"/>
          <w:szCs w:val="22"/>
          <w:color w:val="auto"/>
        </w:rPr>
        <w:t xml:space="preserve"> has a corresponding meaning. For clarity, “</w:t>
      </w:r>
      <w:r>
        <w:rPr>
          <w:rFonts w:ascii="Arial" w:cs="Arial" w:eastAsia="Arial" w:hAnsi="Arial"/>
          <w:sz w:val="22"/>
          <w:szCs w:val="22"/>
          <w:b w:val="1"/>
          <w:bCs w:val="1"/>
          <w:i w:val="1"/>
          <w:iCs w:val="1"/>
          <w:color w:val="auto"/>
        </w:rPr>
        <w:t>Development</w:t>
      </w:r>
      <w:r>
        <w:rPr>
          <w:rFonts w:ascii="Arial" w:cs="Arial" w:eastAsia="Arial" w:hAnsi="Arial"/>
          <w:sz w:val="22"/>
          <w:szCs w:val="22"/>
          <w:color w:val="auto"/>
        </w:rPr>
        <w:t>” shall not include any Commercialization activities.</w:t>
      </w:r>
    </w:p>
    <w:p>
      <w:pPr>
        <w:spacing w:after="0" w:line="231"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Milestone Event</w:t>
      </w:r>
      <w:r>
        <w:rPr>
          <w:rFonts w:ascii="Arial" w:cs="Arial" w:eastAsia="Arial" w:hAnsi="Arial"/>
          <w:sz w:val="19"/>
          <w:szCs w:val="19"/>
          <w:color w:val="auto"/>
        </w:rPr>
        <w:t>” has the meaning set forth in Section 4.2.1.</w:t>
      </w:r>
    </w:p>
    <w:p>
      <w:pPr>
        <w:spacing w:after="0" w:line="24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Milestone Payment</w:t>
      </w:r>
      <w:r>
        <w:rPr>
          <w:rFonts w:ascii="Arial" w:cs="Arial" w:eastAsia="Arial" w:hAnsi="Arial"/>
          <w:sz w:val="19"/>
          <w:szCs w:val="19"/>
          <w:color w:val="auto"/>
        </w:rPr>
        <w:t>” has the meaning set forth in Section 4.2.1.</w:t>
      </w:r>
    </w:p>
    <w:p>
      <w:pPr>
        <w:spacing w:after="0" w:line="233"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Plan</w:t>
      </w:r>
      <w:r>
        <w:rPr>
          <w:rFonts w:ascii="Arial" w:cs="Arial" w:eastAsia="Arial" w:hAnsi="Arial"/>
          <w:sz w:val="19"/>
          <w:szCs w:val="19"/>
          <w:color w:val="auto"/>
        </w:rPr>
        <w:t>” has the meaning set forth in Section 3.3.</w:t>
      </w:r>
    </w:p>
    <w:p>
      <w:pPr>
        <w:spacing w:after="0" w:line="24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Development Report</w:t>
      </w:r>
      <w:r>
        <w:rPr>
          <w:rFonts w:ascii="Arial" w:cs="Arial" w:eastAsia="Arial" w:hAnsi="Arial"/>
          <w:sz w:val="19"/>
          <w:szCs w:val="19"/>
          <w:color w:val="auto"/>
        </w:rPr>
        <w:t>” has the meaning set forth in Section 3.3.</w:t>
      </w:r>
    </w:p>
    <w:p>
      <w:pPr>
        <w:spacing w:after="0" w:line="247"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1.34“</w:t>
      </w:r>
      <w:r>
        <w:rPr>
          <w:rFonts w:ascii="Arial" w:cs="Arial" w:eastAsia="Arial" w:hAnsi="Arial"/>
          <w:sz w:val="22"/>
          <w:szCs w:val="22"/>
          <w:b w:val="1"/>
          <w:bCs w:val="1"/>
          <w:i w:val="1"/>
          <w:iCs w:val="1"/>
          <w:color w:val="auto"/>
        </w:rPr>
        <w:t>DFCI</w:t>
      </w:r>
      <w:r>
        <w:rPr>
          <w:rFonts w:ascii="Arial" w:cs="Arial" w:eastAsia="Arial" w:hAnsi="Arial"/>
          <w:sz w:val="22"/>
          <w:szCs w:val="22"/>
          <w:color w:val="auto"/>
        </w:rPr>
        <w:t>” means the Dana Farber Cancer Institute, a charitable corporation having its principal office at 450 Brookline Avenue, Boston.</w:t>
      </w:r>
    </w:p>
    <w:p>
      <w:pPr>
        <w:spacing w:after="0" w:line="202"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has the meaning set forth in Section 8.1.1.</w:t>
      </w:r>
    </w:p>
    <w:p>
      <w:pPr>
        <w:spacing w:after="0" w:line="24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Dispute</w:t>
      </w:r>
      <w:r>
        <w:rPr>
          <w:rFonts w:ascii="Arial" w:cs="Arial" w:eastAsia="Arial" w:hAnsi="Arial"/>
          <w:sz w:val="19"/>
          <w:szCs w:val="19"/>
          <w:color w:val="auto"/>
        </w:rPr>
        <w:t>” has the meaning set forth in Section 10.2.</w:t>
      </w:r>
    </w:p>
    <w:p>
      <w:pPr>
        <w:spacing w:after="0" w:line="24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Dollar</w:t>
      </w:r>
      <w:r>
        <w:rPr>
          <w:rFonts w:ascii="Arial" w:cs="Arial" w:eastAsia="Arial" w:hAnsi="Arial"/>
          <w:sz w:val="19"/>
          <w:szCs w:val="19"/>
          <w:color w:val="auto"/>
        </w:rPr>
        <w:t>” means a U.S. dollar, and “</w:t>
      </w:r>
      <w:r>
        <w:rPr>
          <w:rFonts w:ascii="Arial" w:cs="Arial" w:eastAsia="Arial" w:hAnsi="Arial"/>
          <w:sz w:val="19"/>
          <w:szCs w:val="19"/>
          <w:b w:val="1"/>
          <w:bCs w:val="1"/>
          <w:i w:val="1"/>
          <w:iCs w:val="1"/>
          <w:color w:val="auto"/>
        </w:rPr>
        <w:t>$</w:t>
      </w:r>
      <w:r>
        <w:rPr>
          <w:rFonts w:ascii="Arial" w:cs="Arial" w:eastAsia="Arial" w:hAnsi="Arial"/>
          <w:sz w:val="19"/>
          <w:szCs w:val="19"/>
          <w:color w:val="auto"/>
        </w:rPr>
        <w:t>” is to be interpreted accordingly.</w:t>
      </w:r>
    </w:p>
    <w:p>
      <w:pPr>
        <w:spacing w:after="0" w:line="233"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has the meaning set forth in the preamble to this Agreement.</w:t>
      </w:r>
    </w:p>
    <w:p>
      <w:pPr>
        <w:spacing w:after="0" w:line="247" w:lineRule="exact"/>
        <w:rPr>
          <w:sz w:val="20"/>
          <w:szCs w:val="20"/>
          <w:color w:val="auto"/>
        </w:rPr>
      </w:pPr>
    </w:p>
    <w:p>
      <w:pPr>
        <w:ind w:left="740"/>
        <w:spacing w:after="0"/>
        <w:rPr>
          <w:sz w:val="20"/>
          <w:szCs w:val="20"/>
          <w:color w:val="auto"/>
        </w:rPr>
      </w:pPr>
      <w:r>
        <w:rPr>
          <w:rFonts w:ascii="Arial" w:cs="Arial" w:eastAsia="Arial" w:hAnsi="Arial"/>
          <w:sz w:val="21"/>
          <w:szCs w:val="21"/>
          <w:color w:val="auto"/>
        </w:rPr>
        <w:t>1.39“</w:t>
      </w:r>
      <w:r>
        <w:rPr>
          <w:rFonts w:ascii="Arial" w:cs="Arial" w:eastAsia="Arial" w:hAnsi="Arial"/>
          <w:sz w:val="21"/>
          <w:szCs w:val="21"/>
          <w:b w:val="1"/>
          <w:bCs w:val="1"/>
          <w:i w:val="1"/>
          <w:iCs w:val="1"/>
          <w:color w:val="auto"/>
        </w:rPr>
        <w:t>EMA Approval</w:t>
      </w:r>
      <w:r>
        <w:rPr>
          <w:rFonts w:ascii="Arial" w:cs="Arial" w:eastAsia="Arial" w:hAnsi="Arial"/>
          <w:sz w:val="21"/>
          <w:szCs w:val="21"/>
          <w:color w:val="auto"/>
        </w:rPr>
        <w:t>” means the grant of Marketing Authorization by the European Medicines Agency.</w:t>
      </w:r>
    </w:p>
    <w:p>
      <w:pPr>
        <w:spacing w:after="0" w:line="258"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1.40“</w:t>
      </w:r>
      <w:r>
        <w:rPr>
          <w:rFonts w:ascii="Arial" w:cs="Arial" w:eastAsia="Arial" w:hAnsi="Arial"/>
          <w:sz w:val="19"/>
          <w:szCs w:val="19"/>
          <w:b w:val="1"/>
          <w:bCs w:val="1"/>
          <w:i w:val="1"/>
          <w:iCs w:val="1"/>
          <w:color w:val="auto"/>
        </w:rPr>
        <w:t>Executive Officers</w:t>
      </w:r>
      <w:r>
        <w:rPr>
          <w:rFonts w:ascii="Arial" w:cs="Arial" w:eastAsia="Arial" w:hAnsi="Arial"/>
          <w:sz w:val="19"/>
          <w:szCs w:val="19"/>
          <w:color w:val="auto"/>
        </w:rPr>
        <w:t>” means the President and Chief Executive Officer of each Party (or in the event that these roles become held by separate people, either the President or the Chief Executive Officer for such Party).</w:t>
      </w:r>
    </w:p>
    <w:p>
      <w:pPr>
        <w:spacing w:after="0" w:line="37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618" w:right="1039" w:bottom="1440" w:gutter="0" w:footer="0" w:header="0"/>
        </w:sectPr>
      </w:pPr>
    </w:p>
    <w:bookmarkStart w:id="85" w:name="page86"/>
    <w:bookmarkEnd w:id="85"/>
    <w:p>
      <w:pPr>
        <w:ind w:left="749"/>
        <w:spacing w:after="0"/>
        <w:rPr>
          <w:sz w:val="20"/>
          <w:szCs w:val="20"/>
          <w:color w:val="auto"/>
        </w:rPr>
      </w:pPr>
      <w:r>
        <w:rPr>
          <w:rFonts w:ascii="Arial" w:cs="Arial" w:eastAsia="Arial" w:hAnsi="Arial"/>
          <w:sz w:val="21"/>
          <w:szCs w:val="21"/>
          <w:color w:val="auto"/>
        </w:rPr>
        <w:t>1.41“</w:t>
      </w:r>
      <w:r>
        <w:rPr>
          <w:rFonts w:ascii="Arial" w:cs="Arial" w:eastAsia="Arial" w:hAnsi="Arial"/>
          <w:sz w:val="21"/>
          <w:szCs w:val="21"/>
          <w:b w:val="1"/>
          <w:bCs w:val="1"/>
          <w:i w:val="1"/>
          <w:iCs w:val="1"/>
          <w:color w:val="auto"/>
        </w:rPr>
        <w:t>FDA</w:t>
      </w:r>
      <w:r>
        <w:rPr>
          <w:rFonts w:ascii="Arial" w:cs="Arial" w:eastAsia="Arial" w:hAnsi="Arial"/>
          <w:sz w:val="21"/>
          <w:szCs w:val="21"/>
          <w:color w:val="auto"/>
        </w:rPr>
        <w:t>” means the United States Food and Drug Administration or any successor agency thereto.</w:t>
      </w:r>
    </w:p>
    <w:p>
      <w:pPr>
        <w:spacing w:after="0" w:line="20" w:lineRule="exact"/>
        <w:rPr>
          <w:sz w:val="20"/>
          <w:szCs w:val="20"/>
          <w:color w:val="auto"/>
        </w:rPr>
      </w:pPr>
    </w:p>
    <w:p>
      <w:pPr>
        <w:ind w:left="9" w:firstLine="749"/>
        <w:spacing w:after="0" w:line="236" w:lineRule="auto"/>
        <w:rPr>
          <w:sz w:val="20"/>
          <w:szCs w:val="20"/>
          <w:color w:val="auto"/>
        </w:rPr>
      </w:pPr>
      <w:r>
        <w:rPr>
          <w:rFonts w:ascii="Arial" w:cs="Arial" w:eastAsia="Arial" w:hAnsi="Arial"/>
          <w:sz w:val="22"/>
          <w:szCs w:val="22"/>
          <w:color w:val="auto"/>
        </w:rPr>
        <w:t>1.42“</w:t>
      </w:r>
      <w:r>
        <w:rPr>
          <w:rFonts w:ascii="Arial" w:cs="Arial" w:eastAsia="Arial" w:hAnsi="Arial"/>
          <w:sz w:val="22"/>
          <w:szCs w:val="22"/>
          <w:b w:val="1"/>
          <w:bCs w:val="1"/>
          <w:i w:val="1"/>
          <w:iCs w:val="1"/>
          <w:color w:val="auto"/>
        </w:rPr>
        <w:t>Field</w:t>
      </w:r>
      <w:r>
        <w:rPr>
          <w:rFonts w:ascii="Arial" w:cs="Arial" w:eastAsia="Arial" w:hAnsi="Arial"/>
          <w:sz w:val="22"/>
          <w:szCs w:val="22"/>
          <w:color w:val="auto"/>
        </w:rPr>
        <w:t>” means all uses and purposes, including any and all uses for the diagnosis, prevention, amelioration, or treatment of any disease or medical condition in humans and animals.</w:t>
      </w:r>
    </w:p>
    <w:p>
      <w:pPr>
        <w:spacing w:after="0" w:line="227"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First Commercial Sale</w:t>
      </w:r>
      <w:r>
        <w:rPr>
          <w:rFonts w:ascii="Arial" w:cs="Arial" w:eastAsia="Arial" w:hAnsi="Arial"/>
          <w:sz w:val="19"/>
          <w:szCs w:val="19"/>
          <w:color w:val="auto"/>
        </w:rPr>
        <w:t>” means, with respect to a Licensed Product in any country:</w:t>
      </w:r>
    </w:p>
    <w:p>
      <w:pPr>
        <w:spacing w:after="0" w:line="8" w:lineRule="exact"/>
        <w:rPr>
          <w:sz w:val="20"/>
          <w:szCs w:val="20"/>
          <w:color w:val="auto"/>
        </w:rPr>
      </w:pPr>
    </w:p>
    <w:p>
      <w:pPr>
        <w:jc w:val="both"/>
        <w:ind w:left="9" w:hanging="9"/>
        <w:spacing w:after="0" w:line="273" w:lineRule="auto"/>
        <w:tabs>
          <w:tab w:leader="none" w:pos="294"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the first sale of such Licensed Product by Fulcrum, its Affiliate, Sublicensee or authorized agent in that country, following Marketing Authorization of such Licensed Product if any such Marketing Authorization is necessary, for such country in which the sale is to be made; or (ii) when Marketing Authorization is not required, the first sale in that country of such Licensed Product by Fulcrum, its Affiliate, Sublicensee or authorized agent in that country,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sale, disposal or use of any Licensed Product for marketing, regulatory, development or charitable purposes, such as clinical trials, preclinical trials, compassionate use, named patient use, expanded access programs or indigent patient programs, in each case at or below cost, shall not be deemed a First Commercial Sale.</w:t>
      </w:r>
    </w:p>
    <w:p>
      <w:pPr>
        <w:spacing w:after="0" w:line="186"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Fulcrum</w:t>
      </w:r>
      <w:r>
        <w:rPr>
          <w:rFonts w:ascii="Arial" w:cs="Arial" w:eastAsia="Arial" w:hAnsi="Arial"/>
          <w:sz w:val="19"/>
          <w:szCs w:val="19"/>
          <w:color w:val="auto"/>
        </w:rPr>
        <w:t>” has the meaning set forth in the Preamble.</w:t>
      </w:r>
    </w:p>
    <w:p>
      <w:pPr>
        <w:spacing w:after="0" w:line="247"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Fulcrum Indemnitee</w:t>
      </w:r>
      <w:r>
        <w:rPr>
          <w:rFonts w:ascii="Arial" w:cs="Arial" w:eastAsia="Arial" w:hAnsi="Arial"/>
          <w:sz w:val="19"/>
          <w:szCs w:val="19"/>
          <w:color w:val="auto"/>
        </w:rPr>
        <w:t>” has the meaning set forth in Section 7.1.5.</w:t>
      </w:r>
    </w:p>
    <w:p>
      <w:pPr>
        <w:spacing w:after="0" w:line="247" w:lineRule="exact"/>
        <w:rPr>
          <w:sz w:val="20"/>
          <w:szCs w:val="20"/>
          <w:color w:val="auto"/>
        </w:rPr>
      </w:pPr>
    </w:p>
    <w:p>
      <w:pPr>
        <w:jc w:val="both"/>
        <w:ind w:left="9" w:firstLine="749"/>
        <w:spacing w:after="0" w:line="244" w:lineRule="auto"/>
        <w:rPr>
          <w:sz w:val="20"/>
          <w:szCs w:val="20"/>
          <w:color w:val="auto"/>
        </w:rPr>
      </w:pPr>
      <w:r>
        <w:rPr>
          <w:rFonts w:ascii="Arial" w:cs="Arial" w:eastAsia="Arial" w:hAnsi="Arial"/>
          <w:sz w:val="21"/>
          <w:szCs w:val="21"/>
          <w:color w:val="auto"/>
        </w:rPr>
        <w:t>1.46“</w:t>
      </w:r>
      <w:r>
        <w:rPr>
          <w:rFonts w:ascii="Arial" w:cs="Arial" w:eastAsia="Arial" w:hAnsi="Arial"/>
          <w:sz w:val="21"/>
          <w:szCs w:val="21"/>
          <w:b w:val="1"/>
          <w:bCs w:val="1"/>
          <w:i w:val="1"/>
          <w:iCs w:val="1"/>
          <w:color w:val="auto"/>
        </w:rPr>
        <w:t>Generic Product</w:t>
      </w:r>
      <w:r>
        <w:rPr>
          <w:rFonts w:ascii="Arial" w:cs="Arial" w:eastAsia="Arial" w:hAnsi="Arial"/>
          <w:sz w:val="21"/>
          <w:szCs w:val="21"/>
          <w:color w:val="auto"/>
        </w:rPr>
        <w:t>” means, with respect to a Licensed Product, and on a Licensed Product-by-Licensed Product and country-by-country basis, any product (including a “generic product,” “biogeneric,” “follow-on biologic,” “follow-on biological product,” “follow-on protein product,” “similar biological medicinal product,” or “biosimilar product”) approved by way of an abbreviated regulatory mechanism by the relevant Regulatory Authority in a country in reference to such Licensed Product, that in each case: (a) is sold in the same country (or is commercially available in the same country via import from another country) as such Licensed Product by any Third Party that is not a Sublicensee of Fulcrum or its Affiliates and that did not purchase such product in a chain of distribution that included any of Fulcrum or any of its Affiliates or its Sublicensees; and (b) either (i) contains an active ingredient that is highly similar to and has no clinically meaningful differences from the Licensed Product or (ii) meets the equivalency determination by the applicable Regulatory Authority in such country (including a determination that the product is “comparable,” “interchangeable,” “bioequivalent,” “biosimilar” or other term of similar meaning, with respect to the Licensed Product), in each case, as is necessary to permit substitution of such product for the Licensed Product under Applicable Law in such country.</w:t>
      </w:r>
    </w:p>
    <w:p>
      <w:pPr>
        <w:spacing w:after="0" w:line="210" w:lineRule="exact"/>
        <w:rPr>
          <w:sz w:val="20"/>
          <w:szCs w:val="20"/>
          <w:color w:val="auto"/>
        </w:rPr>
      </w:pPr>
    </w:p>
    <w:p>
      <w:pPr>
        <w:ind w:left="749"/>
        <w:spacing w:after="0"/>
        <w:rPr>
          <w:sz w:val="20"/>
          <w:szCs w:val="20"/>
          <w:color w:val="auto"/>
        </w:rPr>
      </w:pPr>
      <w:r>
        <w:rPr>
          <w:rFonts w:ascii="Arial" w:cs="Arial" w:eastAsia="Arial" w:hAnsi="Arial"/>
          <w:sz w:val="22"/>
          <w:szCs w:val="22"/>
          <w:color w:val="auto"/>
        </w:rPr>
        <w:t>1.47[***]</w:t>
      </w:r>
    </w:p>
    <w:p>
      <w:pPr>
        <w:spacing w:after="0" w:line="247" w:lineRule="exact"/>
        <w:rPr>
          <w:sz w:val="20"/>
          <w:szCs w:val="20"/>
          <w:color w:val="auto"/>
        </w:rPr>
      </w:pPr>
    </w:p>
    <w:p>
      <w:pPr>
        <w:jc w:val="both"/>
        <w:ind w:left="9" w:firstLine="749"/>
        <w:spacing w:after="0" w:line="236" w:lineRule="auto"/>
        <w:rPr>
          <w:sz w:val="20"/>
          <w:szCs w:val="20"/>
          <w:color w:val="auto"/>
        </w:rPr>
      </w:pPr>
      <w:r>
        <w:rPr>
          <w:rFonts w:ascii="Arial" w:cs="Arial" w:eastAsia="Arial" w:hAnsi="Arial"/>
          <w:sz w:val="22"/>
          <w:szCs w:val="22"/>
          <w:color w:val="auto"/>
        </w:rPr>
        <w:t>1.48“</w:t>
      </w:r>
      <w:r>
        <w:rPr>
          <w:rFonts w:ascii="Arial" w:cs="Arial" w:eastAsia="Arial" w:hAnsi="Arial"/>
          <w:sz w:val="22"/>
          <w:szCs w:val="22"/>
          <w:b w:val="1"/>
          <w:bCs w:val="1"/>
          <w:i w:val="1"/>
          <w:iCs w:val="1"/>
          <w:color w:val="auto"/>
        </w:rPr>
        <w:t>Governmental Authority</w:t>
      </w:r>
      <w:r>
        <w:rPr>
          <w:rFonts w:ascii="Arial" w:cs="Arial" w:eastAsia="Arial" w:hAnsi="Arial"/>
          <w:sz w:val="22"/>
          <w:szCs w:val="22"/>
          <w:color w:val="auto"/>
        </w:rPr>
        <w:t>” means any federal, national, international, regional, state, provincial or local government, or political subdivision thereof, or any multinational organization or any authority, agency or commission entitled to exercise any administrative, executive, judicial, legislative, police, regulatory or taxing authority or power, and any court or tribunal (or any department, bureau or division thereof, or any governmental arbitrator or arbitral body).</w:t>
      </w:r>
    </w:p>
    <w:p>
      <w:pPr>
        <w:spacing w:after="0" w:line="200" w:lineRule="exact"/>
        <w:rPr>
          <w:sz w:val="20"/>
          <w:szCs w:val="20"/>
          <w:color w:val="auto"/>
        </w:rPr>
      </w:pPr>
    </w:p>
    <w:p>
      <w:pPr>
        <w:spacing w:after="0" w:line="271" w:lineRule="exact"/>
        <w:rPr>
          <w:sz w:val="20"/>
          <w:szCs w:val="20"/>
          <w:color w:val="auto"/>
        </w:rPr>
      </w:pPr>
    </w:p>
    <w:p>
      <w:pPr>
        <w:ind w:left="548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62865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9"/>
          </w:cols>
          <w:pgMar w:left="431" w:top="685" w:right="1039" w:bottom="1440" w:gutter="0" w:footer="0" w:header="0"/>
        </w:sectPr>
      </w:pPr>
    </w:p>
    <w:bookmarkStart w:id="86" w:name="page87"/>
    <w:bookmarkEnd w:id="86"/>
    <w:p>
      <w:pPr>
        <w:ind w:left="740"/>
        <w:spacing w:after="0"/>
        <w:tabs>
          <w:tab w:leader="none" w:pos="148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Harvard</w:t>
      </w:r>
      <w:r>
        <w:rPr>
          <w:rFonts w:ascii="Arial" w:cs="Arial" w:eastAsia="Arial" w:hAnsi="Arial"/>
          <w:sz w:val="19"/>
          <w:szCs w:val="19"/>
          <w:color w:val="auto"/>
        </w:rPr>
        <w:t>” means the President and Fellows of Harvard College.</w:t>
      </w:r>
    </w:p>
    <w:p>
      <w:pPr>
        <w:spacing w:after="0" w:line="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1.50“</w:t>
      </w:r>
      <w:r>
        <w:rPr>
          <w:rFonts w:ascii="Arial" w:cs="Arial" w:eastAsia="Arial" w:hAnsi="Arial"/>
          <w:sz w:val="22"/>
          <w:szCs w:val="22"/>
          <w:b w:val="1"/>
          <w:bCs w:val="1"/>
          <w:i w:val="1"/>
          <w:iCs w:val="1"/>
          <w:color w:val="auto"/>
        </w:rPr>
        <w:t>HHMI</w:t>
      </w:r>
      <w:r>
        <w:rPr>
          <w:rFonts w:ascii="Arial" w:cs="Arial" w:eastAsia="Arial" w:hAnsi="Arial"/>
          <w:sz w:val="22"/>
          <w:szCs w:val="22"/>
          <w:color w:val="auto"/>
        </w:rPr>
        <w:t>” means the Howard Hughes Medical Institute, a private non-profit medical research organization having its principal office at 4000 Jones Bridge Rd, Chevy Chase, Maryland.</w:t>
      </w:r>
    </w:p>
    <w:p>
      <w:pPr>
        <w:spacing w:after="0" w:line="22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has the meaning set forth in Section 7.1.7.</w:t>
      </w:r>
    </w:p>
    <w:p>
      <w:pPr>
        <w:spacing w:after="0" w:line="233"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Indemnitor</w:t>
      </w:r>
      <w:r>
        <w:rPr>
          <w:rFonts w:ascii="Arial" w:cs="Arial" w:eastAsia="Arial" w:hAnsi="Arial"/>
          <w:sz w:val="19"/>
          <w:szCs w:val="19"/>
          <w:color w:val="auto"/>
        </w:rPr>
        <w:t>” has the meaning set forth in Section 7.1.7.</w:t>
      </w:r>
    </w:p>
    <w:p>
      <w:pPr>
        <w:spacing w:after="0" w:line="24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Infringement</w:t>
      </w:r>
      <w:r>
        <w:rPr>
          <w:rFonts w:ascii="Arial" w:cs="Arial" w:eastAsia="Arial" w:hAnsi="Arial"/>
          <w:sz w:val="19"/>
          <w:szCs w:val="19"/>
          <w:color w:val="auto"/>
        </w:rPr>
        <w:t>” has the meaning set forth in Section 5.2.1.</w:t>
      </w:r>
    </w:p>
    <w:p>
      <w:pPr>
        <w:spacing w:after="0" w:line="24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1.54“</w:t>
      </w:r>
      <w:r>
        <w:rPr>
          <w:rFonts w:ascii="Arial" w:cs="Arial" w:eastAsia="Arial" w:hAnsi="Arial"/>
          <w:sz w:val="19"/>
          <w:szCs w:val="19"/>
          <w:b w:val="1"/>
          <w:bCs w:val="1"/>
          <w:i w:val="1"/>
          <w:iCs w:val="1"/>
          <w:color w:val="auto"/>
        </w:rPr>
        <w:t>Know-How</w:t>
      </w:r>
      <w:r>
        <w:rPr>
          <w:rFonts w:ascii="Arial" w:cs="Arial" w:eastAsia="Arial" w:hAnsi="Arial"/>
          <w:sz w:val="19"/>
          <w:szCs w:val="19"/>
          <w:color w:val="auto"/>
        </w:rPr>
        <w:t>” means any proprietary scientific or technical information, inventions, discoveries, results and data of any type whatsoever, in any tangible or intangible form, including inventions, discoveries, databases, safety information, practices, methods, instructions, techniques, processes, drawings, documentation, specifications, formulations, formulae, knowledge, know- how, trade secrets, materials, skill, experience, test data and other information and technology applicable to formulations, compositions or products or to their Research, Development, Manufacture, use, or Commercialization or to methods of assaying or testing them, including pharmacological, pharmaceutical, medicinal chemistry, biological, chemical, biochemical, toxicological and clinical test data, physical and analytical, safety, quality control data, manufacturing, and stability data, materials, studies and procedures, and manufacturing process and development information, results and data.</w:t>
      </w:r>
    </w:p>
    <w:p>
      <w:pPr>
        <w:spacing w:after="0" w:line="185"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Japan Approval</w:t>
      </w:r>
      <w:r>
        <w:rPr>
          <w:rFonts w:ascii="Arial" w:cs="Arial" w:eastAsia="Arial" w:hAnsi="Arial"/>
          <w:sz w:val="19"/>
          <w:szCs w:val="19"/>
          <w:color w:val="auto"/>
        </w:rPr>
        <w:t>” means the grant of Marketing Authorization in Japan.</w:t>
      </w:r>
    </w:p>
    <w:p>
      <w:pPr>
        <w:spacing w:after="0" w:line="24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1.56“</w:t>
      </w:r>
      <w:r>
        <w:rPr>
          <w:rFonts w:ascii="Arial" w:cs="Arial" w:eastAsia="Arial" w:hAnsi="Arial"/>
          <w:sz w:val="22"/>
          <w:szCs w:val="22"/>
          <w:b w:val="1"/>
          <w:bCs w:val="1"/>
          <w:i w:val="1"/>
          <w:iCs w:val="1"/>
          <w:color w:val="auto"/>
        </w:rPr>
        <w:t>Licensed Patents</w:t>
      </w:r>
      <w:r>
        <w:rPr>
          <w:rFonts w:ascii="Arial" w:cs="Arial" w:eastAsia="Arial" w:hAnsi="Arial"/>
          <w:sz w:val="22"/>
          <w:szCs w:val="22"/>
          <w:color w:val="auto"/>
        </w:rPr>
        <w:t>” means the CAMP4-Assignee Patents and the CMCC-Licensed Patents.</w:t>
      </w:r>
    </w:p>
    <w:p>
      <w:pPr>
        <w:spacing w:after="0" w:line="24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Licensed Product</w:t>
      </w:r>
      <w:r>
        <w:rPr>
          <w:rFonts w:ascii="Arial" w:cs="Arial" w:eastAsia="Arial" w:hAnsi="Arial"/>
          <w:sz w:val="19"/>
          <w:szCs w:val="19"/>
          <w:color w:val="auto"/>
        </w:rPr>
        <w:t>” means any Tier 1 Product or Tier 2 Product.</w:t>
      </w:r>
    </w:p>
    <w:p>
      <w:pPr>
        <w:spacing w:after="0" w:line="233"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has the meaning set forth in Section 7.1.1.</w:t>
      </w:r>
    </w:p>
    <w:p>
      <w:pPr>
        <w:spacing w:after="0" w:line="247"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1.59“</w:t>
      </w:r>
      <w:r>
        <w:rPr>
          <w:rFonts w:ascii="Arial" w:cs="Arial" w:eastAsia="Arial" w:hAnsi="Arial"/>
          <w:sz w:val="19"/>
          <w:szCs w:val="19"/>
          <w:b w:val="1"/>
          <w:bCs w:val="1"/>
          <w:i w:val="1"/>
          <w:iCs w:val="1"/>
          <w:color w:val="auto"/>
        </w:rPr>
        <w:t>Major Market</w:t>
      </w:r>
      <w:r>
        <w:rPr>
          <w:rFonts w:ascii="Arial" w:cs="Arial" w:eastAsia="Arial" w:hAnsi="Arial"/>
          <w:sz w:val="19"/>
          <w:szCs w:val="19"/>
          <w:color w:val="auto"/>
        </w:rPr>
        <w:t>” means each of the United States, Japan, United Kingdom, Germany, France, Italy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Spain.</w:t>
      </w:r>
    </w:p>
    <w:p>
      <w:pPr>
        <w:spacing w:after="0" w:line="229"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1.60“</w:t>
      </w:r>
      <w:r>
        <w:rPr>
          <w:rFonts w:ascii="Arial" w:cs="Arial" w:eastAsia="Arial" w:hAnsi="Arial"/>
          <w:sz w:val="19"/>
          <w:szCs w:val="19"/>
          <w:b w:val="1"/>
          <w:bCs w:val="1"/>
          <w:i w:val="1"/>
          <w:iCs w:val="1"/>
          <w:color w:val="auto"/>
        </w:rPr>
        <w:t>Manufacture</w:t>
      </w:r>
      <w:r>
        <w:rPr>
          <w:rFonts w:ascii="Arial" w:cs="Arial" w:eastAsia="Arial" w:hAnsi="Arial"/>
          <w:sz w:val="19"/>
          <w:szCs w:val="19"/>
          <w:color w:val="auto"/>
        </w:rPr>
        <w:t>” and “</w:t>
      </w:r>
      <w:r>
        <w:rPr>
          <w:rFonts w:ascii="Arial" w:cs="Arial" w:eastAsia="Arial" w:hAnsi="Arial"/>
          <w:sz w:val="19"/>
          <w:szCs w:val="19"/>
          <w:b w:val="1"/>
          <w:bCs w:val="1"/>
          <w:i w:val="1"/>
          <w:iCs w:val="1"/>
          <w:color w:val="auto"/>
        </w:rPr>
        <w:t>Manufacturing</w:t>
      </w:r>
      <w:r>
        <w:rPr>
          <w:rFonts w:ascii="Arial" w:cs="Arial" w:eastAsia="Arial" w:hAnsi="Arial"/>
          <w:sz w:val="19"/>
          <w:szCs w:val="19"/>
          <w:color w:val="auto"/>
        </w:rPr>
        <w:t>” means all activities related to the production, manufacture, formulation, finishing, packaging, labeling, shipping and holding of any Licensed Product, or other compound, product or therapy, or any component, intermediary or precursor thereof, and including process development, process qualification and validation, scale- up, pre-clinical, clinical and commercial manufacture, quality assurance and quality control (including testing). For clarity, “Manufacturing” does not include Development or Commercialization activities.</w:t>
      </w:r>
    </w:p>
    <w:p>
      <w:pPr>
        <w:spacing w:after="0" w:line="17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1.61“</w:t>
      </w:r>
      <w:r>
        <w:rPr>
          <w:rFonts w:ascii="Arial" w:cs="Arial" w:eastAsia="Arial" w:hAnsi="Arial"/>
          <w:sz w:val="22"/>
          <w:szCs w:val="22"/>
          <w:b w:val="1"/>
          <w:bCs w:val="1"/>
          <w:i w:val="1"/>
          <w:iCs w:val="1"/>
          <w:color w:val="auto"/>
        </w:rPr>
        <w:t>Marketing Authorization</w:t>
      </w:r>
      <w:r>
        <w:rPr>
          <w:rFonts w:ascii="Arial" w:cs="Arial" w:eastAsia="Arial" w:hAnsi="Arial"/>
          <w:sz w:val="22"/>
          <w:szCs w:val="22"/>
          <w:color w:val="auto"/>
        </w:rPr>
        <w:t>” means any and all approvals, licenses, registrations or authorizations of any regulatory authority, necessary to commercially distribute, sell or market a Licensed Product in the relevant country or jurisdiction.</w:t>
      </w:r>
    </w:p>
    <w:p>
      <w:pPr>
        <w:spacing w:after="0" w:line="200" w:lineRule="exact"/>
        <w:rPr>
          <w:sz w:val="20"/>
          <w:szCs w:val="20"/>
          <w:color w:val="auto"/>
        </w:rPr>
      </w:pPr>
    </w:p>
    <w:p>
      <w:pPr>
        <w:spacing w:after="0" w:line="270"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685" w:right="1039" w:bottom="1440" w:gutter="0" w:footer="0" w:header="0"/>
        </w:sectPr>
      </w:pPr>
    </w:p>
    <w:bookmarkStart w:id="87" w:name="page88"/>
    <w:bookmarkEnd w:id="87"/>
    <w:p>
      <w:pPr>
        <w:ind w:left="740"/>
        <w:spacing w:after="0"/>
        <w:rPr>
          <w:sz w:val="20"/>
          <w:szCs w:val="20"/>
          <w:color w:val="auto"/>
        </w:rPr>
      </w:pPr>
      <w:r>
        <w:rPr>
          <w:rFonts w:ascii="Arial" w:cs="Arial" w:eastAsia="Arial" w:hAnsi="Arial"/>
          <w:sz w:val="21"/>
          <w:szCs w:val="21"/>
          <w:color w:val="auto"/>
        </w:rPr>
        <w:t>1.62“</w:t>
      </w:r>
      <w:r>
        <w:rPr>
          <w:rFonts w:ascii="Arial" w:cs="Arial" w:eastAsia="Arial" w:hAnsi="Arial"/>
          <w:sz w:val="21"/>
          <w:szCs w:val="21"/>
          <w:b w:val="1"/>
          <w:bCs w:val="1"/>
          <w:i w:val="1"/>
          <w:iCs w:val="1"/>
          <w:color w:val="auto"/>
        </w:rPr>
        <w:t>Milestone Events</w:t>
      </w:r>
      <w:r>
        <w:rPr>
          <w:rFonts w:ascii="Arial" w:cs="Arial" w:eastAsia="Arial" w:hAnsi="Arial"/>
          <w:sz w:val="21"/>
          <w:szCs w:val="21"/>
          <w:color w:val="auto"/>
        </w:rPr>
        <w:t>” means the Development Milestone Events and Commercial Milestone Events.</w:t>
      </w:r>
    </w:p>
    <w:p>
      <w:pPr>
        <w:spacing w:after="0" w:line="20"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1.63“</w:t>
      </w:r>
      <w:r>
        <w:rPr>
          <w:rFonts w:ascii="Arial" w:cs="Arial" w:eastAsia="Arial" w:hAnsi="Arial"/>
          <w:sz w:val="22"/>
          <w:szCs w:val="22"/>
          <w:b w:val="1"/>
          <w:bCs w:val="1"/>
          <w:i w:val="1"/>
          <w:iCs w:val="1"/>
          <w:color w:val="auto"/>
        </w:rPr>
        <w:t>Milestone Payments</w:t>
      </w:r>
      <w:r>
        <w:rPr>
          <w:rFonts w:ascii="Arial" w:cs="Arial" w:eastAsia="Arial" w:hAnsi="Arial"/>
          <w:sz w:val="22"/>
          <w:szCs w:val="22"/>
          <w:color w:val="auto"/>
        </w:rPr>
        <w:t>” means the Development Milestone Payments, Commercial Milestone Payments and Sales Milestone Payments.</w:t>
      </w:r>
    </w:p>
    <w:p>
      <w:pPr>
        <w:spacing w:after="0" w:line="227"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1.64“</w:t>
      </w:r>
      <w:r>
        <w:rPr>
          <w:rFonts w:ascii="Arial" w:cs="Arial" w:eastAsia="Arial" w:hAnsi="Arial"/>
          <w:sz w:val="22"/>
          <w:szCs w:val="22"/>
          <w:b w:val="1"/>
          <w:bCs w:val="1"/>
          <w:i w:val="1"/>
          <w:iCs w:val="1"/>
          <w:color w:val="auto"/>
        </w:rPr>
        <w:t>Mutual Confidentiality Agreement</w:t>
      </w:r>
      <w:r>
        <w:rPr>
          <w:rFonts w:ascii="Arial" w:cs="Arial" w:eastAsia="Arial" w:hAnsi="Arial"/>
          <w:sz w:val="22"/>
          <w:szCs w:val="22"/>
          <w:color w:val="auto"/>
        </w:rPr>
        <w:t>” means the Mutual Confidentiality Agreement dated [***] between Fulcrum and CAMP4.</w:t>
      </w:r>
    </w:p>
    <w:p>
      <w:pPr>
        <w:spacing w:after="0" w:line="202" w:lineRule="exact"/>
        <w:rPr>
          <w:sz w:val="20"/>
          <w:szCs w:val="20"/>
          <w:color w:val="auto"/>
        </w:rPr>
      </w:pPr>
    </w:p>
    <w:p>
      <w:pPr>
        <w:jc w:val="both"/>
        <w:ind w:right="20" w:firstLine="749"/>
        <w:spacing w:after="0" w:line="287" w:lineRule="auto"/>
        <w:rPr>
          <w:sz w:val="20"/>
          <w:szCs w:val="20"/>
          <w:color w:val="auto"/>
        </w:rPr>
      </w:pPr>
      <w:r>
        <w:rPr>
          <w:rFonts w:ascii="Arial" w:cs="Arial" w:eastAsia="Arial" w:hAnsi="Arial"/>
          <w:sz w:val="19"/>
          <w:szCs w:val="19"/>
          <w:color w:val="auto"/>
        </w:rPr>
        <w:t>1.65“</w:t>
      </w:r>
      <w:r>
        <w:rPr>
          <w:rFonts w:ascii="Arial" w:cs="Arial" w:eastAsia="Arial" w:hAnsi="Arial"/>
          <w:sz w:val="19"/>
          <w:szCs w:val="19"/>
          <w:b w:val="1"/>
          <w:bCs w:val="1"/>
          <w:i w:val="1"/>
          <w:iCs w:val="1"/>
          <w:color w:val="auto"/>
        </w:rPr>
        <w:t>Net Sales</w:t>
      </w:r>
      <w:r>
        <w:rPr>
          <w:rFonts w:ascii="Arial" w:cs="Arial" w:eastAsia="Arial" w:hAnsi="Arial"/>
          <w:sz w:val="19"/>
          <w:szCs w:val="19"/>
          <w:color w:val="auto"/>
        </w:rPr>
        <w:t>” means, as determined under U.S. generally accepted accounting principles (“GAAP”), the gross sales invoiced for sales, or other transfers of Licensed Products by Fulcrum, its Affiliates, its authorized agents, or its Sublicensees (for clarity, excluding sales by Third Party Distributors), less (to the extent actually allowed or incurred and directly related to such sale of Licensed Products) the following amounts: [***]</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Net Sales shall also include [***] shall not be considered a Net Sale for purposes of ascertaining royalty charges owed to CAMP4 under this Agreement. For clarity, any payments received by Fulcrum, its Affiliates, or Sublicensees from [***]. Notwithstanding anything to the contrary herein, the sale, disposal or use of any Licensed Product for marketing, regulatory, development or charitable purposes, such as clinical trials, preclinical trials, compassionate use, named patient use, expanded access programs or indigent patient programs, in each case at or below cost, shall not be deemed a sale resulting in Net Sales hereunder.</w:t>
      </w:r>
    </w:p>
    <w:p>
      <w:pPr>
        <w:spacing w:after="0" w:line="217" w:lineRule="exact"/>
        <w:rPr>
          <w:sz w:val="20"/>
          <w:szCs w:val="20"/>
          <w:color w:val="auto"/>
        </w:rPr>
      </w:pPr>
    </w:p>
    <w:p>
      <w:pPr>
        <w:jc w:val="both"/>
        <w:ind w:firstLine="747"/>
        <w:spacing w:after="0" w:line="287" w:lineRule="auto"/>
        <w:rPr>
          <w:sz w:val="20"/>
          <w:szCs w:val="20"/>
          <w:color w:val="auto"/>
        </w:rPr>
      </w:pPr>
      <w:r>
        <w:rPr>
          <w:rFonts w:ascii="Arial" w:cs="Arial" w:eastAsia="Arial" w:hAnsi="Arial"/>
          <w:sz w:val="19"/>
          <w:szCs w:val="19"/>
          <w:color w:val="auto"/>
        </w:rPr>
        <w:t>In the event that the Licensed Product is sold as part of a Combination Product (where “</w:t>
      </w:r>
      <w:r>
        <w:rPr>
          <w:rFonts w:ascii="Arial" w:cs="Arial" w:eastAsia="Arial" w:hAnsi="Arial"/>
          <w:sz w:val="19"/>
          <w:szCs w:val="19"/>
          <w:b w:val="1"/>
          <w:bCs w:val="1"/>
          <w:i w:val="1"/>
          <w:iCs w:val="1"/>
          <w:color w:val="auto"/>
        </w:rPr>
        <w:t>Combination Product</w:t>
      </w:r>
      <w:r>
        <w:rPr>
          <w:rFonts w:ascii="Arial" w:cs="Arial" w:eastAsia="Arial" w:hAnsi="Arial"/>
          <w:sz w:val="19"/>
          <w:szCs w:val="19"/>
          <w:color w:val="auto"/>
        </w:rPr>
        <w:t>” means any pharmaceutical product which comprises the Licensed Product and other active compound(s)), the Net Sales of the Licensed Product, for the purposes of determining Royalty payments, shall be determined by multiplying the Net Sales of the Combination Product (as defined in the standard Net Sales definition) by [***].</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9"/>
          <w:szCs w:val="19"/>
          <w:color w:val="auto"/>
        </w:rPr>
        <w:t>In the event that [***] Net Sales for purposes of determining Royalty payments shall be calculated by [***].</w:t>
      </w:r>
    </w:p>
    <w:p>
      <w:pPr>
        <w:spacing w:after="0" w:line="281" w:lineRule="exact"/>
        <w:rPr>
          <w:sz w:val="20"/>
          <w:szCs w:val="20"/>
          <w:color w:val="auto"/>
        </w:rPr>
      </w:pPr>
    </w:p>
    <w:p>
      <w:pPr>
        <w:ind w:left="740"/>
        <w:spacing w:after="0"/>
        <w:rPr>
          <w:sz w:val="20"/>
          <w:szCs w:val="20"/>
          <w:color w:val="auto"/>
        </w:rPr>
      </w:pPr>
      <w:r>
        <w:rPr>
          <w:rFonts w:ascii="Arial" w:cs="Arial" w:eastAsia="Arial" w:hAnsi="Arial"/>
          <w:sz w:val="19"/>
          <w:szCs w:val="19"/>
          <w:color w:val="auto"/>
        </w:rPr>
        <w:t>In the event that [***] Net Sales for purposes of determining Royalty payments shall be calculated by [***].</w:t>
      </w:r>
    </w:p>
    <w:p>
      <w:pPr>
        <w:spacing w:after="0" w:line="28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If the [***], the Net Sales of the Licensed Product shall be [***].</w:t>
      </w:r>
    </w:p>
    <w:p>
      <w:pPr>
        <w:spacing w:after="0" w:line="233" w:lineRule="exact"/>
        <w:rPr>
          <w:sz w:val="20"/>
          <w:szCs w:val="20"/>
          <w:color w:val="auto"/>
        </w:rPr>
      </w:pPr>
    </w:p>
    <w:p>
      <w:pPr>
        <w:jc w:val="both"/>
        <w:ind w:firstLine="738"/>
        <w:spacing w:after="0"/>
        <w:tabs>
          <w:tab w:leader="none" w:pos="1276" w:val="left"/>
        </w:tabs>
        <w:numPr>
          <w:ilvl w:val="0"/>
          <w:numId w:val="54"/>
        </w:numPr>
        <w:rPr>
          <w:rFonts w:ascii="Arial" w:cs="Arial" w:eastAsia="Arial" w:hAnsi="Arial"/>
          <w:sz w:val="22"/>
          <w:szCs w:val="22"/>
          <w:color w:val="auto"/>
        </w:rPr>
      </w:pPr>
      <w:r>
        <w:rPr>
          <w:rFonts w:ascii="Arial" w:cs="Arial" w:eastAsia="Arial" w:hAnsi="Arial"/>
          <w:sz w:val="22"/>
          <w:szCs w:val="22"/>
          <w:color w:val="auto"/>
        </w:rPr>
        <w:t>shall be calculated [***] and such [***] shall be used during all applicable Royalty reporting periods for [***]. When determining [***] of a Licensed Product, other compound(s), or Combination Product, [***] shall be calculated by [***].</w:t>
      </w:r>
    </w:p>
    <w:p>
      <w:pPr>
        <w:spacing w:after="0" w:line="22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New License Agreement</w:t>
      </w:r>
      <w:r>
        <w:rPr>
          <w:rFonts w:ascii="Arial" w:cs="Arial" w:eastAsia="Arial" w:hAnsi="Arial"/>
          <w:sz w:val="19"/>
          <w:szCs w:val="19"/>
          <w:color w:val="auto"/>
        </w:rPr>
        <w:t>” has the meaning set forth in Section 9.8.1.</w:t>
      </w:r>
    </w:p>
    <w:p>
      <w:pPr>
        <w:spacing w:after="0" w:line="200" w:lineRule="exact"/>
        <w:rPr>
          <w:sz w:val="20"/>
          <w:szCs w:val="20"/>
          <w:color w:val="auto"/>
        </w:rPr>
      </w:pPr>
    </w:p>
    <w:p>
      <w:pPr>
        <w:spacing w:after="0" w:line="290"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685" w:right="1039" w:bottom="1440" w:gutter="0" w:footer="0" w:header="0"/>
        </w:sectPr>
      </w:pPr>
    </w:p>
    <w:bookmarkStart w:id="88" w:name="page89"/>
    <w:bookmarkEnd w:id="88"/>
    <w:p>
      <w:pPr>
        <w:ind w:left="740"/>
        <w:spacing w:after="0"/>
        <w:rPr>
          <w:sz w:val="20"/>
          <w:szCs w:val="20"/>
          <w:color w:val="auto"/>
        </w:rPr>
      </w:pPr>
      <w:r>
        <w:rPr>
          <w:rFonts w:ascii="Arial" w:cs="Arial" w:eastAsia="Arial" w:hAnsi="Arial"/>
          <w:sz w:val="22"/>
          <w:szCs w:val="22"/>
          <w:color w:val="auto"/>
        </w:rPr>
        <w:t>1.67“</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has the meaning set forth in the Preamble.</w:t>
      </w:r>
    </w:p>
    <w:p>
      <w:pPr>
        <w:spacing w:after="0" w:line="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1.68“</w:t>
      </w:r>
      <w:r>
        <w:rPr>
          <w:rFonts w:ascii="Arial" w:cs="Arial" w:eastAsia="Arial" w:hAnsi="Arial"/>
          <w:sz w:val="21"/>
          <w:szCs w:val="21"/>
          <w:b w:val="1"/>
          <w:bCs w:val="1"/>
          <w:i w:val="1"/>
          <w:iCs w:val="1"/>
          <w:color w:val="auto"/>
        </w:rPr>
        <w:t>Patents</w:t>
      </w:r>
      <w:r>
        <w:rPr>
          <w:rFonts w:ascii="Arial" w:cs="Arial" w:eastAsia="Arial" w:hAnsi="Arial"/>
          <w:sz w:val="21"/>
          <w:szCs w:val="21"/>
          <w:color w:val="auto"/>
        </w:rPr>
        <w:t>” mean: (a) pending patent applications, issued patents, utility models and designs; (b) reissues, substitutions, confirmations, registrations, validations, re-examinations, additions,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certificates or the equivalent thereof.</w:t>
      </w:r>
    </w:p>
    <w:p>
      <w:pPr>
        <w:spacing w:after="0" w:line="207"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1.69“</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corporation, limited or general partnership, limited liability company, joint venture, trust, unincorporated association, governmental body, authority, bureau or agency, any other entity or body, or an individual.</w:t>
      </w:r>
    </w:p>
    <w:p>
      <w:pPr>
        <w:spacing w:after="0" w:line="227"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1.70“</w:t>
      </w:r>
      <w:r>
        <w:rPr>
          <w:rFonts w:ascii="Arial" w:cs="Arial" w:eastAsia="Arial" w:hAnsi="Arial"/>
          <w:sz w:val="19"/>
          <w:szCs w:val="19"/>
          <w:b w:val="1"/>
          <w:bCs w:val="1"/>
          <w:i w:val="1"/>
          <w:iCs w:val="1"/>
          <w:color w:val="auto"/>
        </w:rPr>
        <w:t>Phase I Clinical Trial</w:t>
      </w:r>
      <w:r>
        <w:rPr>
          <w:rFonts w:ascii="Arial" w:cs="Arial" w:eastAsia="Arial" w:hAnsi="Arial"/>
          <w:sz w:val="19"/>
          <w:szCs w:val="19"/>
          <w:color w:val="auto"/>
        </w:rPr>
        <w:t>” means a clinical trial of a Licensed Product generally consistent with 21 C.F.R. §</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312.21(a) (or the non-United States equivalent thereof).</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1.71“</w:t>
      </w:r>
      <w:r>
        <w:rPr>
          <w:rFonts w:ascii="Arial" w:cs="Arial" w:eastAsia="Arial" w:hAnsi="Arial"/>
          <w:sz w:val="19"/>
          <w:szCs w:val="19"/>
          <w:b w:val="1"/>
          <w:bCs w:val="1"/>
          <w:i w:val="1"/>
          <w:iCs w:val="1"/>
          <w:color w:val="auto"/>
        </w:rPr>
        <w:t>Phase II Clinical Trial</w:t>
      </w:r>
      <w:r>
        <w:rPr>
          <w:rFonts w:ascii="Arial" w:cs="Arial" w:eastAsia="Arial" w:hAnsi="Arial"/>
          <w:sz w:val="19"/>
          <w:szCs w:val="19"/>
          <w:color w:val="auto"/>
        </w:rPr>
        <w:t>” means a clinical trial of a Licensed Product generally consistent with 21 C.F.R. §</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312.21(b) (or the non-United States equivalent thereof).</w:t>
      </w:r>
    </w:p>
    <w:p>
      <w:pPr>
        <w:spacing w:after="0" w:line="215" w:lineRule="exact"/>
        <w:rPr>
          <w:sz w:val="20"/>
          <w:szCs w:val="20"/>
          <w:color w:val="auto"/>
        </w:rPr>
      </w:pPr>
    </w:p>
    <w:p>
      <w:pPr>
        <w:ind w:left="740"/>
        <w:spacing w:after="0"/>
        <w:rPr>
          <w:sz w:val="20"/>
          <w:szCs w:val="20"/>
          <w:color w:val="auto"/>
        </w:rPr>
      </w:pPr>
      <w:r>
        <w:rPr>
          <w:rFonts w:ascii="Arial" w:cs="Arial" w:eastAsia="Arial" w:hAnsi="Arial"/>
          <w:sz w:val="19"/>
          <w:szCs w:val="19"/>
          <w:color w:val="auto"/>
        </w:rPr>
        <w:t>1.72“</w:t>
      </w:r>
      <w:r>
        <w:rPr>
          <w:rFonts w:ascii="Arial" w:cs="Arial" w:eastAsia="Arial" w:hAnsi="Arial"/>
          <w:sz w:val="19"/>
          <w:szCs w:val="19"/>
          <w:b w:val="1"/>
          <w:bCs w:val="1"/>
          <w:i w:val="1"/>
          <w:iCs w:val="1"/>
          <w:color w:val="auto"/>
        </w:rPr>
        <w:t>Phase III Clinical Trial</w:t>
      </w:r>
      <w:r>
        <w:rPr>
          <w:rFonts w:ascii="Arial" w:cs="Arial" w:eastAsia="Arial" w:hAnsi="Arial"/>
          <w:sz w:val="19"/>
          <w:szCs w:val="19"/>
          <w:color w:val="auto"/>
        </w:rPr>
        <w:t>” means a clinical trial of a Licensed Product generally consistent with 21 C.F.R.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312.21(c) (or the non-United States equivalent thereof).</w:t>
      </w:r>
    </w:p>
    <w:p>
      <w:pPr>
        <w:spacing w:after="0" w:line="229"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22"/>
          <w:szCs w:val="22"/>
          <w:color w:val="auto"/>
        </w:rPr>
        <w:t>1.73“</w:t>
      </w:r>
      <w:r>
        <w:rPr>
          <w:rFonts w:ascii="Arial" w:cs="Arial" w:eastAsia="Arial" w:hAnsi="Arial"/>
          <w:sz w:val="22"/>
          <w:szCs w:val="22"/>
          <w:b w:val="1"/>
          <w:bCs w:val="1"/>
          <w:i w:val="1"/>
          <w:iCs w:val="1"/>
          <w:color w:val="auto"/>
        </w:rPr>
        <w:t>Pricing and Reimbursement Approval</w:t>
      </w:r>
      <w:r>
        <w:rPr>
          <w:rFonts w:ascii="Arial" w:cs="Arial" w:eastAsia="Arial" w:hAnsi="Arial"/>
          <w:sz w:val="22"/>
          <w:szCs w:val="22"/>
          <w:color w:val="auto"/>
        </w:rPr>
        <w:t>” means, with respect to a Licensed Product, the approval, agreement, determination or decision of any Regulatory Authority establishing the price or level of reimbursement for such Licensed Product, as applicable in a given country or jurisdiction prior to sale of such Licensed Product in such country or jurisdiction.</w:t>
      </w:r>
    </w:p>
    <w:p>
      <w:pPr>
        <w:spacing w:after="0" w:line="22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1.74“</w:t>
      </w:r>
      <w:r>
        <w:rPr>
          <w:rFonts w:ascii="Arial" w:cs="Arial" w:eastAsia="Arial" w:hAnsi="Arial"/>
          <w:sz w:val="21"/>
          <w:szCs w:val="21"/>
          <w:b w:val="1"/>
          <w:bCs w:val="1"/>
          <w:i w:val="1"/>
          <w:iCs w:val="1"/>
          <w:color w:val="auto"/>
        </w:rPr>
        <w:t>Prosecute and Maintain</w:t>
      </w:r>
      <w:r>
        <w:rPr>
          <w:rFonts w:ascii="Arial" w:cs="Arial" w:eastAsia="Arial" w:hAnsi="Arial"/>
          <w:sz w:val="21"/>
          <w:szCs w:val="21"/>
          <w:color w:val="auto"/>
        </w:rPr>
        <w:t>,” or “</w:t>
      </w:r>
      <w:r>
        <w:rPr>
          <w:rFonts w:ascii="Arial" w:cs="Arial" w:eastAsia="Arial" w:hAnsi="Arial"/>
          <w:sz w:val="21"/>
          <w:szCs w:val="21"/>
          <w:b w:val="1"/>
          <w:bCs w:val="1"/>
          <w:i w:val="1"/>
          <w:iCs w:val="1"/>
          <w:color w:val="auto"/>
        </w:rPr>
        <w:t>Prosecution and Maintenance</w:t>
      </w:r>
      <w:r>
        <w:rPr>
          <w:rFonts w:ascii="Arial" w:cs="Arial" w:eastAsia="Arial" w:hAnsi="Arial"/>
          <w:sz w:val="21"/>
          <w:szCs w:val="21"/>
          <w:color w:val="auto"/>
        </w:rPr>
        <w:t>,” with respect to a particular Patent, means all activities associated with the preparation, filing, prosecution and maintenance of such Patent.</w:t>
      </w:r>
    </w:p>
    <w:p>
      <w:pPr>
        <w:spacing w:after="0" w:line="178"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Receiving Party</w:t>
      </w:r>
      <w:r>
        <w:rPr>
          <w:rFonts w:ascii="Arial" w:cs="Arial" w:eastAsia="Arial" w:hAnsi="Arial"/>
          <w:sz w:val="19"/>
          <w:szCs w:val="19"/>
          <w:color w:val="auto"/>
        </w:rPr>
        <w:t>” has the meaning set forth in Section 8.1.1.</w:t>
      </w:r>
    </w:p>
    <w:p>
      <w:pPr>
        <w:spacing w:after="0" w:line="24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1.76“</w:t>
      </w:r>
      <w:r>
        <w:rPr>
          <w:rFonts w:ascii="Arial" w:cs="Arial" w:eastAsia="Arial" w:hAnsi="Arial"/>
          <w:sz w:val="21"/>
          <w:szCs w:val="21"/>
          <w:b w:val="1"/>
          <w:bCs w:val="1"/>
          <w:i w:val="1"/>
          <w:iCs w:val="1"/>
          <w:color w:val="auto"/>
        </w:rPr>
        <w:t>Regulatory Approval</w:t>
      </w:r>
      <w:r>
        <w:rPr>
          <w:rFonts w:ascii="Arial" w:cs="Arial" w:eastAsia="Arial" w:hAnsi="Arial"/>
          <w:sz w:val="21"/>
          <w:szCs w:val="21"/>
          <w:color w:val="auto"/>
        </w:rPr>
        <w:t>” means, collectively, any and all approvals (including supplements, amendments, pre- and post-approvals), licenses, registrations, permits, notifications, and authorizations (including marketing and labeling authorizations) or waivers of any Regulatory Authority that are necessary for the Research, Development, Manufacture, use or Commercialization of a pharmaceutical product (including any Licensed Product) in any country or jurisdiction, including Pricing and Reimbursement Approval, as applicable.</w:t>
      </w:r>
    </w:p>
    <w:p>
      <w:pPr>
        <w:spacing w:after="0" w:line="219"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1.77“</w:t>
      </w:r>
      <w:r>
        <w:rPr>
          <w:rFonts w:ascii="Arial" w:cs="Arial" w:eastAsia="Arial" w:hAnsi="Arial"/>
          <w:sz w:val="19"/>
          <w:szCs w:val="19"/>
          <w:b w:val="1"/>
          <w:bCs w:val="1"/>
          <w:i w:val="1"/>
          <w:iCs w:val="1"/>
          <w:color w:val="auto"/>
        </w:rPr>
        <w:t>Regulatory Authority</w:t>
      </w:r>
      <w:r>
        <w:rPr>
          <w:rFonts w:ascii="Arial" w:cs="Arial" w:eastAsia="Arial" w:hAnsi="Arial"/>
          <w:sz w:val="19"/>
          <w:szCs w:val="19"/>
          <w:color w:val="auto"/>
        </w:rPr>
        <w:t>” means any Governmental Authority that has responsibility in its applicable jurisdiction over the Research, Development, Manufacture, use or Commercialization of pharmaceutical products (including any Licensed Product) in a given jurisdiction. For countries where governmental approval is required for pricing or reimbursement for a pharmaceutical product (including any Licensed Product) to be reimbursed by national health insurance (or its local equivalent), Regulatory Authority includes any Governmental Authority</w:t>
      </w:r>
    </w:p>
    <w:p>
      <w:pPr>
        <w:spacing w:after="0" w:line="200" w:lineRule="exact"/>
        <w:rPr>
          <w:sz w:val="20"/>
          <w:szCs w:val="20"/>
          <w:color w:val="auto"/>
        </w:rPr>
      </w:pPr>
    </w:p>
    <w:p>
      <w:pPr>
        <w:spacing w:after="0" w:line="217"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618" w:right="10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whose review or approval of pricing or reimbursement of such product is required.</w:t>
      </w:r>
    </w:p>
    <w:p>
      <w:pPr>
        <w:spacing w:after="0" w:line="5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1.78“</w:t>
      </w:r>
      <w:r>
        <w:rPr>
          <w:rFonts w:ascii="Arial" w:cs="Arial" w:eastAsia="Arial" w:hAnsi="Arial"/>
          <w:sz w:val="19"/>
          <w:szCs w:val="19"/>
          <w:b w:val="1"/>
          <w:bCs w:val="1"/>
          <w:i w:val="1"/>
          <w:iCs w:val="1"/>
          <w:color w:val="auto"/>
        </w:rPr>
        <w:t>Regulatory Exclusivity</w:t>
      </w:r>
      <w:r>
        <w:rPr>
          <w:rFonts w:ascii="Arial" w:cs="Arial" w:eastAsia="Arial" w:hAnsi="Arial"/>
          <w:sz w:val="19"/>
          <w:szCs w:val="19"/>
          <w:color w:val="auto"/>
        </w:rPr>
        <w:t>” means any rights or protections which are recognized, afforded or granted by the FDA or any other Regulatory Authority in the Territory pursuant to Applicable Laws, in association with the Marketing Authorization of the Licensed Product, providing the Licensed Product: (a) a period of marketing exclusivity, during which the Regulatory Authority recognizing, affording or granting such marketing exclusivity will refrain from either reviewing or approving a Marketing Authorization application or similar regulatory submission, submitted by a Third Party seeking to market a Generic Product of such Licensed Product, or (b) a period of data exclusivity, during which a Third Party seeking to market a Generic Product of such Licensed Product is precluded from either referencing or relying upon, without an express right of reference from the dossier holder, the Licensed Product’s clinical dossier or relying on previous regulatory authority findings of safety or effectiveness with respect to such Licensed Product to support the submission, review or approval of a Marketing Authorization application or similar regulatory submission before the applicable Regulatory Authority.</w:t>
      </w:r>
    </w:p>
    <w:p>
      <w:pPr>
        <w:spacing w:after="0" w:line="19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1.79“</w:t>
      </w:r>
      <w:r>
        <w:rPr>
          <w:rFonts w:ascii="Arial" w:cs="Arial" w:eastAsia="Arial" w:hAnsi="Arial"/>
          <w:sz w:val="21"/>
          <w:szCs w:val="21"/>
          <w:b w:val="1"/>
          <w:bCs w:val="1"/>
          <w:i w:val="1"/>
          <w:iCs w:val="1"/>
          <w:color w:val="auto"/>
        </w:rPr>
        <w:t>Regulatory Filings</w:t>
      </w:r>
      <w:r>
        <w:rPr>
          <w:rFonts w:ascii="Arial" w:cs="Arial" w:eastAsia="Arial" w:hAnsi="Arial"/>
          <w:sz w:val="21"/>
          <w:szCs w:val="21"/>
          <w:color w:val="auto"/>
        </w:rPr>
        <w:t>” means, collectively, any and all applications, filings, submissions, approvals (including supplements, amendments, pre- and post-approvals, pricing and reimbursement approvals), licenses, registrations, permits, notifications, and authorizations (including marketing and labeling authorizations) or waivers with respect to the Research, Development, Manufacture, use or Commercialization of a Licensed Product made to or received from any Regulatory Authority in a given country, including INDs.</w:t>
      </w:r>
    </w:p>
    <w:p>
      <w:pPr>
        <w:spacing w:after="0" w:line="219" w:lineRule="exact"/>
        <w:rPr>
          <w:sz w:val="20"/>
          <w:szCs w:val="20"/>
          <w:color w:val="auto"/>
        </w:rPr>
      </w:pPr>
    </w:p>
    <w:p>
      <w:pPr>
        <w:ind w:left="740"/>
        <w:spacing w:after="0"/>
        <w:rPr>
          <w:sz w:val="20"/>
          <w:szCs w:val="20"/>
          <w:color w:val="auto"/>
        </w:rPr>
      </w:pPr>
      <w:r>
        <w:rPr>
          <w:rFonts w:ascii="Arial" w:cs="Arial" w:eastAsia="Arial" w:hAnsi="Arial"/>
          <w:sz w:val="22"/>
          <w:szCs w:val="22"/>
          <w:color w:val="auto"/>
        </w:rPr>
        <w:t>1.80“</w:t>
      </w:r>
      <w:r>
        <w:rPr>
          <w:rFonts w:ascii="Arial" w:cs="Arial" w:eastAsia="Arial" w:hAnsi="Arial"/>
          <w:sz w:val="22"/>
          <w:szCs w:val="22"/>
          <w:b w:val="1"/>
          <w:bCs w:val="1"/>
          <w:i w:val="1"/>
          <w:iCs w:val="1"/>
          <w:color w:val="auto"/>
        </w:rPr>
        <w:t>Relevant Date</w:t>
      </w:r>
      <w:r>
        <w:rPr>
          <w:rFonts w:ascii="Arial" w:cs="Arial" w:eastAsia="Arial" w:hAnsi="Arial"/>
          <w:sz w:val="22"/>
          <w:szCs w:val="22"/>
          <w:color w:val="auto"/>
        </w:rPr>
        <w:t>” means the date on which [***] for the relevant Licensed Product.</w:t>
      </w:r>
    </w:p>
    <w:p>
      <w:pPr>
        <w:spacing w:after="0" w:line="233"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1.81“</w:t>
      </w:r>
      <w:r>
        <w:rPr>
          <w:rFonts w:ascii="Arial" w:cs="Arial" w:eastAsia="Arial" w:hAnsi="Arial"/>
          <w:sz w:val="22"/>
          <w:szCs w:val="22"/>
          <w:b w:val="1"/>
          <w:bCs w:val="1"/>
          <w:i w:val="1"/>
          <w:iCs w:val="1"/>
          <w:color w:val="auto"/>
        </w:rPr>
        <w:t>Research</w:t>
      </w:r>
      <w:r>
        <w:rPr>
          <w:rFonts w:ascii="Arial" w:cs="Arial" w:eastAsia="Arial" w:hAnsi="Arial"/>
          <w:sz w:val="22"/>
          <w:szCs w:val="22"/>
          <w:color w:val="auto"/>
        </w:rPr>
        <w:t>” means any and all activities directed to discovery, identification, screening, testing, assessment and optimization of pharmaceutical compounds in advance of Development.</w:t>
      </w:r>
    </w:p>
    <w:p>
      <w:pPr>
        <w:spacing w:after="0" w:line="215"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Royalty</w:t>
      </w:r>
      <w:r>
        <w:rPr>
          <w:rFonts w:ascii="Arial" w:cs="Arial" w:eastAsia="Arial" w:hAnsi="Arial"/>
          <w:sz w:val="19"/>
          <w:szCs w:val="19"/>
          <w:color w:val="auto"/>
        </w:rPr>
        <w:t>” has the meaning set forth in Section 4.3.3.</w:t>
      </w:r>
    </w:p>
    <w:p>
      <w:pPr>
        <w:spacing w:after="0" w:line="24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Royalty Term</w:t>
      </w:r>
      <w:r>
        <w:rPr>
          <w:rFonts w:ascii="Arial" w:cs="Arial" w:eastAsia="Arial" w:hAnsi="Arial"/>
          <w:sz w:val="19"/>
          <w:szCs w:val="19"/>
          <w:color w:val="auto"/>
        </w:rPr>
        <w:t>” has the meaning set forth in Section 4.3.1.</w:t>
      </w:r>
    </w:p>
    <w:p>
      <w:pPr>
        <w:spacing w:after="0" w:line="233"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Sales Milestone Payment</w:t>
      </w:r>
      <w:r>
        <w:rPr>
          <w:rFonts w:ascii="Arial" w:cs="Arial" w:eastAsia="Arial" w:hAnsi="Arial"/>
          <w:sz w:val="19"/>
          <w:szCs w:val="19"/>
          <w:color w:val="auto"/>
        </w:rPr>
        <w:t>” has the meaning set forth in Section 4.2.</w:t>
      </w:r>
    </w:p>
    <w:p>
      <w:pPr>
        <w:spacing w:after="0" w:line="24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1.85“</w:t>
      </w:r>
      <w:r>
        <w:rPr>
          <w:rFonts w:ascii="Arial" w:cs="Arial" w:eastAsia="Arial" w:hAnsi="Arial"/>
          <w:sz w:val="22"/>
          <w:szCs w:val="22"/>
          <w:b w:val="1"/>
          <w:bCs w:val="1"/>
          <w:i w:val="1"/>
          <w:iCs w:val="1"/>
          <w:color w:val="auto"/>
        </w:rPr>
        <w:t>Sublicensee</w:t>
      </w:r>
      <w:r>
        <w:rPr>
          <w:rFonts w:ascii="Arial" w:cs="Arial" w:eastAsia="Arial" w:hAnsi="Arial"/>
          <w:sz w:val="22"/>
          <w:szCs w:val="22"/>
          <w:color w:val="auto"/>
        </w:rPr>
        <w:t>” means a Third Party that is granted a license or sublicense or an option to obtain a license to sublicense to Research, Develop, Manufacture, use, Commercialize or otherwise exploit Licensed Products in the Field in the Territory, beyond the mere right to purchase Licensed Products from Fulcrum and its Affiliates, and excludes Fulcrum’s Affiliates or Third Party subcontractors that act solely for Fulcrum or its Affiliates in the supply chain or that perform discrete services (as opposed to being granted broad rights or responsibilities) on behalf of Fulcrum or its Affiliates.</w:t>
      </w:r>
    </w:p>
    <w:p>
      <w:pPr>
        <w:spacing w:after="0" w:line="228"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Term</w:t>
      </w:r>
      <w:r>
        <w:rPr>
          <w:rFonts w:ascii="Arial" w:cs="Arial" w:eastAsia="Arial" w:hAnsi="Arial"/>
          <w:sz w:val="19"/>
          <w:szCs w:val="19"/>
          <w:color w:val="auto"/>
        </w:rPr>
        <w:t>” has the meaning set forth in Section 9.1.</w:t>
      </w:r>
    </w:p>
    <w:p>
      <w:pPr>
        <w:spacing w:after="0" w:line="233"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Territory</w:t>
      </w:r>
      <w:r>
        <w:rPr>
          <w:rFonts w:ascii="Arial" w:cs="Arial" w:eastAsia="Arial" w:hAnsi="Arial"/>
          <w:sz w:val="19"/>
          <w:szCs w:val="19"/>
          <w:color w:val="auto"/>
        </w:rPr>
        <w:t>” means the entire world.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sectPr>
      </w:pPr>
    </w:p>
    <w:bookmarkStart w:id="90" w:name="page91"/>
    <w:bookmarkEnd w:id="90"/>
    <w:p>
      <w:pPr>
        <w:ind w:left="9" w:right="2460" w:firstLine="750"/>
        <w:spacing w:after="0" w:line="250" w:lineRule="auto"/>
        <w:rPr>
          <w:sz w:val="20"/>
          <w:szCs w:val="20"/>
          <w:color w:val="auto"/>
        </w:rPr>
      </w:pPr>
      <w:r>
        <w:rPr>
          <w:rFonts w:ascii="Arial" w:cs="Arial" w:eastAsia="Arial" w:hAnsi="Arial"/>
          <w:sz w:val="22"/>
          <w:szCs w:val="22"/>
          <w:color w:val="auto"/>
        </w:rPr>
        <w:t>1.88 “</w:t>
      </w:r>
      <w:r>
        <w:rPr>
          <w:rFonts w:ascii="Arial" w:cs="Arial" w:eastAsia="Arial" w:hAnsi="Arial"/>
          <w:sz w:val="22"/>
          <w:szCs w:val="22"/>
          <w:b w:val="1"/>
          <w:bCs w:val="1"/>
          <w:i w:val="1"/>
          <w:iCs w:val="1"/>
          <w:color w:val="auto"/>
        </w:rPr>
        <w:t>Third Party</w:t>
      </w:r>
      <w:r>
        <w:rPr>
          <w:rFonts w:ascii="Arial" w:cs="Arial" w:eastAsia="Arial" w:hAnsi="Arial"/>
          <w:sz w:val="22"/>
          <w:szCs w:val="22"/>
          <w:color w:val="auto"/>
        </w:rPr>
        <w:t>” means a Person other than: (a) Fulcrum or its Affiliates; and (b) CAMP4 or its Affiliates.</w:t>
      </w:r>
    </w:p>
    <w:p>
      <w:pPr>
        <w:spacing w:after="0" w:line="26"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has the meaning set forth in Section 7.1.1.</w:t>
      </w:r>
    </w:p>
    <w:p>
      <w:pPr>
        <w:spacing w:after="0" w:line="247" w:lineRule="exact"/>
        <w:rPr>
          <w:sz w:val="20"/>
          <w:szCs w:val="20"/>
          <w:color w:val="auto"/>
        </w:rPr>
      </w:pPr>
    </w:p>
    <w:p>
      <w:pPr>
        <w:jc w:val="both"/>
        <w:ind w:left="9" w:right="20" w:firstLine="749"/>
        <w:spacing w:after="0" w:line="249" w:lineRule="auto"/>
        <w:rPr>
          <w:sz w:val="20"/>
          <w:szCs w:val="20"/>
          <w:color w:val="auto"/>
        </w:rPr>
      </w:pPr>
      <w:r>
        <w:rPr>
          <w:rFonts w:ascii="Arial" w:cs="Arial" w:eastAsia="Arial" w:hAnsi="Arial"/>
          <w:sz w:val="21"/>
          <w:szCs w:val="21"/>
          <w:color w:val="auto"/>
        </w:rPr>
        <w:t>1.90“</w:t>
      </w:r>
      <w:r>
        <w:rPr>
          <w:rFonts w:ascii="Arial" w:cs="Arial" w:eastAsia="Arial" w:hAnsi="Arial"/>
          <w:sz w:val="21"/>
          <w:szCs w:val="21"/>
          <w:b w:val="1"/>
          <w:bCs w:val="1"/>
          <w:i w:val="1"/>
          <w:iCs w:val="1"/>
          <w:color w:val="auto"/>
        </w:rPr>
        <w:t>Third Party Distributor</w:t>
      </w:r>
      <w:r>
        <w:rPr>
          <w:rFonts w:ascii="Arial" w:cs="Arial" w:eastAsia="Arial" w:hAnsi="Arial"/>
          <w:sz w:val="21"/>
          <w:szCs w:val="21"/>
          <w:color w:val="auto"/>
        </w:rPr>
        <w:t>” means any Third Party that purchases Licensed Product from Fulcrum or its Affiliates or Sublicensees, takes title to such Licensed Product, and distributes such Licensed Product directly to customers, but does not Develop, Manufacture, or otherwise Commercialize any Licensed Product and does not make any upfront, milestone, royalty, profit- share, or other payment to Fulcrum or its Affiliates or Sublicensees, other than payment for the purchase of Licensed Products for resale.</w:t>
      </w:r>
    </w:p>
    <w:p>
      <w:pPr>
        <w:spacing w:after="0" w:line="219" w:lineRule="exact"/>
        <w:rPr>
          <w:sz w:val="20"/>
          <w:szCs w:val="20"/>
          <w:color w:val="auto"/>
        </w:rPr>
      </w:pPr>
    </w:p>
    <w:p>
      <w:pPr>
        <w:jc w:val="both"/>
        <w:ind w:left="9" w:firstLine="749"/>
        <w:spacing w:after="0"/>
        <w:rPr>
          <w:sz w:val="20"/>
          <w:szCs w:val="20"/>
          <w:color w:val="auto"/>
        </w:rPr>
      </w:pPr>
      <w:r>
        <w:rPr>
          <w:rFonts w:ascii="Arial" w:cs="Arial" w:eastAsia="Arial" w:hAnsi="Arial"/>
          <w:sz w:val="22"/>
          <w:szCs w:val="22"/>
          <w:color w:val="auto"/>
        </w:rPr>
        <w:t>1.91“</w:t>
      </w:r>
      <w:r>
        <w:rPr>
          <w:rFonts w:ascii="Arial" w:cs="Arial" w:eastAsia="Arial" w:hAnsi="Arial"/>
          <w:sz w:val="22"/>
          <w:szCs w:val="22"/>
          <w:b w:val="1"/>
          <w:bCs w:val="1"/>
          <w:i w:val="1"/>
          <w:iCs w:val="1"/>
          <w:color w:val="auto"/>
        </w:rPr>
        <w:t>Tier 1 Product</w:t>
      </w:r>
      <w:r>
        <w:rPr>
          <w:rFonts w:ascii="Arial" w:cs="Arial" w:eastAsia="Arial" w:hAnsi="Arial"/>
          <w:sz w:val="22"/>
          <w:szCs w:val="22"/>
          <w:color w:val="auto"/>
        </w:rPr>
        <w:t>” means any product which on the Relevant Date is Covered by a Valid Claim of a CAMP4-Assignee Patent. For clarity, Tier 1 Products may or may not be Covered by a Valid Claim of a CMCC-Licensed Patent.</w:t>
      </w:r>
    </w:p>
    <w:p>
      <w:pPr>
        <w:spacing w:after="0" w:line="213" w:lineRule="exact"/>
        <w:rPr>
          <w:sz w:val="20"/>
          <w:szCs w:val="20"/>
          <w:color w:val="auto"/>
        </w:rPr>
      </w:pPr>
    </w:p>
    <w:p>
      <w:pPr>
        <w:jc w:val="both"/>
        <w:ind w:left="9" w:right="20" w:firstLine="749"/>
        <w:spacing w:after="0" w:line="250" w:lineRule="auto"/>
        <w:rPr>
          <w:sz w:val="20"/>
          <w:szCs w:val="20"/>
          <w:color w:val="auto"/>
        </w:rPr>
      </w:pPr>
      <w:r>
        <w:rPr>
          <w:rFonts w:ascii="Arial" w:cs="Arial" w:eastAsia="Arial" w:hAnsi="Arial"/>
          <w:sz w:val="22"/>
          <w:szCs w:val="22"/>
          <w:color w:val="auto"/>
        </w:rPr>
        <w:t>1.92“</w:t>
      </w:r>
      <w:r>
        <w:rPr>
          <w:rFonts w:ascii="Arial" w:cs="Arial" w:eastAsia="Arial" w:hAnsi="Arial"/>
          <w:sz w:val="22"/>
          <w:szCs w:val="22"/>
          <w:b w:val="1"/>
          <w:bCs w:val="1"/>
          <w:i w:val="1"/>
          <w:iCs w:val="1"/>
          <w:color w:val="auto"/>
        </w:rPr>
        <w:t>Tier 2 Product</w:t>
      </w:r>
      <w:r>
        <w:rPr>
          <w:rFonts w:ascii="Arial" w:cs="Arial" w:eastAsia="Arial" w:hAnsi="Arial"/>
          <w:sz w:val="22"/>
          <w:szCs w:val="22"/>
          <w:color w:val="auto"/>
        </w:rPr>
        <w:t>” means any product which on the Relevant Date is Covered by a Valid Claim of a CMCC-Licensed Patent, but is not Covered by a Valid Claim of a CAMP4- Assignee Patent.</w:t>
      </w:r>
    </w:p>
    <w:p>
      <w:pPr>
        <w:spacing w:after="0" w:line="215" w:lineRule="exact"/>
        <w:rPr>
          <w:sz w:val="20"/>
          <w:szCs w:val="20"/>
          <w:color w:val="auto"/>
        </w:rPr>
      </w:pPr>
    </w:p>
    <w:p>
      <w:pPr>
        <w:ind w:left="749"/>
        <w:spacing w:after="0"/>
        <w:rPr>
          <w:sz w:val="20"/>
          <w:szCs w:val="20"/>
          <w:color w:val="auto"/>
        </w:rPr>
      </w:pPr>
      <w:r>
        <w:rPr>
          <w:rFonts w:ascii="Arial" w:cs="Arial" w:eastAsia="Arial" w:hAnsi="Arial"/>
          <w:sz w:val="22"/>
          <w:szCs w:val="22"/>
          <w:color w:val="auto"/>
        </w:rPr>
        <w:t>1.93“</w:t>
      </w:r>
      <w:r>
        <w:rPr>
          <w:rFonts w:ascii="Arial" w:cs="Arial" w:eastAsia="Arial" w:hAnsi="Arial"/>
          <w:sz w:val="22"/>
          <w:szCs w:val="22"/>
          <w:b w:val="1"/>
          <w:bCs w:val="1"/>
          <w:i w:val="1"/>
          <w:iCs w:val="1"/>
          <w:color w:val="auto"/>
        </w:rPr>
        <w:t>Transferred Materials</w:t>
      </w:r>
      <w:r>
        <w:rPr>
          <w:rFonts w:ascii="Arial" w:cs="Arial" w:eastAsia="Arial" w:hAnsi="Arial"/>
          <w:sz w:val="22"/>
          <w:szCs w:val="22"/>
          <w:color w:val="auto"/>
        </w:rPr>
        <w:t>” has the meaning set forth in the CMCC License Agreement.</w:t>
      </w:r>
    </w:p>
    <w:p>
      <w:pPr>
        <w:spacing w:after="0" w:line="247"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U.S.</w:t>
      </w:r>
      <w:r>
        <w:rPr>
          <w:rFonts w:ascii="Arial" w:cs="Arial" w:eastAsia="Arial" w:hAnsi="Arial"/>
          <w:sz w:val="19"/>
          <w:szCs w:val="19"/>
          <w:color w:val="auto"/>
        </w:rPr>
        <w:t>” means the United States of America and its territories and possessions.</w:t>
      </w:r>
    </w:p>
    <w:p>
      <w:pPr>
        <w:spacing w:after="0" w:line="233"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U.S. Approval</w:t>
      </w:r>
      <w:r>
        <w:rPr>
          <w:rFonts w:ascii="Arial" w:cs="Arial" w:eastAsia="Arial" w:hAnsi="Arial"/>
          <w:sz w:val="19"/>
          <w:szCs w:val="19"/>
          <w:color w:val="auto"/>
        </w:rPr>
        <w:t>” means the grant of Marketing Authorization in the U.S.</w:t>
      </w:r>
    </w:p>
    <w:p>
      <w:pPr>
        <w:spacing w:after="0" w:line="247" w:lineRule="exact"/>
        <w:rPr>
          <w:sz w:val="20"/>
          <w:szCs w:val="20"/>
          <w:color w:val="auto"/>
        </w:rPr>
      </w:pPr>
    </w:p>
    <w:p>
      <w:pPr>
        <w:jc w:val="both"/>
        <w:ind w:left="9" w:firstLine="749"/>
        <w:spacing w:after="0" w:line="269" w:lineRule="auto"/>
        <w:rPr>
          <w:sz w:val="20"/>
          <w:szCs w:val="20"/>
          <w:color w:val="auto"/>
        </w:rPr>
      </w:pPr>
      <w:r>
        <w:rPr>
          <w:rFonts w:ascii="Arial" w:cs="Arial" w:eastAsia="Arial" w:hAnsi="Arial"/>
          <w:sz w:val="19"/>
          <w:szCs w:val="19"/>
          <w:color w:val="auto"/>
        </w:rPr>
        <w:t>1.96“</w:t>
      </w:r>
      <w:r>
        <w:rPr>
          <w:rFonts w:ascii="Arial" w:cs="Arial" w:eastAsia="Arial" w:hAnsi="Arial"/>
          <w:sz w:val="19"/>
          <w:szCs w:val="19"/>
          <w:b w:val="1"/>
          <w:bCs w:val="1"/>
          <w:i w:val="1"/>
          <w:iCs w:val="1"/>
          <w:color w:val="auto"/>
        </w:rPr>
        <w:t>Valid Claim</w:t>
      </w:r>
      <w:r>
        <w:rPr>
          <w:rFonts w:ascii="Arial" w:cs="Arial" w:eastAsia="Arial" w:hAnsi="Arial"/>
          <w:sz w:val="19"/>
          <w:szCs w:val="19"/>
          <w:color w:val="auto"/>
        </w:rPr>
        <w:t>” means (i) a claim of any issued, unexpired patent included within the Licensed Patents that has not been (a) held to be invalid, unenforceable or unpatentable by a final judgment of a court or other governmental authority of competent jurisdiction from which no appeal can be or is taken or (b) abandoned, disclaimed, denied or admitted to be invalid or unenforceable through reissue, re-examination or disclaimer or otherwise, or (ii) a claim of any pending patent application included within the Licensed Patents, which (a) patent application was filed and is being prosecuted in good faith and has not been cancelled, withdrawn from consideration, abandoned or finally disallowed without the possibility of appeal and (b) that has not been pending for [***] from the receipt of the first office action on the merits in the relevant patent office for such patent application; provided that if a claim issues after the time frame identified in clause (ii)(b) of this Section 1.96, and meets the requirements of clause</w:t>
      </w:r>
    </w:p>
    <w:p>
      <w:pPr>
        <w:spacing w:after="0" w:line="1" w:lineRule="exact"/>
        <w:rPr>
          <w:sz w:val="20"/>
          <w:szCs w:val="20"/>
          <w:color w:val="auto"/>
        </w:rPr>
      </w:pPr>
    </w:p>
    <w:p>
      <w:pPr>
        <w:ind w:left="249" w:hanging="249"/>
        <w:spacing w:after="0"/>
        <w:tabs>
          <w:tab w:leader="none" w:pos="249" w:val="left"/>
        </w:tabs>
        <w:numPr>
          <w:ilvl w:val="0"/>
          <w:numId w:val="55"/>
        </w:numPr>
        <w:rPr>
          <w:rFonts w:ascii="Arial" w:cs="Arial" w:eastAsia="Arial" w:hAnsi="Arial"/>
          <w:sz w:val="22"/>
          <w:szCs w:val="22"/>
          <w:color w:val="auto"/>
        </w:rPr>
      </w:pPr>
      <w:r>
        <w:rPr>
          <w:rFonts w:ascii="Arial" w:cs="Arial" w:eastAsia="Arial" w:hAnsi="Arial"/>
          <w:sz w:val="22"/>
          <w:szCs w:val="22"/>
          <w:color w:val="auto"/>
        </w:rPr>
        <w:t>of this Section 1.96, such patent claim shall be deemed a Valid Claim upon issuance.</w:t>
      </w:r>
    </w:p>
    <w:p>
      <w:pPr>
        <w:spacing w:after="0" w:line="209" w:lineRule="exact"/>
        <w:rPr>
          <w:rFonts w:ascii="Arial" w:cs="Arial" w:eastAsia="Arial" w:hAnsi="Arial"/>
          <w:sz w:val="22"/>
          <w:szCs w:val="22"/>
          <w:color w:val="auto"/>
        </w:rPr>
      </w:pPr>
    </w:p>
    <w:p>
      <w:pPr>
        <w:ind w:left="4649"/>
        <w:spacing w:after="0"/>
        <w:rPr>
          <w:rFonts w:ascii="Arial" w:cs="Arial" w:eastAsia="Arial" w:hAnsi="Arial"/>
          <w:sz w:val="22"/>
          <w:szCs w:val="22"/>
          <w:color w:val="auto"/>
        </w:rPr>
      </w:pPr>
      <w:r>
        <w:rPr>
          <w:rFonts w:ascii="Arial" w:cs="Arial" w:eastAsia="Arial" w:hAnsi="Arial"/>
          <w:sz w:val="22"/>
          <w:szCs w:val="22"/>
          <w:b w:val="1"/>
          <w:bCs w:val="1"/>
          <w:color w:val="auto"/>
        </w:rPr>
        <w:t>ARTICLE 2</w:t>
      </w:r>
    </w:p>
    <w:p>
      <w:pPr>
        <w:spacing w:after="0" w:line="314"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LICENSE GRANT</w:t>
      </w:r>
    </w:p>
    <w:p>
      <w:pPr>
        <w:spacing w:after="0" w:line="206"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Grant of License</w:t>
      </w:r>
      <w:r>
        <w:rPr>
          <w:rFonts w:ascii="Arial" w:cs="Arial" w:eastAsia="Arial" w:hAnsi="Arial"/>
          <w:sz w:val="19"/>
          <w:szCs w:val="19"/>
          <w:color w:val="auto"/>
        </w:rPr>
        <w:t>.</w:t>
      </w:r>
    </w:p>
    <w:p>
      <w:pPr>
        <w:spacing w:after="0" w:line="314" w:lineRule="exact"/>
        <w:rPr>
          <w:sz w:val="20"/>
          <w:szCs w:val="20"/>
          <w:color w:val="auto"/>
        </w:rPr>
      </w:pPr>
    </w:p>
    <w:p>
      <w:pPr>
        <w:ind w:left="1509"/>
        <w:spacing w:after="0"/>
        <w:rPr>
          <w:sz w:val="20"/>
          <w:szCs w:val="20"/>
          <w:color w:val="auto"/>
        </w:rPr>
      </w:pPr>
      <w:r>
        <w:rPr>
          <w:rFonts w:ascii="Arial" w:cs="Arial" w:eastAsia="Arial" w:hAnsi="Arial"/>
          <w:sz w:val="22"/>
          <w:szCs w:val="22"/>
          <w:color w:val="auto"/>
        </w:rPr>
        <w:t>2.1.1</w:t>
      </w:r>
      <w:r>
        <w:rPr>
          <w:rFonts w:ascii="Arial" w:cs="Arial" w:eastAsia="Arial" w:hAnsi="Arial"/>
          <w:sz w:val="22"/>
          <w:szCs w:val="22"/>
          <w:b w:val="1"/>
          <w:bCs w:val="1"/>
          <w:color w:val="auto"/>
        </w:rPr>
        <w:t>Exclusive License.</w:t>
      </w:r>
      <w:r>
        <w:rPr>
          <w:rFonts w:ascii="Arial" w:cs="Arial" w:eastAsia="Arial" w:hAnsi="Arial"/>
          <w:sz w:val="22"/>
          <w:szCs w:val="22"/>
          <w:color w:val="auto"/>
        </w:rPr>
        <w:t xml:space="preserve"> Subject to Section 2.4, CAMP4, on behalf of itself</w:t>
      </w:r>
    </w:p>
    <w:p>
      <w:pPr>
        <w:spacing w:after="0" w:line="200" w:lineRule="exact"/>
        <w:rPr>
          <w:sz w:val="20"/>
          <w:szCs w:val="20"/>
          <w:color w:val="auto"/>
        </w:rPr>
      </w:pPr>
    </w:p>
    <w:p>
      <w:pPr>
        <w:spacing w:after="0" w:line="296" w:lineRule="exact"/>
        <w:rPr>
          <w:sz w:val="20"/>
          <w:szCs w:val="20"/>
          <w:color w:val="auto"/>
        </w:rPr>
      </w:pPr>
    </w:p>
    <w:p>
      <w:pPr>
        <w:ind w:left="542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62865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9"/>
          </w:cols>
          <w:pgMar w:left="431" w:top="361" w:right="1039" w:bottom="1440" w:gutter="0" w:footer="0" w:header="0"/>
        </w:sectPr>
      </w:pPr>
    </w:p>
    <w:bookmarkStart w:id="91" w:name="page92"/>
    <w:bookmarkEnd w:id="91"/>
    <w:p>
      <w:pPr>
        <w:jc w:val="both"/>
        <w:spacing w:after="0" w:line="238" w:lineRule="auto"/>
        <w:rPr>
          <w:sz w:val="20"/>
          <w:szCs w:val="20"/>
          <w:color w:val="auto"/>
        </w:rPr>
      </w:pPr>
      <w:r>
        <w:rPr>
          <w:rFonts w:ascii="Arial" w:cs="Arial" w:eastAsia="Arial" w:hAnsi="Arial"/>
          <w:sz w:val="22"/>
          <w:szCs w:val="22"/>
          <w:color w:val="auto"/>
        </w:rPr>
        <w:t>and its Affiliates, hereby grants to Fulcrum a worldwide, exclusive, royalty-bearing license, with the right to grant sublicenses (through multiple tiers, but only in accordance with Section 2.2), to and under the Licensed Patents and the CAMP4 Know-How, to Research, Develop, Manufacture, use, Commercialize, or otherwise exploit the Licensed Products in the Field in the Territory.</w:t>
      </w:r>
    </w:p>
    <w:p>
      <w:pPr>
        <w:spacing w:after="0" w:line="30" w:lineRule="exact"/>
        <w:rPr>
          <w:sz w:val="20"/>
          <w:szCs w:val="20"/>
          <w:color w:val="auto"/>
        </w:rPr>
      </w:pPr>
    </w:p>
    <w:p>
      <w:pPr>
        <w:jc w:val="both"/>
        <w:ind w:firstLine="1497"/>
        <w:spacing w:after="0" w:line="289" w:lineRule="auto"/>
        <w:rPr>
          <w:sz w:val="20"/>
          <w:szCs w:val="20"/>
          <w:color w:val="auto"/>
        </w:rPr>
      </w:pPr>
      <w:r>
        <w:rPr>
          <w:rFonts w:ascii="Arial" w:cs="Arial" w:eastAsia="Arial" w:hAnsi="Arial"/>
          <w:sz w:val="19"/>
          <w:szCs w:val="19"/>
          <w:color w:val="auto"/>
        </w:rPr>
        <w:t>2.1.2</w:t>
      </w:r>
      <w:r>
        <w:rPr>
          <w:rFonts w:ascii="Arial" w:cs="Arial" w:eastAsia="Arial" w:hAnsi="Arial"/>
          <w:sz w:val="19"/>
          <w:szCs w:val="19"/>
          <w:b w:val="1"/>
          <w:bCs w:val="1"/>
          <w:color w:val="auto"/>
        </w:rPr>
        <w:t>Non-Exclusive License.</w:t>
      </w:r>
      <w:r>
        <w:rPr>
          <w:rFonts w:ascii="Arial" w:cs="Arial" w:eastAsia="Arial" w:hAnsi="Arial"/>
          <w:sz w:val="19"/>
          <w:szCs w:val="19"/>
          <w:color w:val="auto"/>
        </w:rPr>
        <w:t xml:space="preserve"> CAMP4, on behalf of itself and its Affiliates, hereby grants to Fulcrum a non-exclusive license, with the right to grant sublicenses (through multiple tiers, but only in accordance with Section 2.2), to utilize or practice the CMCC Know- How and use the Transferred Materials to Research, Develop, Manufacture, use, Commercialize, or otherwise exploit the Licensed Products in the Field in the Territory.</w:t>
      </w:r>
    </w:p>
    <w:p>
      <w:pPr>
        <w:spacing w:after="0" w:line="176"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8"/>
          <w:szCs w:val="18"/>
          <w:b w:val="1"/>
          <w:bCs w:val="1"/>
          <w:color w:val="auto"/>
        </w:rPr>
        <w:t>Sublicensing</w:t>
      </w:r>
      <w:r>
        <w:rPr>
          <w:rFonts w:ascii="Arial" w:cs="Arial" w:eastAsia="Arial" w:hAnsi="Arial"/>
          <w:sz w:val="18"/>
          <w:szCs w:val="18"/>
          <w:color w:val="auto"/>
        </w:rPr>
        <w:t>.</w:t>
      </w:r>
    </w:p>
    <w:p>
      <w:pPr>
        <w:spacing w:after="0" w:line="253"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 xml:space="preserve">2.2.1Fulcrum and its Affiliates may grant one or more sublicenses under the rights and licenses granted to Fulcrum under Section 2.1, in full or in part, to Third Parties (with the right to sublicense through multiple tiers);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any sublicense of CMCC-Licensed Patents shall include an exclusive right to Develop or Commercialize a Licensed Product in a certain field or Major Market; (b) sublicenses of CMCC Know-How or Transferred Materials shall only be granted in connection with the sublicense of one or more CMCC-Licensed Patents, or to contractors for the purpose of carrying out the Development Plan or to a Third Party in connection with Licensed Products; (c) any such permitted sublicense is consistent with and subject to the terms and conditions of this Agreement; and (d) Fulcrum shall remain responsible for performance of Fulcrum’s obligations under this Agreement and shall be responsible for all actions of each such Sublicensee as if such Sublicensee were Fulcrum hereunder.</w:t>
      </w:r>
    </w:p>
    <w:p>
      <w:pPr>
        <w:spacing w:after="0" w:line="185"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2.2.2Except with respect to sublicenses that grant rights to perform a service on behalf of Fulcrum, its Affiliates or Sublicensees (e.g. a contractor carrying out an activity under the Development Plan, or a contract manufacturer) under which Fulcrum, its Affiliates or Sublicensees do not receive any consideration other than the provision of services in exchange for rights granted under such sublicense, Fulcrum shall provide CAMP4 with notice of any grant of sublicense and a copy of fully executed sublicense agreements within [***] of execution thereof, which copy may be redacted to exclude information not relevant to the CMCC-Licensed Patents or CMCC Know-How.</w:t>
      </w:r>
    </w:p>
    <w:p>
      <w:pPr>
        <w:spacing w:after="0" w:line="185"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Maintenance of the CMCC License Agreement</w:t>
      </w:r>
      <w:r>
        <w:rPr>
          <w:rFonts w:ascii="Arial" w:cs="Arial" w:eastAsia="Arial" w:hAnsi="Arial"/>
          <w:sz w:val="19"/>
          <w:szCs w:val="19"/>
          <w:color w:val="auto"/>
        </w:rPr>
        <w:t>. CAMP4 shall:</w:t>
      </w:r>
    </w:p>
    <w:p>
      <w:pPr>
        <w:spacing w:after="0" w:line="253"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2.3.1not breach its obligations under the CMCC License Agreement in any material respect (except to the extent that any such breach is a result of any action or inaction by Fulcrum);</w:t>
      </w:r>
    </w:p>
    <w:p>
      <w:pPr>
        <w:spacing w:after="0" w:line="283"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2.3.2comply in all respects with its obligations to bear the costs for the filing, prosecution or maintenance of the CMCC-Licensed Patents under Article VII of the CMCC License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Fulcrum will reimburse CAMP4 for such costs in accordance with Section 5.1.3;</w:t>
      </w:r>
    </w:p>
    <w:p>
      <w:pPr>
        <w:spacing w:after="0" w:line="213"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2.3.3not modify or amend the CMCC License Agreement in any way that would adversely affect Fulcrum or its rights hereunder in any material respect, without Fulcrum’s</w:t>
      </w:r>
    </w:p>
    <w:p>
      <w:pPr>
        <w:spacing w:after="0" w:line="200" w:lineRule="exact"/>
        <w:rPr>
          <w:sz w:val="20"/>
          <w:szCs w:val="20"/>
          <w:color w:val="auto"/>
        </w:rPr>
      </w:pPr>
    </w:p>
    <w:p>
      <w:pPr>
        <w:spacing w:after="0" w:line="25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442" w:right="1039" w:bottom="1440" w:gutter="0" w:footer="0" w:header="0"/>
        </w:sectPr>
      </w:pPr>
    </w:p>
    <w:bookmarkStart w:id="92" w:name="page93"/>
    <w:bookmarkEnd w:id="92"/>
    <w:p>
      <w:pPr>
        <w:jc w:val="both"/>
        <w:spacing w:after="0" w:line="250" w:lineRule="auto"/>
        <w:rPr>
          <w:sz w:val="20"/>
          <w:szCs w:val="20"/>
          <w:color w:val="auto"/>
        </w:rPr>
      </w:pPr>
      <w:r>
        <w:rPr>
          <w:rFonts w:ascii="Arial" w:cs="Arial" w:eastAsia="Arial" w:hAnsi="Arial"/>
          <w:sz w:val="22"/>
          <w:szCs w:val="22"/>
          <w:color w:val="auto"/>
        </w:rPr>
        <w:t>prior written consent, which shall not be unreasonably withheld, delayed or conditioned, and shall provide Fulcrum with a copy of all modifications to or amendments of the CMCC License Agreement;</w:t>
      </w:r>
    </w:p>
    <w:p>
      <w:pPr>
        <w:spacing w:after="0" w:line="2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2.3.4not terminate the CMCC License Agreement in whole or in part without Fulcrum’s prior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consent;</w:t>
      </w:r>
    </w:p>
    <w:p>
      <w:pPr>
        <w:spacing w:after="0" w:line="229"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2.3.5within [***] after CAMP4’s knowledge thereof, provide Fulcrum with notice of and information relating to (i) any termination notice relating to the CMCC License Agreement, or (ii) any alleged material breach in writing by CAMP4 or CMCC of the CMCC License Agreement that would adversely affect in any material respect CAMP4 or Fulcrum or its rights hereunder or could reasonably give rise to a right to terminate the CMCC License Agreement and, following Fulcrum’s request, reasonably consult with Fulcrum before taking any action in relation to such alleged or suspected breach or default (provided that CAMP4 shall have final say with respect to any such matter); and</w:t>
      </w:r>
    </w:p>
    <w:p>
      <w:pPr>
        <w:spacing w:after="0" w:line="23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2.3.6keep Fulcrum reasonably informed of any material developments under or relating to the CMCC License Agreement.</w:t>
      </w:r>
    </w:p>
    <w:p>
      <w:pPr>
        <w:spacing w:after="0" w:line="19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2.4</w:t>
      </w:r>
      <w:r>
        <w:rPr>
          <w:rFonts w:ascii="Arial" w:cs="Arial" w:eastAsia="Arial" w:hAnsi="Arial"/>
          <w:sz w:val="22"/>
          <w:szCs w:val="22"/>
          <w:b w:val="1"/>
          <w:bCs w:val="1"/>
          <w:color w:val="auto"/>
        </w:rPr>
        <w:t>No Other Rights; Retained Rights</w:t>
      </w:r>
      <w:r>
        <w:rPr>
          <w:rFonts w:ascii="Arial" w:cs="Arial" w:eastAsia="Arial" w:hAnsi="Arial"/>
          <w:sz w:val="22"/>
          <w:szCs w:val="22"/>
          <w:color w:val="auto"/>
        </w:rPr>
        <w:t>. Fulcrum acknowledges the reservations of rights in relation to the CMCC-Licensed Patents set forth in Article II B and C of the CMCC License Agreement. Except as set forth herein, neither Party shall be granted, by implication or otherwise any license or other intellectual property interest under any trademarks, Know-How, or Patents of the other Party.</w:t>
      </w:r>
    </w:p>
    <w:p>
      <w:pPr>
        <w:spacing w:after="0" w:line="22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2.5</w:t>
      </w:r>
      <w:r>
        <w:rPr>
          <w:rFonts w:ascii="Arial" w:cs="Arial" w:eastAsia="Arial" w:hAnsi="Arial"/>
          <w:sz w:val="22"/>
          <w:szCs w:val="22"/>
          <w:b w:val="1"/>
          <w:bCs w:val="1"/>
          <w:color w:val="auto"/>
        </w:rPr>
        <w:t>Provision of Materials and Know-How</w:t>
      </w:r>
      <w:r>
        <w:rPr>
          <w:rFonts w:ascii="Arial" w:cs="Arial" w:eastAsia="Arial" w:hAnsi="Arial"/>
          <w:sz w:val="22"/>
          <w:szCs w:val="22"/>
          <w:color w:val="auto"/>
        </w:rPr>
        <w:t xml:space="preserve">. To the extent not already provided to Fulcrum prior to the Effective Date, within [***] of the Effective Date, CAMP4 will provide Fulcrum with a copy of the Know-How listed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in a format and manner reasonably agreed by the Parties. On the request of Fulcrum, CAMP4 will ship to Fulcrum [***].</w:t>
      </w:r>
    </w:p>
    <w:p>
      <w:pPr>
        <w:spacing w:after="0" w:line="221"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color w:val="auto"/>
        </w:rPr>
        <w:t>Exclusivity</w:t>
      </w:r>
      <w:r>
        <w:rPr>
          <w:rFonts w:ascii="Arial" w:cs="Arial" w:eastAsia="Arial" w:hAnsi="Arial"/>
          <w:sz w:val="19"/>
          <w:szCs w:val="19"/>
          <w:color w:val="auto"/>
        </w:rPr>
        <w:t>.</w:t>
      </w:r>
    </w:p>
    <w:p>
      <w:pPr>
        <w:spacing w:after="0" w:line="239"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2.6.1Subject to Section 2.6.2, During the Term neither CAMP4, nor any of its Affiliates, will directly or indirectly, either alone or with or through one or more Third Parties, Research, Develop, Manufacture, use, Commercialize, or otherwise exploit [***] (a “</w:t>
      </w:r>
      <w:r>
        <w:rPr>
          <w:rFonts w:ascii="Arial" w:cs="Arial" w:eastAsia="Arial" w:hAnsi="Arial"/>
          <w:sz w:val="22"/>
          <w:szCs w:val="22"/>
          <w:b w:val="1"/>
          <w:bCs w:val="1"/>
          <w:i w:val="1"/>
          <w:iCs w:val="1"/>
          <w:color w:val="auto"/>
        </w:rPr>
        <w:t>Competing Product</w:t>
      </w:r>
      <w:r>
        <w:rPr>
          <w:rFonts w:ascii="Arial" w:cs="Arial" w:eastAsia="Arial" w:hAnsi="Arial"/>
          <w:sz w:val="22"/>
          <w:szCs w:val="22"/>
          <w:color w:val="auto"/>
        </w:rPr>
        <w:t>”) in the Territory.</w:t>
      </w:r>
    </w:p>
    <w:p>
      <w:pPr>
        <w:spacing w:after="0" w:line="227"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2.6.2CAMP4 will not be in breach of the restrictions set forth in Section 2.6.1 if CAMP4 or any of its Affiliates undergoes a Change of Control with a Third Party (together with such Third Party and its Affiliates following the closing of the applicable Change of Control transaction, the “</w:t>
      </w:r>
      <w:r>
        <w:rPr>
          <w:rFonts w:ascii="Arial" w:cs="Arial" w:eastAsia="Arial" w:hAnsi="Arial"/>
          <w:sz w:val="19"/>
          <w:szCs w:val="19"/>
          <w:b w:val="1"/>
          <w:bCs w:val="1"/>
          <w:i w:val="1"/>
          <w:iCs w:val="1"/>
          <w:color w:val="auto"/>
        </w:rPr>
        <w:t>Acquired Party</w:t>
      </w:r>
      <w:r>
        <w:rPr>
          <w:rFonts w:ascii="Arial" w:cs="Arial" w:eastAsia="Arial" w:hAnsi="Arial"/>
          <w:sz w:val="19"/>
          <w:szCs w:val="19"/>
          <w:color w:val="auto"/>
        </w:rPr>
        <w:t>”) that (either directly or through an Affiliate (other than CAMP4 and any CAMP4 Affiliates that existing prior to such Change of Control), or in collaboration with any other Third Party) at the closing of the Change of Control transaction or thereafter is Researching, Developing, using, Commercializing or otherwise exploiting a Competing Product, as long as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color w:val="auto"/>
        </w:rPr>
        <w:t>ARTICLE 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DILIGENCE, DEVELOPMENT AND COMMERCIALIZATION</w:t>
      </w:r>
    </w:p>
    <w:p>
      <w:pPr>
        <w:spacing w:after="0" w:line="23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color w:val="auto"/>
        </w:rPr>
        <w:t>3.1</w:t>
      </w:r>
      <w:r>
        <w:rPr>
          <w:rFonts w:ascii="Arial" w:cs="Arial" w:eastAsia="Arial" w:hAnsi="Arial"/>
          <w:sz w:val="21"/>
          <w:szCs w:val="21"/>
          <w:b w:val="1"/>
          <w:bCs w:val="1"/>
          <w:color w:val="auto"/>
        </w:rPr>
        <w:t>Diligence</w:t>
      </w:r>
      <w:r>
        <w:rPr>
          <w:rFonts w:ascii="Arial" w:cs="Arial" w:eastAsia="Arial" w:hAnsi="Arial"/>
          <w:sz w:val="21"/>
          <w:szCs w:val="21"/>
          <w:color w:val="auto"/>
        </w:rPr>
        <w:t>. Fulcrum shall use Commercially Reasonable Efforts to obtain a Marketing Authorization for at least one Licensed Product in the Field in a Major Market. Without prejudice to the generality of the foregoing, Fulcrum shall use Commercially Reasonable Efforts to Research and Develop a Tier 1 Product. In the event that Fulcrum determines that a Tier 1 Product cannot be advanced despite the exercise of Commercially Reasonable Efforts, Fulcrum shall use Commercially Reasonable Efforts to Develop a Tier 2 Product. In the event that Fulcrum determines that a Tier 2 Product cannot be advanced despite the exercise of Commercially Reasonable Efforts, Fulcrum may terminate this Agreement in accordance with Section 9.6.</w:t>
      </w:r>
    </w:p>
    <w:p>
      <w:pPr>
        <w:spacing w:after="0" w:line="21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3.2</w:t>
      </w:r>
      <w:r>
        <w:rPr>
          <w:rFonts w:ascii="Arial" w:cs="Arial" w:eastAsia="Arial" w:hAnsi="Arial"/>
          <w:sz w:val="21"/>
          <w:szCs w:val="21"/>
          <w:b w:val="1"/>
          <w:bCs w:val="1"/>
          <w:color w:val="auto"/>
        </w:rPr>
        <w:t>Development and Commercialization Responsibilities</w:t>
      </w:r>
      <w:r>
        <w:rPr>
          <w:rFonts w:ascii="Arial" w:cs="Arial" w:eastAsia="Arial" w:hAnsi="Arial"/>
          <w:sz w:val="21"/>
          <w:szCs w:val="21"/>
          <w:color w:val="auto"/>
        </w:rPr>
        <w:t>. Subject to Section 3.1, all decisions concerning the Research, Development, Manufacture and Commercialization of the Licensed Product, including the clinical and regulatory strategy of the Licensed Product, the marketing and sales of the Licensed Product, and the design, price, and promotion of the Licensed Product, shall be at the sole discretion of Fulcrum. If Fulcrum reasonably requests assistance or input from CAMP4 with respect to Research or Development activities being undertaken by Fulcrum in respect of a Licensed Product, CAMP4 shall (at Fulcrum’s expense), use its Commercially Reasonable Efforts to cooperate in good faith with Fulcrum in response to such request (e.g., by responding to regulatory inquiries relating to the pre-clinical development of a Licensed Product by CAMP4, intellectual property matters with respect to Licensed Patents and Know-How, etc.).</w:t>
      </w:r>
    </w:p>
    <w:p>
      <w:pPr>
        <w:spacing w:after="0" w:line="21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3.3</w:t>
      </w:r>
      <w:r>
        <w:rPr>
          <w:rFonts w:ascii="Arial" w:cs="Arial" w:eastAsia="Arial" w:hAnsi="Arial"/>
          <w:sz w:val="19"/>
          <w:szCs w:val="19"/>
          <w:b w:val="1"/>
          <w:bCs w:val="1"/>
          <w:color w:val="auto"/>
        </w:rPr>
        <w:t>Reporting Obligations</w:t>
      </w:r>
      <w:r>
        <w:rPr>
          <w:rFonts w:ascii="Arial" w:cs="Arial" w:eastAsia="Arial" w:hAnsi="Arial"/>
          <w:sz w:val="19"/>
          <w:szCs w:val="19"/>
          <w:color w:val="auto"/>
        </w:rPr>
        <w:t>. Fulcrum shall keep CAMP4 reasonably informed as to the progress and results of its and its Affiliates’ and Sublicensees’ Research and Development activities under this Agreement with respect to Licensed Products, including with respect to the achievement of Development Milestone Events. Fulcrum shall provide CAMP4: (a) copies of a high-level development plan (“</w:t>
      </w:r>
      <w:r>
        <w:rPr>
          <w:rFonts w:ascii="Arial" w:cs="Arial" w:eastAsia="Arial" w:hAnsi="Arial"/>
          <w:sz w:val="19"/>
          <w:szCs w:val="19"/>
          <w:b w:val="1"/>
          <w:bCs w:val="1"/>
          <w:i w:val="1"/>
          <w:iCs w:val="1"/>
          <w:color w:val="auto"/>
        </w:rPr>
        <w:t>Development Plan</w:t>
      </w:r>
      <w:r>
        <w:rPr>
          <w:rFonts w:ascii="Arial" w:cs="Arial" w:eastAsia="Arial" w:hAnsi="Arial"/>
          <w:sz w:val="19"/>
          <w:szCs w:val="19"/>
          <w:color w:val="auto"/>
        </w:rPr>
        <w:t xml:space="preserve">”) in respect of Licensed Products [***] including [***]; the initial Development Plan is attached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 (b) reports, [***], with respect to material Research and Development activities undertaken by Fulcrum (including [***]) (“</w:t>
      </w:r>
      <w:r>
        <w:rPr>
          <w:rFonts w:ascii="Arial" w:cs="Arial" w:eastAsia="Arial" w:hAnsi="Arial"/>
          <w:sz w:val="19"/>
          <w:szCs w:val="19"/>
          <w:b w:val="1"/>
          <w:bCs w:val="1"/>
          <w:i w:val="1"/>
          <w:iCs w:val="1"/>
          <w:color w:val="auto"/>
        </w:rPr>
        <w:t>Development Report</w:t>
      </w:r>
      <w:r>
        <w:rPr>
          <w:rFonts w:ascii="Arial" w:cs="Arial" w:eastAsia="Arial" w:hAnsi="Arial"/>
          <w:sz w:val="19"/>
          <w:szCs w:val="19"/>
          <w:color w:val="auto"/>
        </w:rPr>
        <w:t>”). Fulcrum’s reporting obligations under this Section 3.3 with respect to Fulcrum’s Research and Development activities shall cease upon the achievement of all Development Milestone Events and Commercial Milestone Events in Table 4.2.1, after which time Fulcrum shall provide CAMP4 with reports as provided in Section 4.5, but Fulcrum shall have no additional reporting obligations with respect to its Commercialization activities.</w:t>
      </w:r>
    </w:p>
    <w:p>
      <w:pPr>
        <w:spacing w:after="0" w:line="3" w:lineRule="exact"/>
        <w:rPr>
          <w:sz w:val="20"/>
          <w:szCs w:val="20"/>
          <w:color w:val="auto"/>
        </w:rPr>
      </w:pPr>
    </w:p>
    <w:p>
      <w:pPr>
        <w:jc w:val="both"/>
        <w:ind w:right="20" w:firstLine="749"/>
        <w:spacing w:after="0" w:line="256" w:lineRule="auto"/>
        <w:rPr>
          <w:sz w:val="20"/>
          <w:szCs w:val="20"/>
          <w:color w:val="auto"/>
        </w:rPr>
      </w:pPr>
      <w:r>
        <w:rPr>
          <w:rFonts w:ascii="Arial" w:cs="Arial" w:eastAsia="Arial" w:hAnsi="Arial"/>
          <w:sz w:val="22"/>
          <w:szCs w:val="22"/>
          <w:color w:val="auto"/>
        </w:rPr>
        <w:t>3.4</w:t>
      </w:r>
      <w:r>
        <w:rPr>
          <w:rFonts w:ascii="Arial" w:cs="Arial" w:eastAsia="Arial" w:hAnsi="Arial"/>
          <w:sz w:val="22"/>
          <w:szCs w:val="22"/>
          <w:b w:val="1"/>
          <w:bCs w:val="1"/>
          <w:color w:val="auto"/>
        </w:rPr>
        <w:t>CMCC Consent</w:t>
      </w:r>
      <w:r>
        <w:rPr>
          <w:rFonts w:ascii="Arial" w:cs="Arial" w:eastAsia="Arial" w:hAnsi="Arial"/>
          <w:sz w:val="22"/>
          <w:szCs w:val="22"/>
          <w:color w:val="auto"/>
        </w:rPr>
        <w:t>. CAMP4 confirms that it has obtained and provided to Fulcrum a written confirmation signed by CMCC and CAMP4 that [***].</w:t>
      </w:r>
    </w:p>
    <w:p>
      <w:pPr>
        <w:spacing w:after="0" w:line="203"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color w:val="auto"/>
        </w:rPr>
        <w:t>3.5</w:t>
      </w:r>
      <w:r>
        <w:rPr>
          <w:rFonts w:ascii="Arial" w:cs="Arial" w:eastAsia="Arial" w:hAnsi="Arial"/>
          <w:sz w:val="19"/>
          <w:szCs w:val="19"/>
          <w:b w:val="1"/>
          <w:bCs w:val="1"/>
          <w:color w:val="auto"/>
        </w:rPr>
        <w:t>Regulatory Responsibilities</w:t>
      </w:r>
      <w:r>
        <w:rPr>
          <w:rFonts w:ascii="Arial" w:cs="Arial" w:eastAsia="Arial" w:hAnsi="Arial"/>
          <w:sz w:val="19"/>
          <w:szCs w:val="19"/>
          <w:color w:val="auto"/>
        </w:rPr>
        <w:t>. Fulcrum shall be responsible for the preparation, submission, and maintenance of all Regulatory Filings and obtaining Regulatory Approvals (including the preparation and submission of the IND filing and for seeking IND approval) with respect to any Licensed Product and shall have sole control over all interactions with the applicable Regulatory Authority. CAMP4 shall reasonably cooperate with Fulcrum, at Fulcrum’s reasonable request and expense, with respect to any regulatory matters related to any Licensed Product.</w:t>
      </w:r>
    </w:p>
    <w:p>
      <w:pPr>
        <w:spacing w:after="0" w:line="200" w:lineRule="exact"/>
        <w:rPr>
          <w:sz w:val="20"/>
          <w:szCs w:val="20"/>
          <w:color w:val="auto"/>
        </w:rPr>
      </w:pPr>
    </w:p>
    <w:p>
      <w:pPr>
        <w:spacing w:after="0" w:line="21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55" w:right="1039" w:bottom="1440" w:gutter="0" w:footer="0" w:header="0"/>
        </w:sectPr>
      </w:pPr>
    </w:p>
    <w:bookmarkStart w:id="94" w:name="page95"/>
    <w:bookmarkEnd w:id="94"/>
    <w:p>
      <w:pPr>
        <w:jc w:val="both"/>
        <w:spacing w:after="0" w:line="238" w:lineRule="auto"/>
        <w:rPr>
          <w:sz w:val="20"/>
          <w:szCs w:val="20"/>
          <w:color w:val="auto"/>
        </w:rPr>
      </w:pPr>
      <w:r>
        <w:rPr>
          <w:rFonts w:ascii="Arial" w:cs="Arial" w:eastAsia="Arial" w:hAnsi="Arial"/>
          <w:sz w:val="22"/>
          <w:szCs w:val="22"/>
          <w:color w:val="auto"/>
        </w:rPr>
        <w:t>Fulcrum will own all right, title and interest in and to any and all Regulatory Filings and Regulatory Approvals for any Licensed Product and, as between the Parties, all such Regulatory Filings and Regulatory Approvals will be held in the name of Fulcrum, and CAMP4 shall execute all documents and take all actions as are necessary or reasonably requested by Fulcrum to vest such title in Fulcrum.</w:t>
      </w:r>
    </w:p>
    <w:p>
      <w:pPr>
        <w:spacing w:after="0" w:line="219"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3.6</w:t>
      </w:r>
      <w:r>
        <w:rPr>
          <w:rFonts w:ascii="Arial" w:cs="Arial" w:eastAsia="Arial" w:hAnsi="Arial"/>
          <w:sz w:val="19"/>
          <w:szCs w:val="19"/>
          <w:b w:val="1"/>
          <w:bCs w:val="1"/>
          <w:color w:val="auto"/>
        </w:rPr>
        <w:t>Compliance with Law; Export Controls</w:t>
      </w:r>
      <w:r>
        <w:rPr>
          <w:rFonts w:ascii="Arial" w:cs="Arial" w:eastAsia="Arial" w:hAnsi="Arial"/>
          <w:sz w:val="19"/>
          <w:szCs w:val="19"/>
          <w:color w:val="auto"/>
        </w:rPr>
        <w:t>. Fulcrum shall comply with all applicable laws and regulations, including, without limitation, statutes and regulations affecting drug testing, development, marketing and distribution; laws and implementing regulations of the Department of Commerce governing intellectual property in federally-funded inventions; and Export Administration Regulations of the U.S. Department of Commerce issued pursuant to the Export Administration Act of 1979 (50 App. U.S.C. §2401 et. seq.). Fulcrum understands and acknowledges that transfer of certain technical data, computer software, laboratory prototypes and other commodities is subject to U.S. laws and regulations controlling their export, some of which prohibit or require a license for the export of certain types of technical data, to certain specified countries. CMCC has neither represented that a license shall not be required, nor that if required, it shall be issued. Fulcrum hereby represents and warrants that it will comply with all U.S. laws and regulations, and any applicable similar laws and regulations of any other country, controlling the export of commodities and technical data, that it will be responsible for any violation of such by Fulcrum or its Affiliates or Sublicensees, and that it will defend and hold CMCC, Harvard, DFCI, HHMI and their respective Affiliates and officers, directors, employees, agents, and medical staff harmless in the event of any Third Party legal action of any nature occasioned by such violation, and any action by any governmental agency or authority, relating to any asserted illegality or regulatory violation in the development, production, approval, marketing, sale, storage, manufacture, distribution, export or commercialization of Licensed Products by Fulcrum, its Affiliate or Sublicensee. It is the intention of the Parties hereto to comply with all applicable laws, rules, and regulations, including (i) the federal anti-kickback statute (42 U.S.C. §1320a-7b) and related safe harbor regulations, and (ii) the Limitation Certain Physician Referrals (42 U.S.C.</w:t>
      </w:r>
    </w:p>
    <w:p>
      <w:pPr>
        <w:spacing w:after="0" w:line="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§1395nn, the “Stark Law”). Accordingly, the Parties agree and acknowledge that no consideration received under this Agreement is, or is intended to be, a prohibited payment for the recommending or arranging for the referral of business or ordering of items or services, nor is any such consideration intended to induce illegal referrals of business.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FEES, ROYALTIES, &amp; PAYMENTS</w:t>
      </w:r>
    </w:p>
    <w:p>
      <w:pPr>
        <w:spacing w:after="0" w:line="247" w:lineRule="exact"/>
        <w:rPr>
          <w:sz w:val="20"/>
          <w:szCs w:val="20"/>
          <w:color w:val="auto"/>
        </w:rPr>
      </w:pPr>
    </w:p>
    <w:p>
      <w:pPr>
        <w:jc w:val="both"/>
        <w:ind w:firstLine="749"/>
        <w:spacing w:after="0" w:line="280" w:lineRule="auto"/>
        <w:rPr>
          <w:sz w:val="20"/>
          <w:szCs w:val="20"/>
          <w:color w:val="auto"/>
        </w:rPr>
      </w:pPr>
      <w:r>
        <w:rPr>
          <w:rFonts w:ascii="Arial" w:cs="Arial" w:eastAsia="Arial" w:hAnsi="Arial"/>
          <w:sz w:val="21"/>
          <w:szCs w:val="21"/>
          <w:color w:val="auto"/>
        </w:rPr>
        <w:t>4.1</w:t>
      </w:r>
      <w:r>
        <w:rPr>
          <w:rFonts w:ascii="Arial" w:cs="Arial" w:eastAsia="Arial" w:hAnsi="Arial"/>
          <w:sz w:val="21"/>
          <w:szCs w:val="21"/>
          <w:b w:val="1"/>
          <w:bCs w:val="1"/>
          <w:color w:val="auto"/>
        </w:rPr>
        <w:t>Upfront Payment</w:t>
      </w:r>
      <w:r>
        <w:rPr>
          <w:rFonts w:ascii="Arial" w:cs="Arial" w:eastAsia="Arial" w:hAnsi="Arial"/>
          <w:sz w:val="21"/>
          <w:szCs w:val="21"/>
          <w:color w:val="auto"/>
        </w:rPr>
        <w:t>. In consideration of the grant of rights by CAMP4 to Fulcrum on the Effective Date, Fulcrum shall pay to CAMP4 a non-refundable, non-creditable [***] within [***] after the Effective Date.</w:t>
      </w:r>
    </w:p>
    <w:p>
      <w:pPr>
        <w:spacing w:after="0" w:line="166"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8"/>
          <w:szCs w:val="18"/>
          <w:b w:val="1"/>
          <w:bCs w:val="1"/>
          <w:color w:val="auto"/>
        </w:rPr>
        <w:t>Milestones</w:t>
      </w:r>
      <w:r>
        <w:rPr>
          <w:rFonts w:ascii="Arial" w:cs="Arial" w:eastAsia="Arial" w:hAnsi="Arial"/>
          <w:sz w:val="18"/>
          <w:szCs w:val="18"/>
          <w:color w:val="auto"/>
        </w:rPr>
        <w:t>.</w:t>
      </w:r>
    </w:p>
    <w:p>
      <w:pPr>
        <w:spacing w:after="0" w:line="247"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4.2.1</w:t>
      </w:r>
      <w:r>
        <w:rPr>
          <w:rFonts w:ascii="Arial" w:cs="Arial" w:eastAsia="Arial" w:hAnsi="Arial"/>
          <w:sz w:val="22"/>
          <w:szCs w:val="22"/>
          <w:b w:val="1"/>
          <w:bCs w:val="1"/>
          <w:color w:val="auto"/>
        </w:rPr>
        <w:t>Milestone Payments</w:t>
      </w:r>
      <w:r>
        <w:rPr>
          <w:rFonts w:ascii="Arial" w:cs="Arial" w:eastAsia="Arial" w:hAnsi="Arial"/>
          <w:sz w:val="22"/>
          <w:szCs w:val="22"/>
          <w:color w:val="auto"/>
        </w:rPr>
        <w:t>. Fulcrum shall pay to CAMP4 certain non-refundable and non-creditable milestone payments as follows. Where the Licensed Product is a Tier 1 Product, payments shall be made in the amounts indicated in the central column; where the Licensed Product is a Tier 2 Product, payments shall be made in the amounts indicated in the right</w:t>
      </w:r>
    </w:p>
    <w:p>
      <w:pPr>
        <w:spacing w:after="0" w:line="200" w:lineRule="exact"/>
        <w:rPr>
          <w:sz w:val="20"/>
          <w:szCs w:val="20"/>
          <w:color w:val="auto"/>
        </w:rPr>
      </w:pPr>
    </w:p>
    <w:p>
      <w:pPr>
        <w:spacing w:after="0" w:line="27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hand column:</w:t>
      </w:r>
    </w:p>
    <w:p>
      <w:pPr>
        <w:spacing w:after="0" w:line="314" w:lineRule="exact"/>
        <w:rPr>
          <w:sz w:val="20"/>
          <w:szCs w:val="20"/>
          <w:color w:val="auto"/>
        </w:rPr>
      </w:pPr>
    </w:p>
    <w:p>
      <w:pPr>
        <w:jc w:val="both"/>
        <w:ind w:firstLine="2246"/>
        <w:spacing w:after="0" w:line="297" w:lineRule="auto"/>
        <w:rPr>
          <w:sz w:val="20"/>
          <w:szCs w:val="20"/>
          <w:color w:val="auto"/>
        </w:rPr>
      </w:pPr>
      <w:r>
        <w:rPr>
          <w:rFonts w:ascii="Arial" w:cs="Arial" w:eastAsia="Arial" w:hAnsi="Arial"/>
          <w:sz w:val="19"/>
          <w:szCs w:val="19"/>
          <w:color w:val="auto"/>
        </w:rPr>
        <w:t>(a)within [***] following such Licensed Product achieving a development milestone event set forth in Table 4.2.1 below (each, a “</w:t>
      </w:r>
      <w:r>
        <w:rPr>
          <w:rFonts w:ascii="Arial" w:cs="Arial" w:eastAsia="Arial" w:hAnsi="Arial"/>
          <w:sz w:val="19"/>
          <w:szCs w:val="19"/>
          <w:b w:val="1"/>
          <w:bCs w:val="1"/>
          <w:i w:val="1"/>
          <w:iCs w:val="1"/>
          <w:color w:val="auto"/>
        </w:rPr>
        <w:t>Development Milestone Event</w:t>
      </w:r>
      <w:r>
        <w:rPr>
          <w:rFonts w:ascii="Arial" w:cs="Arial" w:eastAsia="Arial" w:hAnsi="Arial"/>
          <w:sz w:val="19"/>
          <w:szCs w:val="19"/>
          <w:color w:val="auto"/>
        </w:rPr>
        <w:t>”), Fulcrum shall pay to CAMP4 the relevant Milestone Payment indicated in Table 4.2.1 (each such Milestone Payment, a “</w:t>
      </w:r>
      <w:r>
        <w:rPr>
          <w:rFonts w:ascii="Arial" w:cs="Arial" w:eastAsia="Arial" w:hAnsi="Arial"/>
          <w:sz w:val="19"/>
          <w:szCs w:val="19"/>
          <w:b w:val="1"/>
          <w:bCs w:val="1"/>
          <w:i w:val="1"/>
          <w:iCs w:val="1"/>
          <w:color w:val="auto"/>
        </w:rPr>
        <w:t>Development Milestone Payment</w:t>
      </w:r>
      <w:r>
        <w:rPr>
          <w:rFonts w:ascii="Arial" w:cs="Arial" w:eastAsia="Arial" w:hAnsi="Arial"/>
          <w:sz w:val="19"/>
          <w:szCs w:val="19"/>
          <w:color w:val="auto"/>
        </w:rPr>
        <w:t>”);</w:t>
      </w:r>
    </w:p>
    <w:p>
      <w:pPr>
        <w:spacing w:after="0" w:line="174" w:lineRule="exact"/>
        <w:rPr>
          <w:sz w:val="20"/>
          <w:szCs w:val="20"/>
          <w:color w:val="auto"/>
        </w:rPr>
      </w:pPr>
    </w:p>
    <w:p>
      <w:pPr>
        <w:jc w:val="both"/>
        <w:ind w:right="20" w:firstLine="2246"/>
        <w:spacing w:after="0" w:line="239" w:lineRule="auto"/>
        <w:rPr>
          <w:sz w:val="20"/>
          <w:szCs w:val="20"/>
          <w:color w:val="auto"/>
        </w:rPr>
      </w:pPr>
      <w:r>
        <w:rPr>
          <w:rFonts w:ascii="Arial" w:cs="Arial" w:eastAsia="Arial" w:hAnsi="Arial"/>
          <w:sz w:val="22"/>
          <w:szCs w:val="22"/>
          <w:color w:val="auto"/>
        </w:rPr>
        <w:t>(b)within [***] following the end of the Calendar Quarter in which such Licensed Product achieves a commercial milestone event set forth in Table</w:t>
      </w:r>
    </w:p>
    <w:p>
      <w:pPr>
        <w:jc w:val="both"/>
        <w:spacing w:after="0" w:line="256" w:lineRule="auto"/>
        <w:rPr>
          <w:sz w:val="20"/>
          <w:szCs w:val="20"/>
          <w:color w:val="auto"/>
        </w:rPr>
      </w:pPr>
      <w:r>
        <w:rPr>
          <w:rFonts w:ascii="Arial" w:cs="Arial" w:eastAsia="Arial" w:hAnsi="Arial"/>
          <w:sz w:val="21"/>
          <w:szCs w:val="21"/>
          <w:color w:val="auto"/>
        </w:rPr>
        <w:t>4.2.1 (each, a “</w:t>
      </w:r>
      <w:r>
        <w:rPr>
          <w:rFonts w:ascii="Arial" w:cs="Arial" w:eastAsia="Arial" w:hAnsi="Arial"/>
          <w:sz w:val="21"/>
          <w:szCs w:val="21"/>
          <w:b w:val="1"/>
          <w:bCs w:val="1"/>
          <w:i w:val="1"/>
          <w:iCs w:val="1"/>
          <w:color w:val="auto"/>
        </w:rPr>
        <w:t>Commercial Milestone Event</w:t>
      </w:r>
      <w:r>
        <w:rPr>
          <w:rFonts w:ascii="Arial" w:cs="Arial" w:eastAsia="Arial" w:hAnsi="Arial"/>
          <w:sz w:val="21"/>
          <w:szCs w:val="21"/>
          <w:color w:val="auto"/>
        </w:rPr>
        <w:t>”), Fulcrum shall pay to CAMP4 the relevant Milestone Payment indicated in Table 4.2.1 (each such Milestone Payment, a “</w:t>
      </w:r>
      <w:r>
        <w:rPr>
          <w:rFonts w:ascii="Arial" w:cs="Arial" w:eastAsia="Arial" w:hAnsi="Arial"/>
          <w:sz w:val="21"/>
          <w:szCs w:val="21"/>
          <w:b w:val="1"/>
          <w:bCs w:val="1"/>
          <w:i w:val="1"/>
          <w:iCs w:val="1"/>
          <w:color w:val="auto"/>
        </w:rPr>
        <w:t>Commercial Milestone Payment</w:t>
      </w:r>
      <w:r>
        <w:rPr>
          <w:rFonts w:ascii="Arial" w:cs="Arial" w:eastAsia="Arial" w:hAnsi="Arial"/>
          <w:sz w:val="21"/>
          <w:szCs w:val="21"/>
          <w:color w:val="auto"/>
        </w:rPr>
        <w:t>”); and</w:t>
      </w:r>
    </w:p>
    <w:p>
      <w:pPr>
        <w:spacing w:after="0" w:line="196" w:lineRule="exact"/>
        <w:rPr>
          <w:sz w:val="20"/>
          <w:szCs w:val="20"/>
          <w:color w:val="auto"/>
        </w:rPr>
      </w:pPr>
    </w:p>
    <w:p>
      <w:pPr>
        <w:jc w:val="both"/>
        <w:ind w:right="20" w:firstLine="2246"/>
        <w:spacing w:after="0" w:line="239" w:lineRule="auto"/>
        <w:rPr>
          <w:sz w:val="20"/>
          <w:szCs w:val="20"/>
          <w:color w:val="auto"/>
        </w:rPr>
      </w:pPr>
      <w:r>
        <w:rPr>
          <w:rFonts w:ascii="Arial" w:cs="Arial" w:eastAsia="Arial" w:hAnsi="Arial"/>
          <w:sz w:val="22"/>
          <w:szCs w:val="22"/>
          <w:color w:val="auto"/>
        </w:rPr>
        <w:t>(c)within [***] following the end of the Calendar Quarter in which any such Licensed Product achieves a sales milestone event set forth in Table</w:t>
      </w:r>
    </w:p>
    <w:p>
      <w:pPr>
        <w:jc w:val="both"/>
        <w:ind w:right="20"/>
        <w:spacing w:after="0" w:line="236" w:lineRule="auto"/>
        <w:rPr>
          <w:sz w:val="20"/>
          <w:szCs w:val="20"/>
          <w:color w:val="auto"/>
        </w:rPr>
      </w:pPr>
      <w:r>
        <w:rPr>
          <w:rFonts w:ascii="Arial" w:cs="Arial" w:eastAsia="Arial" w:hAnsi="Arial"/>
          <w:sz w:val="22"/>
          <w:szCs w:val="22"/>
          <w:color w:val="auto"/>
        </w:rPr>
        <w:t>4.2.1 (each, a “</w:t>
      </w:r>
      <w:r>
        <w:rPr>
          <w:rFonts w:ascii="Arial" w:cs="Arial" w:eastAsia="Arial" w:hAnsi="Arial"/>
          <w:sz w:val="22"/>
          <w:szCs w:val="22"/>
          <w:b w:val="1"/>
          <w:bCs w:val="1"/>
          <w:i w:val="1"/>
          <w:iCs w:val="1"/>
          <w:color w:val="auto"/>
        </w:rPr>
        <w:t>Sales Milestone Event</w:t>
      </w:r>
      <w:r>
        <w:rPr>
          <w:rFonts w:ascii="Arial" w:cs="Arial" w:eastAsia="Arial" w:hAnsi="Arial"/>
          <w:sz w:val="22"/>
          <w:szCs w:val="22"/>
          <w:color w:val="auto"/>
        </w:rPr>
        <w:t>”), Fulcrum shall pay to CAMP4 the relevant Milestone Payment indicated in Table 4.2.1 (each such Milestone Payment, a “</w:t>
      </w:r>
      <w:r>
        <w:rPr>
          <w:rFonts w:ascii="Arial" w:cs="Arial" w:eastAsia="Arial" w:hAnsi="Arial"/>
          <w:sz w:val="22"/>
          <w:szCs w:val="22"/>
          <w:b w:val="1"/>
          <w:bCs w:val="1"/>
          <w:i w:val="1"/>
          <w:iCs w:val="1"/>
          <w:color w:val="auto"/>
        </w:rPr>
        <w:t>Sales Milestone Payment</w:t>
      </w:r>
      <w:r>
        <w:rPr>
          <w:rFonts w:ascii="Arial" w:cs="Arial" w:eastAsia="Arial" w:hAnsi="Arial"/>
          <w:sz w:val="22"/>
          <w:szCs w:val="22"/>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Table 4.2.1 – Development, Commercial and Sales Milestone Payments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4080" w:type="dxa"/>
            <w:vAlign w:val="bottom"/>
            <w:tcBorders>
              <w:top w:val="single" w:sz="8" w:color="auto"/>
              <w:left w:val="single" w:sz="8" w:color="auto"/>
              <w:right w:val="single" w:sz="8" w:color="auto"/>
            </w:tcBorders>
            <w:shd w:val="clear" w:color="auto" w:fill="BEBEBE"/>
          </w:tcPr>
          <w:p>
            <w:pPr>
              <w:jc w:val="right"/>
              <w:ind w:right="872"/>
              <w:spacing w:after="0" w:line="246" w:lineRule="exact"/>
              <w:rPr>
                <w:sz w:val="20"/>
                <w:szCs w:val="20"/>
                <w:color w:val="auto"/>
              </w:rPr>
            </w:pPr>
            <w:r>
              <w:rPr>
                <w:rFonts w:ascii="Arial" w:cs="Arial" w:eastAsia="Arial" w:hAnsi="Arial"/>
                <w:sz w:val="22"/>
                <w:szCs w:val="22"/>
                <w:b w:val="1"/>
                <w:bCs w:val="1"/>
                <w:color w:val="auto"/>
                <w:w w:val="95"/>
              </w:rPr>
              <w:t>Development Milestone Events</w:t>
            </w:r>
          </w:p>
        </w:tc>
        <w:tc>
          <w:tcPr>
            <w:tcW w:w="3140" w:type="dxa"/>
            <w:vAlign w:val="bottom"/>
            <w:tcBorders>
              <w:top w:val="single" w:sz="8" w:color="auto"/>
              <w:right w:val="single" w:sz="8" w:color="auto"/>
            </w:tcBorders>
            <w:shd w:val="clear" w:color="auto" w:fill="BEBEBE"/>
          </w:tcPr>
          <w:p>
            <w:pPr>
              <w:jc w:val="right"/>
              <w:ind w:right="92"/>
              <w:spacing w:after="0" w:line="246" w:lineRule="exact"/>
              <w:rPr>
                <w:sz w:val="20"/>
                <w:szCs w:val="20"/>
                <w:color w:val="auto"/>
              </w:rPr>
            </w:pPr>
            <w:r>
              <w:rPr>
                <w:rFonts w:ascii="Arial" w:cs="Arial" w:eastAsia="Arial" w:hAnsi="Arial"/>
                <w:sz w:val="22"/>
                <w:szCs w:val="22"/>
                <w:b w:val="1"/>
                <w:bCs w:val="1"/>
                <w:color w:val="auto"/>
                <w:w w:val="97"/>
              </w:rPr>
              <w:t>Milestone Payment for Tier 1</w:t>
            </w:r>
          </w:p>
        </w:tc>
        <w:tc>
          <w:tcPr>
            <w:tcW w:w="3100" w:type="dxa"/>
            <w:vAlign w:val="bottom"/>
            <w:tcBorders>
              <w:top w:val="single" w:sz="8" w:color="auto"/>
              <w:right w:val="single" w:sz="8" w:color="auto"/>
            </w:tcBorders>
            <w:shd w:val="clear" w:color="auto" w:fill="BEBEBE"/>
          </w:tcPr>
          <w:p>
            <w:pPr>
              <w:jc w:val="right"/>
              <w:ind w:right="52"/>
              <w:spacing w:after="0" w:line="246" w:lineRule="exact"/>
              <w:rPr>
                <w:sz w:val="20"/>
                <w:szCs w:val="20"/>
                <w:color w:val="auto"/>
              </w:rPr>
            </w:pPr>
            <w:r>
              <w:rPr>
                <w:rFonts w:ascii="Arial" w:cs="Arial" w:eastAsia="Arial" w:hAnsi="Arial"/>
                <w:sz w:val="22"/>
                <w:szCs w:val="22"/>
                <w:b w:val="1"/>
                <w:bCs w:val="1"/>
                <w:color w:val="auto"/>
                <w:w w:val="97"/>
              </w:rPr>
              <w:t>Milestone Payment for Tier 2</w:t>
            </w:r>
          </w:p>
        </w:tc>
      </w:tr>
      <w:tr>
        <w:trPr>
          <w:trHeight w:val="280"/>
        </w:trPr>
        <w:tc>
          <w:tcPr>
            <w:tcW w:w="4080" w:type="dxa"/>
            <w:vAlign w:val="bottom"/>
            <w:tcBorders>
              <w:left w:val="single" w:sz="8" w:color="auto"/>
              <w:right w:val="single" w:sz="8" w:color="auto"/>
            </w:tcBorders>
            <w:shd w:val="clear" w:color="auto" w:fill="BEBEBE"/>
          </w:tcPr>
          <w:p>
            <w:pPr>
              <w:spacing w:after="0"/>
              <w:rPr>
                <w:sz w:val="24"/>
                <w:szCs w:val="24"/>
                <w:color w:val="auto"/>
              </w:rPr>
            </w:pPr>
          </w:p>
        </w:tc>
        <w:tc>
          <w:tcPr>
            <w:tcW w:w="3140" w:type="dxa"/>
            <w:vAlign w:val="bottom"/>
            <w:tcBorders>
              <w:right w:val="single" w:sz="8" w:color="auto"/>
            </w:tcBorders>
            <w:shd w:val="clear" w:color="auto" w:fill="BEBEBE"/>
          </w:tcPr>
          <w:p>
            <w:pPr>
              <w:jc w:val="right"/>
              <w:ind w:right="1692"/>
              <w:spacing w:after="0"/>
              <w:rPr>
                <w:sz w:val="20"/>
                <w:szCs w:val="20"/>
                <w:color w:val="auto"/>
              </w:rPr>
            </w:pPr>
            <w:r>
              <w:rPr>
                <w:rFonts w:ascii="Arial" w:cs="Arial" w:eastAsia="Arial" w:hAnsi="Arial"/>
                <w:sz w:val="22"/>
                <w:szCs w:val="22"/>
                <w:b w:val="1"/>
                <w:bCs w:val="1"/>
                <w:color w:val="auto"/>
              </w:rPr>
              <w:t>Product</w:t>
            </w:r>
          </w:p>
        </w:tc>
        <w:tc>
          <w:tcPr>
            <w:tcW w:w="3100" w:type="dxa"/>
            <w:vAlign w:val="bottom"/>
            <w:tcBorders>
              <w:right w:val="single" w:sz="8" w:color="auto"/>
            </w:tcBorders>
            <w:shd w:val="clear" w:color="auto" w:fill="BEBEBE"/>
          </w:tcPr>
          <w:p>
            <w:pPr>
              <w:jc w:val="right"/>
              <w:ind w:right="1652"/>
              <w:spacing w:after="0"/>
              <w:rPr>
                <w:sz w:val="20"/>
                <w:szCs w:val="20"/>
                <w:color w:val="auto"/>
              </w:rPr>
            </w:pPr>
            <w:r>
              <w:rPr>
                <w:rFonts w:ascii="Arial" w:cs="Arial" w:eastAsia="Arial" w:hAnsi="Arial"/>
                <w:sz w:val="22"/>
                <w:szCs w:val="22"/>
                <w:b w:val="1"/>
                <w:bCs w:val="1"/>
                <w:color w:val="auto"/>
              </w:rPr>
              <w:t>Product</w:t>
            </w:r>
          </w:p>
        </w:tc>
      </w:tr>
      <w:tr>
        <w:trPr>
          <w:trHeight w:val="176"/>
        </w:trPr>
        <w:tc>
          <w:tcPr>
            <w:tcW w:w="4080" w:type="dxa"/>
            <w:vAlign w:val="bottom"/>
            <w:tcBorders>
              <w:left w:val="single" w:sz="8" w:color="auto"/>
              <w:bottom w:val="single" w:sz="8" w:color="auto"/>
              <w:right w:val="single" w:sz="8" w:color="auto"/>
            </w:tcBorders>
            <w:shd w:val="clear" w:color="auto" w:fill="BEBEBE"/>
          </w:tcPr>
          <w:p>
            <w:pPr>
              <w:spacing w:after="0"/>
              <w:rPr>
                <w:sz w:val="15"/>
                <w:szCs w:val="15"/>
                <w:color w:val="auto"/>
              </w:rPr>
            </w:pPr>
          </w:p>
        </w:tc>
        <w:tc>
          <w:tcPr>
            <w:tcW w:w="3140" w:type="dxa"/>
            <w:vAlign w:val="bottom"/>
            <w:tcBorders>
              <w:bottom w:val="single" w:sz="8" w:color="auto"/>
              <w:right w:val="single" w:sz="8" w:color="auto"/>
            </w:tcBorders>
            <w:shd w:val="clear" w:color="auto" w:fill="BEBEBE"/>
          </w:tcPr>
          <w:p>
            <w:pPr>
              <w:spacing w:after="0"/>
              <w:rPr>
                <w:sz w:val="15"/>
                <w:szCs w:val="15"/>
                <w:color w:val="auto"/>
              </w:rPr>
            </w:pPr>
          </w:p>
        </w:tc>
        <w:tc>
          <w:tcPr>
            <w:tcW w:w="3100" w:type="dxa"/>
            <w:vAlign w:val="bottom"/>
            <w:tcBorders>
              <w:bottom w:val="single" w:sz="8" w:color="auto"/>
              <w:right w:val="single" w:sz="8" w:color="auto"/>
            </w:tcBorders>
            <w:shd w:val="clear" w:color="auto" w:fill="BEBEBE"/>
          </w:tcPr>
          <w:p>
            <w:pPr>
              <w:spacing w:after="0"/>
              <w:rPr>
                <w:sz w:val="15"/>
                <w:szCs w:val="15"/>
                <w:color w:val="auto"/>
              </w:rPr>
            </w:pPr>
          </w:p>
        </w:tc>
      </w:tr>
      <w:tr>
        <w:trPr>
          <w:trHeight w:val="317"/>
        </w:trPr>
        <w:tc>
          <w:tcPr>
            <w:tcW w:w="4080" w:type="dxa"/>
            <w:vAlign w:val="bottom"/>
            <w:tcBorders>
              <w:right w:val="single" w:sz="8" w:color="auto"/>
            </w:tcBorders>
          </w:tcPr>
          <w:p>
            <w:pPr>
              <w:jc w:val="right"/>
              <w:ind w:right="1612"/>
              <w:spacing w:after="0"/>
              <w:rPr>
                <w:sz w:val="20"/>
                <w:szCs w:val="20"/>
                <w:color w:val="auto"/>
              </w:rPr>
            </w:pPr>
            <w:r>
              <w:rPr>
                <w:rFonts w:ascii="Arial" w:cs="Arial" w:eastAsia="Arial" w:hAnsi="Arial"/>
                <w:sz w:val="22"/>
                <w:szCs w:val="22"/>
                <w:color w:val="auto"/>
              </w:rPr>
              <w:t>[***]</w:t>
            </w:r>
          </w:p>
        </w:tc>
        <w:tc>
          <w:tcPr>
            <w:tcW w:w="3140" w:type="dxa"/>
            <w:vAlign w:val="bottom"/>
            <w:tcBorders>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516"/>
        </w:trPr>
        <w:tc>
          <w:tcPr>
            <w:tcW w:w="408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314"/>
        </w:trPr>
        <w:tc>
          <w:tcPr>
            <w:tcW w:w="4080" w:type="dxa"/>
            <w:vAlign w:val="bottom"/>
            <w:tcBorders>
              <w:right w:val="single" w:sz="8" w:color="auto"/>
            </w:tcBorders>
          </w:tcPr>
          <w:p>
            <w:pPr>
              <w:jc w:val="right"/>
              <w:ind w:right="1692"/>
              <w:spacing w:after="0"/>
              <w:rPr>
                <w:sz w:val="20"/>
                <w:szCs w:val="20"/>
                <w:color w:val="auto"/>
              </w:rPr>
            </w:pPr>
            <w:r>
              <w:rPr>
                <w:rFonts w:ascii="Arial" w:cs="Arial" w:eastAsia="Arial" w:hAnsi="Arial"/>
                <w:sz w:val="22"/>
                <w:szCs w:val="22"/>
                <w:color w:val="auto"/>
              </w:rPr>
              <w:t>[***]</w:t>
            </w:r>
          </w:p>
        </w:tc>
        <w:tc>
          <w:tcPr>
            <w:tcW w:w="3140" w:type="dxa"/>
            <w:vAlign w:val="bottom"/>
            <w:tcBorders>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638"/>
        </w:trPr>
        <w:tc>
          <w:tcPr>
            <w:tcW w:w="408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sectPr>
      </w:pPr>
    </w:p>
    <w:bookmarkStart w:id="96" w:name="page97"/>
    <w:bookmarkEnd w:id="96"/>
    <w:tbl>
      <w:tblPr>
        <w:tblLayout w:type="fixed"/>
        <w:tblInd w:w="10" w:type="dxa"/>
        <w:tblCellMar>
          <w:top w:w="0" w:type="dxa"/>
          <w:left w:w="0" w:type="dxa"/>
          <w:bottom w:w="0" w:type="dxa"/>
          <w:right w:w="0" w:type="dxa"/>
        </w:tblCellMar>
      </w:tblPr>
      <w:tr>
        <w:trPr>
          <w:trHeight w:val="337"/>
        </w:trPr>
        <w:tc>
          <w:tcPr>
            <w:tcW w:w="41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20" w:type="dxa"/>
            <w:vAlign w:val="bottom"/>
            <w:tcBorders>
              <w:top w:val="single" w:sz="8" w:color="auto"/>
              <w:right w:val="single" w:sz="8" w:color="auto"/>
            </w:tcBorders>
          </w:tcPr>
          <w:p>
            <w:pPr>
              <w:jc w:val="right"/>
              <w:ind w:right="1052"/>
              <w:spacing w:after="0"/>
              <w:rPr>
                <w:sz w:val="20"/>
                <w:szCs w:val="20"/>
                <w:color w:val="auto"/>
              </w:rPr>
            </w:pPr>
            <w:r>
              <w:rPr>
                <w:rFonts w:ascii="Arial" w:cs="Arial" w:eastAsia="Arial" w:hAnsi="Arial"/>
                <w:sz w:val="22"/>
                <w:szCs w:val="22"/>
                <w:color w:val="auto"/>
              </w:rPr>
              <w:t>[***]</w:t>
            </w:r>
          </w:p>
        </w:tc>
        <w:tc>
          <w:tcPr>
            <w:tcW w:w="3100" w:type="dxa"/>
            <w:vAlign w:val="bottom"/>
            <w:tcBorders>
              <w:top w:val="single" w:sz="8" w:color="auto"/>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621"/>
        </w:trPr>
        <w:tc>
          <w:tcPr>
            <w:tcW w:w="4100" w:type="dxa"/>
            <w:vAlign w:val="bottom"/>
            <w:tcBorders>
              <w:left w:val="single" w:sz="8" w:color="auto"/>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317"/>
        </w:trPr>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20" w:type="dxa"/>
            <w:vAlign w:val="bottom"/>
            <w:tcBorders>
              <w:right w:val="single" w:sz="8" w:color="auto"/>
            </w:tcBorders>
          </w:tcPr>
          <w:p>
            <w:pPr>
              <w:jc w:val="right"/>
              <w:ind w:right="12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692"/>
        </w:trPr>
        <w:tc>
          <w:tcPr>
            <w:tcW w:w="410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274"/>
        </w:trPr>
        <w:tc>
          <w:tcPr>
            <w:tcW w:w="4100" w:type="dxa"/>
            <w:vAlign w:val="bottom"/>
            <w:tcBorders>
              <w:left w:val="single" w:sz="8" w:color="BEBEBE"/>
              <w:right w:val="single" w:sz="8" w:color="auto"/>
            </w:tcBorders>
            <w:shd w:val="clear" w:color="auto" w:fill="BEBEBE"/>
          </w:tcPr>
          <w:p>
            <w:pPr>
              <w:jc w:val="center"/>
              <w:spacing w:after="0"/>
              <w:rPr>
                <w:sz w:val="20"/>
                <w:szCs w:val="20"/>
                <w:color w:val="auto"/>
              </w:rPr>
            </w:pPr>
            <w:r>
              <w:rPr>
                <w:rFonts w:ascii="Arial" w:cs="Arial" w:eastAsia="Arial" w:hAnsi="Arial"/>
                <w:sz w:val="22"/>
                <w:szCs w:val="22"/>
                <w:b w:val="1"/>
                <w:bCs w:val="1"/>
                <w:color w:val="auto"/>
                <w:w w:val="88"/>
              </w:rPr>
              <w:t>Commercial Milestone Events</w:t>
            </w:r>
          </w:p>
        </w:tc>
        <w:tc>
          <w:tcPr>
            <w:tcW w:w="3120" w:type="dxa"/>
            <w:vAlign w:val="bottom"/>
            <w:tcBorders>
              <w:right w:val="single" w:sz="8" w:color="auto"/>
            </w:tcBorders>
            <w:shd w:val="clear" w:color="auto" w:fill="BEBEBE"/>
          </w:tcPr>
          <w:p>
            <w:pPr>
              <w:spacing w:after="0"/>
              <w:rPr>
                <w:sz w:val="23"/>
                <w:szCs w:val="23"/>
                <w:color w:val="auto"/>
              </w:rPr>
            </w:pPr>
          </w:p>
        </w:tc>
        <w:tc>
          <w:tcPr>
            <w:tcW w:w="3100" w:type="dxa"/>
            <w:vAlign w:val="bottom"/>
            <w:tcBorders>
              <w:right w:val="single" w:sz="8" w:color="auto"/>
            </w:tcBorders>
            <w:shd w:val="clear" w:color="auto" w:fill="BEBEBE"/>
          </w:tcPr>
          <w:p>
            <w:pPr>
              <w:spacing w:after="0"/>
              <w:rPr>
                <w:sz w:val="23"/>
                <w:szCs w:val="23"/>
                <w:color w:val="auto"/>
              </w:rPr>
            </w:pPr>
          </w:p>
        </w:tc>
      </w:tr>
      <w:tr>
        <w:trPr>
          <w:trHeight w:val="179"/>
        </w:trPr>
        <w:tc>
          <w:tcPr>
            <w:tcW w:w="4100" w:type="dxa"/>
            <w:vAlign w:val="bottom"/>
            <w:tcBorders>
              <w:left w:val="single" w:sz="8" w:color="BEBEBE"/>
              <w:bottom w:val="single" w:sz="8" w:color="auto"/>
              <w:right w:val="single" w:sz="8" w:color="auto"/>
            </w:tcBorders>
            <w:shd w:val="clear" w:color="auto" w:fill="BEBEBE"/>
          </w:tcPr>
          <w:p>
            <w:pPr>
              <w:spacing w:after="0"/>
              <w:rPr>
                <w:sz w:val="15"/>
                <w:szCs w:val="15"/>
                <w:color w:val="auto"/>
              </w:rPr>
            </w:pPr>
          </w:p>
        </w:tc>
        <w:tc>
          <w:tcPr>
            <w:tcW w:w="3120" w:type="dxa"/>
            <w:vAlign w:val="bottom"/>
            <w:tcBorders>
              <w:bottom w:val="single" w:sz="8" w:color="auto"/>
              <w:right w:val="single" w:sz="8" w:color="auto"/>
            </w:tcBorders>
            <w:shd w:val="clear" w:color="auto" w:fill="BEBEBE"/>
          </w:tcPr>
          <w:p>
            <w:pPr>
              <w:spacing w:after="0"/>
              <w:rPr>
                <w:sz w:val="15"/>
                <w:szCs w:val="15"/>
                <w:color w:val="auto"/>
              </w:rPr>
            </w:pPr>
          </w:p>
        </w:tc>
        <w:tc>
          <w:tcPr>
            <w:tcW w:w="3100" w:type="dxa"/>
            <w:vAlign w:val="bottom"/>
            <w:tcBorders>
              <w:bottom w:val="single" w:sz="8" w:color="auto"/>
              <w:right w:val="single" w:sz="8" w:color="auto"/>
            </w:tcBorders>
            <w:shd w:val="clear" w:color="auto" w:fill="BEBEBE"/>
          </w:tcPr>
          <w:p>
            <w:pPr>
              <w:spacing w:after="0"/>
              <w:rPr>
                <w:sz w:val="15"/>
                <w:szCs w:val="15"/>
                <w:color w:val="auto"/>
              </w:rPr>
            </w:pPr>
          </w:p>
        </w:tc>
      </w:tr>
      <w:tr>
        <w:trPr>
          <w:trHeight w:val="314"/>
        </w:trPr>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20" w:type="dxa"/>
            <w:vAlign w:val="bottom"/>
            <w:tcBorders>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012"/>
              <w:spacing w:after="0"/>
              <w:rPr>
                <w:sz w:val="20"/>
                <w:szCs w:val="20"/>
                <w:color w:val="auto"/>
              </w:rPr>
            </w:pPr>
            <w:r>
              <w:rPr>
                <w:rFonts w:ascii="Arial" w:cs="Arial" w:eastAsia="Arial" w:hAnsi="Arial"/>
                <w:sz w:val="22"/>
                <w:szCs w:val="22"/>
                <w:color w:val="auto"/>
              </w:rPr>
              <w:t>[***]</w:t>
            </w:r>
          </w:p>
        </w:tc>
      </w:tr>
      <w:tr>
        <w:trPr>
          <w:trHeight w:val="449"/>
        </w:trPr>
        <w:tc>
          <w:tcPr>
            <w:tcW w:w="410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314"/>
        </w:trPr>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20" w:type="dxa"/>
            <w:vAlign w:val="bottom"/>
            <w:tcBorders>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972"/>
              <w:spacing w:after="0"/>
              <w:rPr>
                <w:sz w:val="20"/>
                <w:szCs w:val="20"/>
                <w:color w:val="auto"/>
              </w:rPr>
            </w:pPr>
            <w:r>
              <w:rPr>
                <w:rFonts w:ascii="Arial" w:cs="Arial" w:eastAsia="Arial" w:hAnsi="Arial"/>
                <w:sz w:val="22"/>
                <w:szCs w:val="22"/>
                <w:color w:val="auto"/>
              </w:rPr>
              <w:t>[***]</w:t>
            </w:r>
          </w:p>
        </w:tc>
      </w:tr>
      <w:tr>
        <w:trPr>
          <w:trHeight w:val="516"/>
        </w:trPr>
        <w:tc>
          <w:tcPr>
            <w:tcW w:w="410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314"/>
        </w:trPr>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20" w:type="dxa"/>
            <w:vAlign w:val="bottom"/>
            <w:tcBorders>
              <w:right w:val="single" w:sz="8" w:color="auto"/>
            </w:tcBorders>
          </w:tcPr>
          <w:p>
            <w:pPr>
              <w:jc w:val="right"/>
              <w:ind w:right="12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212"/>
              <w:spacing w:after="0"/>
              <w:rPr>
                <w:sz w:val="20"/>
                <w:szCs w:val="20"/>
                <w:color w:val="auto"/>
              </w:rPr>
            </w:pPr>
            <w:r>
              <w:rPr>
                <w:rFonts w:ascii="Arial" w:cs="Arial" w:eastAsia="Arial" w:hAnsi="Arial"/>
                <w:sz w:val="22"/>
                <w:szCs w:val="22"/>
                <w:color w:val="auto"/>
              </w:rPr>
              <w:t>[***]</w:t>
            </w:r>
          </w:p>
        </w:tc>
      </w:tr>
      <w:tr>
        <w:trPr>
          <w:trHeight w:val="692"/>
        </w:trPr>
        <w:tc>
          <w:tcPr>
            <w:tcW w:w="410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274"/>
        </w:trPr>
        <w:tc>
          <w:tcPr>
            <w:tcW w:w="4100" w:type="dxa"/>
            <w:vAlign w:val="bottom"/>
            <w:tcBorders>
              <w:left w:val="single" w:sz="8" w:color="BEBEBE"/>
              <w:right w:val="single" w:sz="8" w:color="auto"/>
            </w:tcBorders>
            <w:shd w:val="clear" w:color="auto" w:fill="BEBEBE"/>
          </w:tcPr>
          <w:p>
            <w:pPr>
              <w:jc w:val="center"/>
              <w:spacing w:after="0"/>
              <w:rPr>
                <w:sz w:val="20"/>
                <w:szCs w:val="20"/>
                <w:color w:val="auto"/>
              </w:rPr>
            </w:pPr>
            <w:r>
              <w:rPr>
                <w:rFonts w:ascii="Arial" w:cs="Arial" w:eastAsia="Arial" w:hAnsi="Arial"/>
                <w:sz w:val="22"/>
                <w:szCs w:val="22"/>
                <w:b w:val="1"/>
                <w:bCs w:val="1"/>
                <w:color w:val="auto"/>
                <w:w w:val="87"/>
              </w:rPr>
              <w:t>Sales Milestone Event</w:t>
            </w:r>
          </w:p>
        </w:tc>
        <w:tc>
          <w:tcPr>
            <w:tcW w:w="3120" w:type="dxa"/>
            <w:vAlign w:val="bottom"/>
            <w:tcBorders>
              <w:right w:val="single" w:sz="8" w:color="auto"/>
            </w:tcBorders>
            <w:shd w:val="clear" w:color="auto" w:fill="BEBEBE"/>
          </w:tcPr>
          <w:p>
            <w:pPr>
              <w:spacing w:after="0"/>
              <w:rPr>
                <w:sz w:val="23"/>
                <w:szCs w:val="23"/>
                <w:color w:val="auto"/>
              </w:rPr>
            </w:pPr>
          </w:p>
        </w:tc>
        <w:tc>
          <w:tcPr>
            <w:tcW w:w="3100" w:type="dxa"/>
            <w:vAlign w:val="bottom"/>
            <w:tcBorders>
              <w:right w:val="single" w:sz="8" w:color="auto"/>
            </w:tcBorders>
            <w:shd w:val="clear" w:color="auto" w:fill="BEBEBE"/>
          </w:tcPr>
          <w:p>
            <w:pPr>
              <w:spacing w:after="0"/>
              <w:rPr>
                <w:sz w:val="23"/>
                <w:szCs w:val="23"/>
                <w:color w:val="auto"/>
              </w:rPr>
            </w:pPr>
          </w:p>
        </w:tc>
      </w:tr>
      <w:tr>
        <w:trPr>
          <w:trHeight w:val="179"/>
        </w:trPr>
        <w:tc>
          <w:tcPr>
            <w:tcW w:w="4100" w:type="dxa"/>
            <w:vAlign w:val="bottom"/>
            <w:tcBorders>
              <w:left w:val="single" w:sz="8" w:color="BEBEBE"/>
              <w:bottom w:val="single" w:sz="8" w:color="auto"/>
              <w:right w:val="single" w:sz="8" w:color="auto"/>
            </w:tcBorders>
            <w:shd w:val="clear" w:color="auto" w:fill="BEBEBE"/>
          </w:tcPr>
          <w:p>
            <w:pPr>
              <w:spacing w:after="0"/>
              <w:rPr>
                <w:sz w:val="15"/>
                <w:szCs w:val="15"/>
                <w:color w:val="auto"/>
              </w:rPr>
            </w:pPr>
          </w:p>
        </w:tc>
        <w:tc>
          <w:tcPr>
            <w:tcW w:w="3120" w:type="dxa"/>
            <w:vAlign w:val="bottom"/>
            <w:tcBorders>
              <w:bottom w:val="single" w:sz="8" w:color="auto"/>
              <w:right w:val="single" w:sz="8" w:color="auto"/>
            </w:tcBorders>
            <w:shd w:val="clear" w:color="auto" w:fill="BEBEBE"/>
          </w:tcPr>
          <w:p>
            <w:pPr>
              <w:spacing w:after="0"/>
              <w:rPr>
                <w:sz w:val="15"/>
                <w:szCs w:val="15"/>
                <w:color w:val="auto"/>
              </w:rPr>
            </w:pPr>
          </w:p>
        </w:tc>
        <w:tc>
          <w:tcPr>
            <w:tcW w:w="3100" w:type="dxa"/>
            <w:vAlign w:val="bottom"/>
            <w:tcBorders>
              <w:bottom w:val="single" w:sz="8" w:color="auto"/>
              <w:right w:val="single" w:sz="8" w:color="auto"/>
            </w:tcBorders>
            <w:shd w:val="clear" w:color="auto" w:fill="BEBEBE"/>
          </w:tcPr>
          <w:p>
            <w:pPr>
              <w:spacing w:after="0"/>
              <w:rPr>
                <w:sz w:val="15"/>
                <w:szCs w:val="15"/>
                <w:color w:val="auto"/>
              </w:rPr>
            </w:pPr>
          </w:p>
        </w:tc>
      </w:tr>
      <w:tr>
        <w:trPr>
          <w:trHeight w:val="314"/>
        </w:trPr>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20" w:type="dxa"/>
            <w:vAlign w:val="bottom"/>
            <w:tcBorders>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032"/>
              <w:spacing w:after="0"/>
              <w:rPr>
                <w:sz w:val="20"/>
                <w:szCs w:val="20"/>
                <w:color w:val="auto"/>
              </w:rPr>
            </w:pPr>
            <w:r>
              <w:rPr>
                <w:rFonts w:ascii="Arial" w:cs="Arial" w:eastAsia="Arial" w:hAnsi="Arial"/>
                <w:sz w:val="22"/>
                <w:szCs w:val="22"/>
                <w:color w:val="auto"/>
              </w:rPr>
              <w:t>[***]</w:t>
            </w:r>
          </w:p>
        </w:tc>
      </w:tr>
      <w:tr>
        <w:trPr>
          <w:trHeight w:val="1381"/>
        </w:trPr>
        <w:tc>
          <w:tcPr>
            <w:tcW w:w="410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314"/>
        </w:trPr>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20" w:type="dxa"/>
            <w:vAlign w:val="bottom"/>
            <w:tcBorders>
              <w:right w:val="single" w:sz="8" w:color="auto"/>
            </w:tcBorders>
          </w:tcPr>
          <w:p>
            <w:pPr>
              <w:jc w:val="right"/>
              <w:ind w:right="101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992"/>
              <w:spacing w:after="0"/>
              <w:rPr>
                <w:sz w:val="20"/>
                <w:szCs w:val="20"/>
                <w:color w:val="auto"/>
              </w:rPr>
            </w:pPr>
            <w:r>
              <w:rPr>
                <w:rFonts w:ascii="Arial" w:cs="Arial" w:eastAsia="Arial" w:hAnsi="Arial"/>
                <w:sz w:val="22"/>
                <w:szCs w:val="22"/>
                <w:color w:val="auto"/>
              </w:rPr>
              <w:t>[***]</w:t>
            </w:r>
          </w:p>
        </w:tc>
      </w:tr>
      <w:tr>
        <w:trPr>
          <w:trHeight w:val="1124"/>
        </w:trPr>
        <w:tc>
          <w:tcPr>
            <w:tcW w:w="410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r>
        <w:trPr>
          <w:trHeight w:val="314"/>
        </w:trPr>
        <w:tc>
          <w:tcPr>
            <w:tcW w:w="41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20" w:type="dxa"/>
            <w:vAlign w:val="bottom"/>
            <w:tcBorders>
              <w:right w:val="single" w:sz="8" w:color="auto"/>
            </w:tcBorders>
          </w:tcPr>
          <w:p>
            <w:pPr>
              <w:jc w:val="right"/>
              <w:ind w:right="1092"/>
              <w:spacing w:after="0"/>
              <w:rPr>
                <w:sz w:val="20"/>
                <w:szCs w:val="20"/>
                <w:color w:val="auto"/>
              </w:rPr>
            </w:pPr>
            <w:r>
              <w:rPr>
                <w:rFonts w:ascii="Arial" w:cs="Arial" w:eastAsia="Arial" w:hAnsi="Arial"/>
                <w:sz w:val="22"/>
                <w:szCs w:val="22"/>
                <w:color w:val="auto"/>
              </w:rPr>
              <w:t>[***]</w:t>
            </w:r>
          </w:p>
        </w:tc>
        <w:tc>
          <w:tcPr>
            <w:tcW w:w="3100" w:type="dxa"/>
            <w:vAlign w:val="bottom"/>
            <w:tcBorders>
              <w:right w:val="single" w:sz="8" w:color="auto"/>
            </w:tcBorders>
          </w:tcPr>
          <w:p>
            <w:pPr>
              <w:jc w:val="right"/>
              <w:ind w:right="1072"/>
              <w:spacing w:after="0"/>
              <w:rPr>
                <w:sz w:val="20"/>
                <w:szCs w:val="20"/>
                <w:color w:val="auto"/>
              </w:rPr>
            </w:pPr>
            <w:r>
              <w:rPr>
                <w:rFonts w:ascii="Arial" w:cs="Arial" w:eastAsia="Arial" w:hAnsi="Arial"/>
                <w:sz w:val="22"/>
                <w:szCs w:val="22"/>
                <w:color w:val="auto"/>
              </w:rPr>
              <w:t>[***]</w:t>
            </w:r>
          </w:p>
        </w:tc>
      </w:tr>
      <w:tr>
        <w:trPr>
          <w:trHeight w:val="1380"/>
        </w:trPr>
        <w:tc>
          <w:tcPr>
            <w:tcW w:w="4100" w:type="dxa"/>
            <w:vAlign w:val="bottom"/>
            <w:tcBorders>
              <w:bottom w:val="single" w:sz="8" w:color="auto"/>
              <w:right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r>
    </w:tbl>
    <w:p>
      <w:pPr>
        <w:spacing w:after="0" w:line="297" w:lineRule="exact"/>
        <w:rPr>
          <w:sz w:val="20"/>
          <w:szCs w:val="20"/>
          <w:color w:val="auto"/>
        </w:rPr>
      </w:pPr>
    </w:p>
    <w:p>
      <w:pPr>
        <w:ind w:right="740" w:firstLine="1497"/>
        <w:spacing w:after="0" w:line="256" w:lineRule="auto"/>
        <w:rPr>
          <w:sz w:val="20"/>
          <w:szCs w:val="20"/>
          <w:color w:val="auto"/>
        </w:rPr>
      </w:pPr>
      <w:r>
        <w:rPr>
          <w:rFonts w:ascii="Arial" w:cs="Arial" w:eastAsia="Arial" w:hAnsi="Arial"/>
          <w:sz w:val="22"/>
          <w:szCs w:val="22"/>
          <w:color w:val="auto"/>
        </w:rPr>
        <w:t>4.2.2</w:t>
      </w:r>
      <w:r>
        <w:rPr>
          <w:rFonts w:ascii="Arial" w:cs="Arial" w:eastAsia="Arial" w:hAnsi="Arial"/>
          <w:sz w:val="22"/>
          <w:szCs w:val="22"/>
          <w:b w:val="1"/>
          <w:bCs w:val="1"/>
          <w:color w:val="auto"/>
        </w:rPr>
        <w:t>No Duplicate Milestone Payments</w:t>
      </w:r>
      <w:r>
        <w:rPr>
          <w:rFonts w:ascii="Arial" w:cs="Arial" w:eastAsia="Arial" w:hAnsi="Arial"/>
          <w:sz w:val="22"/>
          <w:szCs w:val="22"/>
          <w:color w:val="auto"/>
        </w:rPr>
        <w:t>. Milestone Payments shall be payable only once per Milestone Event. For clarity, no Milestone Payment shall be payable for</w:t>
      </w:r>
    </w:p>
    <w:p>
      <w:pPr>
        <w:spacing w:after="0" w:line="200" w:lineRule="exact"/>
        <w:rPr>
          <w:sz w:val="20"/>
          <w:szCs w:val="20"/>
          <w:color w:val="auto"/>
        </w:rPr>
      </w:pPr>
    </w:p>
    <w:p>
      <w:pPr>
        <w:spacing w:after="0" w:line="252"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440" w:top="602" w:right="1139" w:bottom="1440" w:gutter="0" w:footer="0" w:header="0"/>
        </w:sectPr>
      </w:pPr>
    </w:p>
    <w:bookmarkStart w:id="97" w:name="page98"/>
    <w:bookmarkEnd w:id="97"/>
    <w:p>
      <w:pPr>
        <w:ind w:right="140"/>
        <w:spacing w:after="0" w:line="250" w:lineRule="auto"/>
        <w:rPr>
          <w:sz w:val="20"/>
          <w:szCs w:val="20"/>
          <w:color w:val="auto"/>
        </w:rPr>
      </w:pPr>
      <w:r>
        <w:rPr>
          <w:rFonts w:ascii="Arial" w:cs="Arial" w:eastAsia="Arial" w:hAnsi="Arial"/>
          <w:sz w:val="22"/>
          <w:szCs w:val="22"/>
          <w:color w:val="auto"/>
        </w:rPr>
        <w:t>subsequent or repeated achievements of the same Milestone Event under with respect to the same or different Licensed Product or a different indication.</w:t>
      </w:r>
    </w:p>
    <w:p>
      <w:pPr>
        <w:spacing w:after="0" w:line="209"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9"/>
          <w:szCs w:val="19"/>
          <w:color w:val="auto"/>
        </w:rPr>
        <w:t>4.2.3</w:t>
      </w:r>
      <w:r>
        <w:rPr>
          <w:rFonts w:ascii="Arial" w:cs="Arial" w:eastAsia="Arial" w:hAnsi="Arial"/>
          <w:sz w:val="19"/>
          <w:szCs w:val="19"/>
          <w:b w:val="1"/>
          <w:bCs w:val="1"/>
          <w:color w:val="auto"/>
        </w:rPr>
        <w:t>Milestone Payments Caps</w:t>
      </w:r>
      <w:r>
        <w:rPr>
          <w:rFonts w:ascii="Arial" w:cs="Arial" w:eastAsia="Arial" w:hAnsi="Arial"/>
          <w:sz w:val="19"/>
          <w:szCs w:val="19"/>
          <w:color w:val="auto"/>
        </w:rPr>
        <w:t>. The maximum total amount payable by Fulcrum in respect of Tier 1 Products for all Development Milestone Payments shall not exceed [***]. The maximum total amount payable by Fulcrum in respect of Tier 1 Products for all Commercial Milestone Payments shall not exceed [***]. The maximum total amount payable by Fulcrum in respect of Tier 1 Products for all Sales Milestone Payments shall not exceed [***]. The maximum total amount payable by Fulcrum in respect of Tier 2 Products for all Development Milestone Payments shall not exceed [***]. The maximum total amount payable by Fulcrum in respect of Tier 2 Products for all Commercial Milestone Payments shall not exceed [***]. The maximum total amount payable by Fulcrum in respect of Tier 2 Products for all Sales Milestone Payments shall not exceed [***].</w:t>
      </w:r>
    </w:p>
    <w:p>
      <w:pPr>
        <w:spacing w:after="0" w:line="190"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4.2.4</w:t>
      </w:r>
      <w:r>
        <w:rPr>
          <w:rFonts w:ascii="Arial" w:cs="Arial" w:eastAsia="Arial" w:hAnsi="Arial"/>
          <w:sz w:val="22"/>
          <w:szCs w:val="22"/>
          <w:b w:val="1"/>
          <w:bCs w:val="1"/>
          <w:color w:val="auto"/>
        </w:rPr>
        <w:t>Satisfaction of Earlier Milestone Events</w:t>
      </w:r>
      <w:r>
        <w:rPr>
          <w:rFonts w:ascii="Arial" w:cs="Arial" w:eastAsia="Arial" w:hAnsi="Arial"/>
          <w:sz w:val="22"/>
          <w:szCs w:val="22"/>
          <w:color w:val="auto"/>
        </w:rPr>
        <w:t>. The Development Milestone Events and Sales Milestone Events (but not the Commercial Milestone Events) are intended to be sequential, such that satisfaction of any later stage Milestone Event shall be deemed to have satisfied all earlier stage Milestone Events (to the extent not previously satisfied). Without prejudice to the generality of the foregoing: [***]</w:t>
      </w:r>
    </w:p>
    <w:p>
      <w:pPr>
        <w:spacing w:after="0" w:line="20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8"/>
          <w:szCs w:val="18"/>
          <w:b w:val="1"/>
          <w:bCs w:val="1"/>
          <w:color w:val="auto"/>
        </w:rPr>
        <w:t>Royalties on Licensed Products</w:t>
      </w:r>
      <w:r>
        <w:rPr>
          <w:rFonts w:ascii="Arial" w:cs="Arial" w:eastAsia="Arial" w:hAnsi="Arial"/>
          <w:sz w:val="18"/>
          <w:szCs w:val="18"/>
          <w:color w:val="auto"/>
        </w:rPr>
        <w:t>.</w:t>
      </w:r>
    </w:p>
    <w:p>
      <w:pPr>
        <w:spacing w:after="0" w:line="247" w:lineRule="exact"/>
        <w:rPr>
          <w:sz w:val="20"/>
          <w:szCs w:val="20"/>
          <w:color w:val="auto"/>
        </w:rPr>
      </w:pPr>
    </w:p>
    <w:p>
      <w:pPr>
        <w:jc w:val="both"/>
        <w:ind w:right="20" w:firstLine="1497"/>
        <w:spacing w:after="0" w:line="334" w:lineRule="auto"/>
        <w:rPr>
          <w:sz w:val="20"/>
          <w:szCs w:val="20"/>
          <w:color w:val="auto"/>
        </w:rPr>
      </w:pPr>
      <w:r>
        <w:rPr>
          <w:rFonts w:ascii="Arial" w:cs="Arial" w:eastAsia="Arial" w:hAnsi="Arial"/>
          <w:sz w:val="19"/>
          <w:szCs w:val="19"/>
          <w:color w:val="auto"/>
        </w:rPr>
        <w:t>4.3.1</w:t>
      </w:r>
      <w:r>
        <w:rPr>
          <w:rFonts w:ascii="Arial" w:cs="Arial" w:eastAsia="Arial" w:hAnsi="Arial"/>
          <w:sz w:val="19"/>
          <w:szCs w:val="19"/>
          <w:b w:val="1"/>
          <w:bCs w:val="1"/>
          <w:color w:val="auto"/>
        </w:rPr>
        <w:t>Minimum Annual Royalty</w:t>
      </w:r>
      <w:r>
        <w:rPr>
          <w:rFonts w:ascii="Arial" w:cs="Arial" w:eastAsia="Arial" w:hAnsi="Arial"/>
          <w:sz w:val="19"/>
          <w:szCs w:val="19"/>
          <w:color w:val="auto"/>
        </w:rPr>
        <w:t>. Fulcrum shall pay CAMP4 the following minimum annual royalty payments no later than [***] before [***], which will be creditable against Royalties paid in the same Calendar Year:</w:t>
      </w:r>
    </w:p>
    <w:p>
      <w:pPr>
        <w:spacing w:after="0" w:line="125" w:lineRule="exact"/>
        <w:rPr>
          <w:sz w:val="20"/>
          <w:szCs w:val="20"/>
          <w:color w:val="auto"/>
        </w:rPr>
      </w:pPr>
    </w:p>
    <w:tbl>
      <w:tblPr>
        <w:tblLayout w:type="fixed"/>
        <w:tblInd w:w="570" w:type="dxa"/>
        <w:tblCellMar>
          <w:top w:w="0" w:type="dxa"/>
          <w:left w:w="0" w:type="dxa"/>
          <w:bottom w:w="0" w:type="dxa"/>
          <w:right w:w="0" w:type="dxa"/>
        </w:tblCellMar>
      </w:tblPr>
      <w:tr>
        <w:trPr>
          <w:trHeight w:val="300"/>
        </w:trPr>
        <w:tc>
          <w:tcPr>
            <w:tcW w:w="5920" w:type="dxa"/>
            <w:vAlign w:val="bottom"/>
            <w:tcBorders>
              <w:top w:val="single" w:sz="8" w:color="auto"/>
              <w:left w:val="single" w:sz="8" w:color="auto"/>
              <w:right w:val="single" w:sz="8" w:color="auto"/>
            </w:tcBorders>
            <w:shd w:val="clear" w:color="auto" w:fill="BEBEBE"/>
          </w:tcPr>
          <w:p>
            <w:pPr>
              <w:ind w:left="2740"/>
              <w:spacing w:after="0"/>
              <w:rPr>
                <w:sz w:val="20"/>
                <w:szCs w:val="20"/>
                <w:color w:val="auto"/>
              </w:rPr>
            </w:pPr>
            <w:r>
              <w:rPr>
                <w:rFonts w:ascii="Arial" w:cs="Arial" w:eastAsia="Arial" w:hAnsi="Arial"/>
                <w:sz w:val="22"/>
                <w:szCs w:val="22"/>
                <w:b w:val="1"/>
                <w:bCs w:val="1"/>
                <w:color w:val="auto"/>
              </w:rPr>
              <w:t>Year</w:t>
            </w:r>
          </w:p>
        </w:tc>
        <w:tc>
          <w:tcPr>
            <w:tcW w:w="3280" w:type="dxa"/>
            <w:vAlign w:val="bottom"/>
            <w:tcBorders>
              <w:top w:val="single" w:sz="8" w:color="auto"/>
            </w:tcBorders>
            <w:shd w:val="clear" w:color="auto" w:fill="BEBEBE"/>
          </w:tcPr>
          <w:p>
            <w:pPr>
              <w:ind w:left="120"/>
              <w:spacing w:after="0"/>
              <w:rPr>
                <w:sz w:val="20"/>
                <w:szCs w:val="20"/>
                <w:color w:val="auto"/>
              </w:rPr>
            </w:pPr>
            <w:r>
              <w:rPr>
                <w:rFonts w:ascii="Arial" w:cs="Arial" w:eastAsia="Arial" w:hAnsi="Arial"/>
                <w:sz w:val="22"/>
                <w:szCs w:val="22"/>
                <w:b w:val="1"/>
                <w:bCs w:val="1"/>
                <w:color w:val="auto"/>
              </w:rPr>
              <w:t>Minimum Annual Royalty</w:t>
            </w:r>
          </w:p>
        </w:tc>
      </w:tr>
      <w:tr>
        <w:trPr>
          <w:trHeight w:val="159"/>
        </w:trPr>
        <w:tc>
          <w:tcPr>
            <w:tcW w:w="5920" w:type="dxa"/>
            <w:vAlign w:val="bottom"/>
            <w:tcBorders>
              <w:left w:val="single" w:sz="8" w:color="auto"/>
              <w:bottom w:val="single" w:sz="8" w:color="auto"/>
              <w:right w:val="single" w:sz="8" w:color="auto"/>
            </w:tcBorders>
            <w:shd w:val="clear" w:color="auto" w:fill="BEBEBE"/>
          </w:tcPr>
          <w:p>
            <w:pPr>
              <w:spacing w:after="0"/>
              <w:rPr>
                <w:sz w:val="13"/>
                <w:szCs w:val="13"/>
                <w:color w:val="auto"/>
              </w:rPr>
            </w:pPr>
          </w:p>
        </w:tc>
        <w:tc>
          <w:tcPr>
            <w:tcW w:w="3280" w:type="dxa"/>
            <w:vAlign w:val="bottom"/>
            <w:tcBorders>
              <w:bottom w:val="single" w:sz="8" w:color="auto"/>
            </w:tcBorders>
            <w:shd w:val="clear" w:color="auto" w:fill="BEBEBE"/>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-301625</wp:posOffset>
            </wp:positionV>
            <wp:extent cx="5846445" cy="21513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5846445" cy="2151380"/>
                    </a:xfrm>
                    <a:prstGeom prst="rect">
                      <a:avLst/>
                    </a:prstGeom>
                    <a:noFill/>
                  </pic:spPr>
                </pic:pic>
              </a:graphicData>
            </a:graphic>
          </wp:anchor>
        </w:drawing>
      </w:r>
    </w:p>
    <w:p>
      <w:pPr>
        <w:ind w:left="3280"/>
        <w:spacing w:after="0"/>
        <w:rPr>
          <w:sz w:val="20"/>
          <w:szCs w:val="20"/>
          <w:color w:val="auto"/>
        </w:rPr>
      </w:pPr>
      <w:r>
        <w:rPr>
          <w:rFonts w:ascii="Arial" w:cs="Arial" w:eastAsia="Arial" w:hAnsi="Arial"/>
          <w:sz w:val="22"/>
          <w:szCs w:val="22"/>
          <w:color w:val="auto"/>
        </w:rPr>
        <w:t>[***]</w:t>
      </w:r>
    </w:p>
    <w:p>
      <w:pPr>
        <w:spacing w:after="0" w:line="195"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80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429" w:right="1039" w:bottom="1440" w:gutter="0" w:footer="0" w:header="0"/>
        </w:sectPr>
      </w:pPr>
    </w:p>
    <w:bookmarkStart w:id="98" w:name="page99"/>
    <w:bookmarkEnd w:id="98"/>
    <w:p>
      <w:pPr>
        <w:ind w:left="32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635000</wp:posOffset>
            </wp:positionH>
            <wp:positionV relativeFrom="page">
              <wp:posOffset>395605</wp:posOffset>
            </wp:positionV>
            <wp:extent cx="5848350" cy="6210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5848350" cy="621030"/>
                    </a:xfrm>
                    <a:prstGeom prst="rect">
                      <a:avLst/>
                    </a:prstGeom>
                    <a:noFill/>
                  </pic:spPr>
                </pic:pic>
              </a:graphicData>
            </a:graphic>
          </wp:anchor>
        </w:drawing>
        <w:t>[***]</w:t>
      </w:r>
    </w:p>
    <w:p>
      <w:pPr>
        <w:spacing w:after="0" w:line="8" w:lineRule="exact"/>
        <w:rPr>
          <w:sz w:val="20"/>
          <w:szCs w:val="20"/>
          <w:color w:val="auto"/>
        </w:rPr>
      </w:pPr>
    </w:p>
    <w:p>
      <w:pPr>
        <w:ind w:left="80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0"/>
        <w:spacing w:after="0" w:line="238" w:lineRule="auto"/>
        <w:rPr>
          <w:sz w:val="20"/>
          <w:szCs w:val="20"/>
          <w:color w:val="auto"/>
        </w:rPr>
      </w:pPr>
      <w:r>
        <w:rPr>
          <w:rFonts w:ascii="Arial" w:cs="Arial" w:eastAsia="Arial" w:hAnsi="Arial"/>
          <w:sz w:val="22"/>
          <w:szCs w:val="22"/>
          <w:color w:val="auto"/>
        </w:rPr>
        <w:t>Amounts owed pursuant to this Section 4.3.1 are fully creditable against Royalties due hereunder. If the Royalties paid in a Calendar Year do not exceed the minimum annual royalty paid under this Section 4.3.1, then Fulcrum may carry forward the unused amount and apply such amount against the Royalties owed to CAMP4 in subsequent Calendar Years until it is fully applied.</w:t>
      </w:r>
    </w:p>
    <w:p>
      <w:pPr>
        <w:spacing w:after="0" w:line="206" w:lineRule="exact"/>
        <w:rPr>
          <w:sz w:val="20"/>
          <w:szCs w:val="20"/>
          <w:color w:val="auto"/>
        </w:rPr>
      </w:pPr>
    </w:p>
    <w:p>
      <w:pPr>
        <w:jc w:val="both"/>
        <w:ind w:right="20" w:firstLine="1497"/>
        <w:spacing w:after="0" w:line="249" w:lineRule="auto"/>
        <w:rPr>
          <w:sz w:val="20"/>
          <w:szCs w:val="20"/>
          <w:color w:val="auto"/>
        </w:rPr>
      </w:pPr>
      <w:r>
        <w:rPr>
          <w:rFonts w:ascii="Arial" w:cs="Arial" w:eastAsia="Arial" w:hAnsi="Arial"/>
          <w:sz w:val="21"/>
          <w:szCs w:val="21"/>
          <w:color w:val="auto"/>
        </w:rPr>
        <w:t>4.3.2</w:t>
      </w:r>
      <w:r>
        <w:rPr>
          <w:rFonts w:ascii="Arial" w:cs="Arial" w:eastAsia="Arial" w:hAnsi="Arial"/>
          <w:sz w:val="21"/>
          <w:szCs w:val="21"/>
          <w:b w:val="1"/>
          <w:bCs w:val="1"/>
          <w:color w:val="auto"/>
        </w:rPr>
        <w:t>Royalty Term</w:t>
      </w:r>
      <w:r>
        <w:rPr>
          <w:rFonts w:ascii="Arial" w:cs="Arial" w:eastAsia="Arial" w:hAnsi="Arial"/>
          <w:sz w:val="21"/>
          <w:szCs w:val="21"/>
          <w:color w:val="auto"/>
        </w:rPr>
        <w:t>. Subject to Section 4.4, Fulcrum shall pay CAMP4 royalties as set forth in this Section 4.3 on a Licensed Product-by-Licensed Product and country-by-country basis, shall commence with the First Commercial Sale of the Licensed Product in a country and continue until the later of: (a) the expiration of the last to expire Valid Claim Covering such Licensed Product in the country of sale, (b) ten (10) years from the date of the First Commercial Sale of such Licensed Product in such country, or (c) the expiration of Regulatory Exclusivity for such Licensed Product in such country (the “</w:t>
      </w:r>
      <w:r>
        <w:rPr>
          <w:rFonts w:ascii="Arial" w:cs="Arial" w:eastAsia="Arial" w:hAnsi="Arial"/>
          <w:sz w:val="21"/>
          <w:szCs w:val="21"/>
          <w:b w:val="1"/>
          <w:bCs w:val="1"/>
          <w:i w:val="1"/>
          <w:iCs w:val="1"/>
          <w:color w:val="auto"/>
        </w:rPr>
        <w:t>Royalty Term</w:t>
      </w:r>
      <w:r>
        <w:rPr>
          <w:rFonts w:ascii="Arial" w:cs="Arial" w:eastAsia="Arial" w:hAnsi="Arial"/>
          <w:sz w:val="21"/>
          <w:szCs w:val="21"/>
          <w:color w:val="auto"/>
        </w:rPr>
        <w:t>”).</w:t>
      </w:r>
    </w:p>
    <w:p>
      <w:pPr>
        <w:spacing w:after="0" w:line="211"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22"/>
          <w:szCs w:val="22"/>
          <w:color w:val="auto"/>
        </w:rPr>
        <w:t>4.3.3</w:t>
      </w:r>
      <w:r>
        <w:rPr>
          <w:rFonts w:ascii="Arial" w:cs="Arial" w:eastAsia="Arial" w:hAnsi="Arial"/>
          <w:sz w:val="22"/>
          <w:szCs w:val="22"/>
          <w:b w:val="1"/>
          <w:bCs w:val="1"/>
          <w:color w:val="auto"/>
        </w:rPr>
        <w:t>Royalty Rates</w:t>
      </w:r>
      <w:r>
        <w:rPr>
          <w:rFonts w:ascii="Arial" w:cs="Arial" w:eastAsia="Arial" w:hAnsi="Arial"/>
          <w:sz w:val="22"/>
          <w:szCs w:val="22"/>
          <w:color w:val="auto"/>
        </w:rPr>
        <w:t>. On a Licensed Product-by-Licensed Product and country- by-country basis, during the Royalty Term, Fulcrum shall pay to CAMP4 a royalty equal to the percentages of annual Net Sales of such Licensed Product, as set forth in Table 4.3 below (the “</w:t>
      </w:r>
      <w:r>
        <w:rPr>
          <w:rFonts w:ascii="Arial" w:cs="Arial" w:eastAsia="Arial" w:hAnsi="Arial"/>
          <w:sz w:val="22"/>
          <w:szCs w:val="22"/>
          <w:b w:val="1"/>
          <w:bCs w:val="1"/>
          <w:i w:val="1"/>
          <w:iCs w:val="1"/>
          <w:color w:val="auto"/>
        </w:rPr>
        <w:t>Royalty</w:t>
      </w:r>
      <w:r>
        <w:rPr>
          <w:rFonts w:ascii="Arial" w:cs="Arial" w:eastAsia="Arial" w:hAnsi="Arial"/>
          <w:sz w:val="22"/>
          <w:szCs w:val="22"/>
          <w:color w:val="auto"/>
        </w:rPr>
        <w:t>”), as calculated by multiplying the applicable royalty percentage set forth in Table 4.3 below by the corresponding portion of aggregate Net Sales of all Tier 1 Products or Tier 2 Products, as applicable, in such Calendar Year.</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Table 4.3: Royalty Rates for Tier 1 Products and Tier 2 Products</w:t>
      </w:r>
      <w:r>
        <w:rPr>
          <w:rFonts w:ascii="Arial" w:cs="Arial" w:eastAsia="Arial" w:hAnsi="Arial"/>
          <w:sz w:val="22"/>
          <w:szCs w:val="22"/>
          <w:color w:val="auto"/>
        </w:rPr>
        <w:t>.</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4920" w:type="dxa"/>
            <w:vAlign w:val="bottom"/>
            <w:tcBorders>
              <w:top w:val="single" w:sz="8" w:color="auto"/>
              <w:left w:val="single" w:sz="8" w:color="auto"/>
              <w:right w:val="single" w:sz="8" w:color="auto"/>
            </w:tcBorders>
            <w:shd w:val="clear" w:color="auto" w:fill="BEBEBE"/>
          </w:tcPr>
          <w:p>
            <w:pPr>
              <w:jc w:val="center"/>
              <w:spacing w:after="0" w:line="246" w:lineRule="exact"/>
              <w:rPr>
                <w:sz w:val="20"/>
                <w:szCs w:val="20"/>
                <w:color w:val="auto"/>
              </w:rPr>
            </w:pPr>
            <w:r>
              <w:rPr>
                <w:rFonts w:ascii="Arial" w:cs="Arial" w:eastAsia="Arial" w:hAnsi="Arial"/>
                <w:sz w:val="22"/>
                <w:szCs w:val="22"/>
                <w:b w:val="1"/>
                <w:bCs w:val="1"/>
                <w:color w:val="auto"/>
                <w:w w:val="84"/>
              </w:rPr>
              <w:t>Net Sales</w:t>
            </w:r>
          </w:p>
        </w:tc>
        <w:tc>
          <w:tcPr>
            <w:tcW w:w="2720" w:type="dxa"/>
            <w:vAlign w:val="bottom"/>
            <w:tcBorders>
              <w:top w:val="single" w:sz="8" w:color="auto"/>
            </w:tcBorders>
            <w:shd w:val="clear" w:color="auto" w:fill="BEBEBE"/>
          </w:tcPr>
          <w:p>
            <w:pPr>
              <w:jc w:val="right"/>
              <w:ind w:right="352"/>
              <w:spacing w:after="0" w:line="246" w:lineRule="exact"/>
              <w:rPr>
                <w:sz w:val="20"/>
                <w:szCs w:val="20"/>
                <w:color w:val="auto"/>
              </w:rPr>
            </w:pPr>
            <w:r>
              <w:rPr>
                <w:rFonts w:ascii="Arial" w:cs="Arial" w:eastAsia="Arial" w:hAnsi="Arial"/>
                <w:sz w:val="22"/>
                <w:szCs w:val="22"/>
                <w:b w:val="1"/>
                <w:bCs w:val="1"/>
                <w:color w:val="auto"/>
                <w:w w:val="95"/>
              </w:rPr>
              <w:t>Royalty Rate for Tier 1</w:t>
            </w:r>
          </w:p>
        </w:tc>
        <w:tc>
          <w:tcPr>
            <w:tcW w:w="2680" w:type="dxa"/>
            <w:vAlign w:val="bottom"/>
            <w:tcBorders>
              <w:top w:val="single" w:sz="8" w:color="auto"/>
            </w:tcBorders>
            <w:shd w:val="clear" w:color="auto" w:fill="BEBEBE"/>
          </w:tcPr>
          <w:p>
            <w:pPr>
              <w:jc w:val="right"/>
              <w:spacing w:after="0" w:line="246" w:lineRule="exact"/>
              <w:rPr>
                <w:sz w:val="20"/>
                <w:szCs w:val="20"/>
                <w:color w:val="auto"/>
              </w:rPr>
            </w:pPr>
            <w:r>
              <w:rPr>
                <w:rFonts w:ascii="Arial" w:cs="Arial" w:eastAsia="Arial" w:hAnsi="Arial"/>
                <w:sz w:val="22"/>
                <w:szCs w:val="22"/>
                <w:b w:val="1"/>
                <w:bCs w:val="1"/>
                <w:color w:val="auto"/>
              </w:rPr>
              <w:t>Royalty Rate for Tier 2</w:t>
            </w:r>
          </w:p>
        </w:tc>
      </w:tr>
      <w:tr>
        <w:trPr>
          <w:trHeight w:val="280"/>
        </w:trPr>
        <w:tc>
          <w:tcPr>
            <w:tcW w:w="4920" w:type="dxa"/>
            <w:vAlign w:val="bottom"/>
            <w:tcBorders>
              <w:left w:val="single" w:sz="8" w:color="auto"/>
              <w:right w:val="single" w:sz="8" w:color="auto"/>
            </w:tcBorders>
            <w:shd w:val="clear" w:color="auto" w:fill="BEBEBE"/>
          </w:tcPr>
          <w:p>
            <w:pPr>
              <w:spacing w:after="0"/>
              <w:rPr>
                <w:sz w:val="24"/>
                <w:szCs w:val="24"/>
                <w:color w:val="auto"/>
              </w:rPr>
            </w:pPr>
          </w:p>
        </w:tc>
        <w:tc>
          <w:tcPr>
            <w:tcW w:w="2720" w:type="dxa"/>
            <w:vAlign w:val="bottom"/>
            <w:shd w:val="clear" w:color="auto" w:fill="BEBEBE"/>
          </w:tcPr>
          <w:p>
            <w:pPr>
              <w:jc w:val="right"/>
              <w:ind w:right="1052"/>
              <w:spacing w:after="0"/>
              <w:rPr>
                <w:sz w:val="20"/>
                <w:szCs w:val="20"/>
                <w:color w:val="auto"/>
              </w:rPr>
            </w:pPr>
            <w:r>
              <w:rPr>
                <w:rFonts w:ascii="Arial" w:cs="Arial" w:eastAsia="Arial" w:hAnsi="Arial"/>
                <w:sz w:val="22"/>
                <w:szCs w:val="22"/>
                <w:b w:val="1"/>
                <w:bCs w:val="1"/>
                <w:color w:val="auto"/>
              </w:rPr>
              <w:t>Product</w:t>
            </w:r>
          </w:p>
        </w:tc>
        <w:tc>
          <w:tcPr>
            <w:tcW w:w="2680" w:type="dxa"/>
            <w:vAlign w:val="bottom"/>
            <w:shd w:val="clear" w:color="auto" w:fill="BEBEBE"/>
          </w:tcPr>
          <w:p>
            <w:pPr>
              <w:jc w:val="right"/>
              <w:ind w:right="1292"/>
              <w:spacing w:after="0"/>
              <w:rPr>
                <w:sz w:val="20"/>
                <w:szCs w:val="20"/>
                <w:color w:val="auto"/>
              </w:rPr>
            </w:pPr>
            <w:r>
              <w:rPr>
                <w:rFonts w:ascii="Arial" w:cs="Arial" w:eastAsia="Arial" w:hAnsi="Arial"/>
                <w:sz w:val="22"/>
                <w:szCs w:val="22"/>
                <w:b w:val="1"/>
                <w:bCs w:val="1"/>
                <w:color w:val="auto"/>
              </w:rPr>
              <w:t>Product</w:t>
            </w:r>
          </w:p>
        </w:tc>
      </w:tr>
      <w:tr>
        <w:trPr>
          <w:trHeight w:val="176"/>
        </w:trPr>
        <w:tc>
          <w:tcPr>
            <w:tcW w:w="4920" w:type="dxa"/>
            <w:vAlign w:val="bottom"/>
            <w:tcBorders>
              <w:left w:val="single" w:sz="8" w:color="auto"/>
              <w:bottom w:val="single" w:sz="8" w:color="auto"/>
              <w:right w:val="single" w:sz="8" w:color="auto"/>
            </w:tcBorders>
            <w:shd w:val="clear" w:color="auto" w:fill="BEBEBE"/>
          </w:tcPr>
          <w:p>
            <w:pPr>
              <w:spacing w:after="0"/>
              <w:rPr>
                <w:sz w:val="15"/>
                <w:szCs w:val="15"/>
                <w:color w:val="auto"/>
              </w:rPr>
            </w:pPr>
          </w:p>
        </w:tc>
        <w:tc>
          <w:tcPr>
            <w:tcW w:w="2720" w:type="dxa"/>
            <w:vAlign w:val="bottom"/>
            <w:tcBorders>
              <w:bottom w:val="single" w:sz="8" w:color="auto"/>
            </w:tcBorders>
            <w:shd w:val="clear" w:color="auto" w:fill="BEBEBE"/>
          </w:tcPr>
          <w:p>
            <w:pPr>
              <w:spacing w:after="0"/>
              <w:rPr>
                <w:sz w:val="15"/>
                <w:szCs w:val="15"/>
                <w:color w:val="auto"/>
              </w:rPr>
            </w:pPr>
          </w:p>
        </w:tc>
        <w:tc>
          <w:tcPr>
            <w:tcW w:w="2680" w:type="dxa"/>
            <w:vAlign w:val="bottom"/>
            <w:tcBorders>
              <w:bottom w:val="single" w:sz="8" w:color="auto"/>
            </w:tcBorders>
            <w:shd w:val="clear" w:color="auto" w:fill="BEBEBE"/>
          </w:tcPr>
          <w:p>
            <w:pPr>
              <w:spacing w:after="0"/>
              <w:rPr>
                <w:sz w:val="15"/>
                <w:szCs w:val="15"/>
                <w:color w:val="auto"/>
              </w:rPr>
            </w:pPr>
          </w:p>
        </w:tc>
      </w:tr>
      <w:tr>
        <w:trPr>
          <w:trHeight w:val="274"/>
        </w:trPr>
        <w:tc>
          <w:tcPr>
            <w:tcW w:w="4920" w:type="dxa"/>
            <w:vAlign w:val="bottom"/>
          </w:tcPr>
          <w:p>
            <w:pPr>
              <w:jc w:val="center"/>
              <w:spacing w:after="0"/>
              <w:rPr>
                <w:sz w:val="20"/>
                <w:szCs w:val="20"/>
                <w:color w:val="auto"/>
              </w:rPr>
            </w:pPr>
            <w:r>
              <w:rPr>
                <w:rFonts w:ascii="Arial" w:cs="Arial" w:eastAsia="Arial" w:hAnsi="Arial"/>
                <w:sz w:val="22"/>
                <w:szCs w:val="22"/>
                <w:color w:val="auto"/>
              </w:rPr>
              <w:t>[***]</w:t>
            </w:r>
          </w:p>
        </w:tc>
        <w:tc>
          <w:tcPr>
            <w:tcW w:w="27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448"/>
        </w:trPr>
        <w:tc>
          <w:tcPr>
            <w:tcW w:w="4920" w:type="dxa"/>
            <w:vAlign w:val="bottom"/>
          </w:tcPr>
          <w:p>
            <w:pPr>
              <w:spacing w:after="0"/>
              <w:rPr>
                <w:sz w:val="24"/>
                <w:szCs w:val="24"/>
                <w:color w:val="auto"/>
              </w:rPr>
            </w:pPr>
          </w:p>
        </w:tc>
        <w:tc>
          <w:tcPr>
            <w:tcW w:w="2720" w:type="dxa"/>
            <w:vAlign w:val="bottom"/>
          </w:tcPr>
          <w:p>
            <w:pPr>
              <w:jc w:val="right"/>
              <w:ind w:right="452"/>
              <w:spacing w:after="0"/>
              <w:rPr>
                <w:sz w:val="20"/>
                <w:szCs w:val="20"/>
                <w:color w:val="auto"/>
              </w:rPr>
            </w:pPr>
            <w:r>
              <w:rPr>
                <w:rFonts w:ascii="Arial" w:cs="Arial" w:eastAsia="Arial" w:hAnsi="Arial"/>
                <w:sz w:val="22"/>
                <w:szCs w:val="22"/>
                <w:color w:val="auto"/>
              </w:rPr>
              <w:t>[***]</w:t>
            </w:r>
          </w:p>
        </w:tc>
        <w:tc>
          <w:tcPr>
            <w:tcW w:w="2680" w:type="dxa"/>
            <w:vAlign w:val="bottom"/>
          </w:tcPr>
          <w:p>
            <w:pPr>
              <w:jc w:val="right"/>
              <w:ind w:right="1312"/>
              <w:spacing w:after="0"/>
              <w:rPr>
                <w:sz w:val="20"/>
                <w:szCs w:val="20"/>
                <w:color w:val="auto"/>
              </w:rPr>
            </w:pPr>
            <w:r>
              <w:rPr>
                <w:rFonts w:ascii="Arial" w:cs="Arial" w:eastAsia="Arial" w:hAnsi="Arial"/>
                <w:sz w:val="22"/>
                <w:szCs w:val="22"/>
                <w:color w:val="auto"/>
              </w:rPr>
              <w:t>[***]</w:t>
            </w:r>
          </w:p>
        </w:tc>
      </w:tr>
      <w:tr>
        <w:trPr>
          <w:trHeight w:val="476"/>
        </w:trPr>
        <w:tc>
          <w:tcPr>
            <w:tcW w:w="49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268"/>
        </w:trPr>
        <w:tc>
          <w:tcPr>
            <w:tcW w:w="4920" w:type="dxa"/>
            <w:vAlign w:val="bottom"/>
          </w:tcPr>
          <w:p>
            <w:pPr>
              <w:jc w:val="center"/>
              <w:spacing w:after="0"/>
              <w:rPr>
                <w:sz w:val="20"/>
                <w:szCs w:val="20"/>
                <w:color w:val="auto"/>
              </w:rPr>
            </w:pPr>
            <w:r>
              <w:rPr>
                <w:rFonts w:ascii="Arial" w:cs="Arial" w:eastAsia="Arial" w:hAnsi="Arial"/>
                <w:sz w:val="22"/>
                <w:szCs w:val="22"/>
                <w:color w:val="auto"/>
              </w:rPr>
              <w:t>[***]</w:t>
            </w:r>
          </w:p>
        </w:tc>
        <w:tc>
          <w:tcPr>
            <w:tcW w:w="272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667"/>
        </w:trPr>
        <w:tc>
          <w:tcPr>
            <w:tcW w:w="4920" w:type="dxa"/>
            <w:vAlign w:val="bottom"/>
          </w:tcPr>
          <w:p>
            <w:pPr>
              <w:spacing w:after="0"/>
              <w:rPr>
                <w:sz w:val="24"/>
                <w:szCs w:val="24"/>
                <w:color w:val="auto"/>
              </w:rPr>
            </w:pPr>
          </w:p>
        </w:tc>
        <w:tc>
          <w:tcPr>
            <w:tcW w:w="2720" w:type="dxa"/>
            <w:vAlign w:val="bottom"/>
          </w:tcPr>
          <w:p>
            <w:pPr>
              <w:jc w:val="right"/>
              <w:ind w:right="452"/>
              <w:spacing w:after="0"/>
              <w:rPr>
                <w:sz w:val="20"/>
                <w:szCs w:val="20"/>
                <w:color w:val="auto"/>
              </w:rPr>
            </w:pPr>
            <w:r>
              <w:rPr>
                <w:rFonts w:ascii="Arial" w:cs="Arial" w:eastAsia="Arial" w:hAnsi="Arial"/>
                <w:sz w:val="22"/>
                <w:szCs w:val="22"/>
                <w:color w:val="auto"/>
              </w:rPr>
              <w:t>[***]</w:t>
            </w:r>
          </w:p>
        </w:tc>
        <w:tc>
          <w:tcPr>
            <w:tcW w:w="2680" w:type="dxa"/>
            <w:vAlign w:val="bottom"/>
          </w:tcPr>
          <w:p>
            <w:pPr>
              <w:jc w:val="right"/>
              <w:ind w:right="1312"/>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-1823085</wp:posOffset>
            </wp:positionV>
            <wp:extent cx="6557645" cy="26314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655764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320" w:type="dxa"/>
        <w:tblCellMar>
          <w:top w:w="0" w:type="dxa"/>
          <w:left w:w="0" w:type="dxa"/>
          <w:bottom w:w="0" w:type="dxa"/>
          <w:right w:w="0" w:type="dxa"/>
        </w:tblCellMar>
      </w:tblPr>
      <w:tr>
        <w:trPr>
          <w:trHeight w:val="274"/>
        </w:trPr>
        <w:tc>
          <w:tcPr>
            <w:tcW w:w="2360" w:type="dxa"/>
            <w:vAlign w:val="bottom"/>
          </w:tcPr>
          <w:p>
            <w:pPr>
              <w:jc w:val="right"/>
              <w:ind w:right="1772"/>
              <w:spacing w:after="0"/>
              <w:rPr>
                <w:sz w:val="20"/>
                <w:szCs w:val="20"/>
                <w:color w:val="auto"/>
              </w:rPr>
            </w:pPr>
            <w:r>
              <w:rPr>
                <w:rFonts w:ascii="Arial" w:cs="Arial" w:eastAsia="Arial" w:hAnsi="Arial"/>
                <w:sz w:val="22"/>
                <w:szCs w:val="22"/>
                <w:color w:val="auto"/>
              </w:rPr>
              <w:t>[***]</w:t>
            </w:r>
          </w:p>
        </w:tc>
        <w:tc>
          <w:tcPr>
            <w:tcW w:w="3060" w:type="dxa"/>
            <w:vAlign w:val="bottom"/>
            <w:vMerge w:val="restart"/>
          </w:tcPr>
          <w:p>
            <w:pPr>
              <w:jc w:val="right"/>
              <w:ind w:right="592"/>
              <w:spacing w:after="0"/>
              <w:rPr>
                <w:sz w:val="20"/>
                <w:szCs w:val="20"/>
                <w:color w:val="auto"/>
              </w:rPr>
            </w:pPr>
            <w:r>
              <w:rPr>
                <w:rFonts w:ascii="Arial" w:cs="Arial" w:eastAsia="Arial" w:hAnsi="Arial"/>
                <w:sz w:val="22"/>
                <w:szCs w:val="22"/>
                <w:color w:val="auto"/>
              </w:rPr>
              <w:t>[***]</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631" w:right="1039" w:bottom="1440" w:gutter="0" w:footer="0" w:header="0"/>
        </w:sectPr>
      </w:pPr>
    </w:p>
    <w:bookmarkStart w:id="99" w:name="page100"/>
    <w:bookmarkEnd w:id="99"/>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274955</wp:posOffset>
            </wp:positionH>
            <wp:positionV relativeFrom="page">
              <wp:posOffset>395605</wp:posOffset>
            </wp:positionV>
            <wp:extent cx="6560185" cy="4584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6560185" cy="458470"/>
                    </a:xfrm>
                    <a:prstGeom prst="rect">
                      <a:avLst/>
                    </a:prstGeom>
                    <a:noFill/>
                  </pic:spPr>
                </pic:pic>
              </a:graphicData>
            </a:graphic>
          </wp:anchor>
        </w:drawing>
      </w:r>
    </w:p>
    <w:p>
      <w:pPr>
        <w:ind w:left="740"/>
        <w:spacing w:after="0"/>
        <w:tabs>
          <w:tab w:leader="none" w:pos="1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b w:val="1"/>
          <w:bCs w:val="1"/>
          <w:color w:val="auto"/>
        </w:rPr>
        <w:t>Royalty Reductions</w:t>
      </w:r>
      <w:r>
        <w:rPr>
          <w:rFonts w:ascii="Arial" w:cs="Arial" w:eastAsia="Arial" w:hAnsi="Arial"/>
          <w:sz w:val="19"/>
          <w:szCs w:val="19"/>
          <w:color w:val="auto"/>
        </w:rPr>
        <w:t>.</w:t>
      </w:r>
    </w:p>
    <w:p>
      <w:pPr>
        <w:spacing w:after="0" w:line="233"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9"/>
          <w:szCs w:val="19"/>
          <w:color w:val="auto"/>
        </w:rPr>
        <w:t>4.4.1</w:t>
      </w:r>
      <w:r>
        <w:rPr>
          <w:rFonts w:ascii="Arial" w:cs="Arial" w:eastAsia="Arial" w:hAnsi="Arial"/>
          <w:sz w:val="19"/>
          <w:szCs w:val="19"/>
          <w:b w:val="1"/>
          <w:bCs w:val="1"/>
          <w:color w:val="auto"/>
        </w:rPr>
        <w:t>In General</w:t>
      </w:r>
      <w:r>
        <w:rPr>
          <w:rFonts w:ascii="Arial" w:cs="Arial" w:eastAsia="Arial" w:hAnsi="Arial"/>
          <w:sz w:val="19"/>
          <w:szCs w:val="19"/>
          <w:color w:val="auto"/>
        </w:rPr>
        <w:t>. The royalty rates for Tier 2 Products are not subject to any reductions in the event of loss of patent coverage, generic entry, royalty stacking or otherwise. The royalty reductions under Sections 4.4.2, 4.4.3 and 4.4.4 only apply with respect to Tier 1 Products, and are subject to a [***] floor i.e. the royalty rate for a Tier 1 Product may not fall below the royalty rate for a Tier 2 Product shown in the right hand column of Table 4.3 even if more than one of Sections 4.4.2, 4.4.3 and 4.4.4 are applicable. By way of example, if annual global Net Sales of a given Tier 1 Product are less than [***], and the reduction set forth in Section 4.4.4 has operated to reduce the royalty rate from [***]% to [***]%, when there is no longer a Valid Claim Covering such Tier 1 Product the royalty rate shall only drop to [***]% for the remaining duration of the Royalty Term for such Tier 1 Product.</w:t>
      </w:r>
    </w:p>
    <w:p>
      <w:pPr>
        <w:spacing w:after="0" w:line="177" w:lineRule="exact"/>
        <w:rPr>
          <w:sz w:val="20"/>
          <w:szCs w:val="20"/>
          <w:color w:val="auto"/>
        </w:rPr>
      </w:pPr>
    </w:p>
    <w:p>
      <w:pPr>
        <w:jc w:val="both"/>
        <w:ind w:firstLine="1497"/>
        <w:spacing w:after="0" w:line="300" w:lineRule="auto"/>
        <w:rPr>
          <w:sz w:val="20"/>
          <w:szCs w:val="20"/>
          <w:color w:val="auto"/>
        </w:rPr>
      </w:pPr>
      <w:r>
        <w:rPr>
          <w:rFonts w:ascii="Arial" w:cs="Arial" w:eastAsia="Arial" w:hAnsi="Arial"/>
          <w:sz w:val="19"/>
          <w:szCs w:val="19"/>
          <w:color w:val="auto"/>
        </w:rPr>
        <w:t>4.4.2</w:t>
      </w:r>
      <w:r>
        <w:rPr>
          <w:rFonts w:ascii="Arial" w:cs="Arial" w:eastAsia="Arial" w:hAnsi="Arial"/>
          <w:sz w:val="19"/>
          <w:szCs w:val="19"/>
          <w:b w:val="1"/>
          <w:bCs w:val="1"/>
          <w:color w:val="auto"/>
        </w:rPr>
        <w:t>No Valid Claim</w:t>
      </w:r>
      <w:r>
        <w:rPr>
          <w:rFonts w:ascii="Arial" w:cs="Arial" w:eastAsia="Arial" w:hAnsi="Arial"/>
          <w:sz w:val="19"/>
          <w:szCs w:val="19"/>
          <w:color w:val="auto"/>
        </w:rPr>
        <w:t>. In any Calendar Quarter during the Royalty Term for which there is no longer a Valid Claim of the CAMP4-Assignee Patents that Covers a given Tier 1 Product in a country, the Royalty rates provided in Section 4.3 for such Tier 1 Product will be reduced in such country by [***] for such Calendar Quarter.</w:t>
      </w:r>
    </w:p>
    <w:p>
      <w:pPr>
        <w:spacing w:after="0" w:line="166"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22"/>
          <w:szCs w:val="22"/>
          <w:color w:val="auto"/>
        </w:rPr>
        <w:t>4.4.3</w:t>
      </w:r>
      <w:r>
        <w:rPr>
          <w:rFonts w:ascii="Arial" w:cs="Arial" w:eastAsia="Arial" w:hAnsi="Arial"/>
          <w:sz w:val="22"/>
          <w:szCs w:val="22"/>
          <w:b w:val="1"/>
          <w:bCs w:val="1"/>
          <w:color w:val="auto"/>
        </w:rPr>
        <w:t>Generic Products</w:t>
      </w:r>
      <w:r>
        <w:rPr>
          <w:rFonts w:ascii="Arial" w:cs="Arial" w:eastAsia="Arial" w:hAnsi="Arial"/>
          <w:sz w:val="22"/>
          <w:szCs w:val="22"/>
          <w:color w:val="auto"/>
        </w:rPr>
        <w:t>. On a country-by-country and Tier 1 Product-by-Tier 1 Product basis from and after the first Calendar Quarter in which Generic Products with respect to a Tier 1 Product in any country in the Territory during the Royalty Term have a market share of [***] in a given country (measured in local currency, over the Calendar Quarter, as reported by [***]), the Royalty rates provided in Section 4.3 for the Tier 1 Product will be reduced in such country by [***].</w:t>
      </w:r>
    </w:p>
    <w:p>
      <w:pPr>
        <w:spacing w:after="0" w:line="222"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4.4.4</w:t>
      </w:r>
      <w:r>
        <w:rPr>
          <w:rFonts w:ascii="Arial" w:cs="Arial" w:eastAsia="Arial" w:hAnsi="Arial"/>
          <w:sz w:val="19"/>
          <w:szCs w:val="19"/>
          <w:b w:val="1"/>
          <w:bCs w:val="1"/>
          <w:color w:val="auto"/>
        </w:rPr>
        <w:t>Third Party Payments</w:t>
      </w:r>
      <w:r>
        <w:rPr>
          <w:rFonts w:ascii="Arial" w:cs="Arial" w:eastAsia="Arial" w:hAnsi="Arial"/>
          <w:sz w:val="19"/>
          <w:szCs w:val="19"/>
          <w:color w:val="auto"/>
        </w:rPr>
        <w:t>. If it is reasonably required for Fulcrum to obtain a license or similar rights to a Patent of a Third Party in order for Fulcrum to develop, make, have made, use, sell, offer for sale and have sold, import, export and otherwise commercialize Tier 1 Products in the Field (a “</w:t>
      </w:r>
      <w:r>
        <w:rPr>
          <w:rFonts w:ascii="Arial" w:cs="Arial" w:eastAsia="Arial" w:hAnsi="Arial"/>
          <w:sz w:val="19"/>
          <w:szCs w:val="19"/>
          <w:b w:val="1"/>
          <w:bCs w:val="1"/>
          <w:i w:val="1"/>
          <w:iCs w:val="1"/>
          <w:color w:val="auto"/>
        </w:rPr>
        <w:t>Third Party License</w:t>
      </w:r>
      <w:r>
        <w:rPr>
          <w:rFonts w:ascii="Arial" w:cs="Arial" w:eastAsia="Arial" w:hAnsi="Arial"/>
          <w:sz w:val="19"/>
          <w:szCs w:val="19"/>
          <w:color w:val="auto"/>
        </w:rPr>
        <w:t>”), then Fulcrum shall have the right to credit [***] of any royalties actually paid by Fulcrum, its Affiliate or its Sublicensees under such Third Party License in a Calendar Quarter in respect of royalties in respect of such Tier 1 Product against the Royalties otherwise payable to CAMP4 under this Agreement for Tier 1 Products in such Calendar Quarter; provided that (a) Fulcrum may not deduct a greater percentage of royalties owed to a Third Party from Royalties due to CAMP4 than the percentage of royalties that Fulcrum is permitted to deduct from royalties owed to such Third Party pursuant to the royalty anti-stacking provision of such Third Party license and (b) the application of such credits shall not reduce the Royalties otherwise due to CAMP4 in any given Calendar Quarter by more than [***] (to reach the royalty floor of [***]) and any excess amounts that would have otherwise been deducted in such Calendar Quarter shall be deducted in successive Calendar Quarters until the credit has been realized in full.</w:t>
      </w:r>
    </w:p>
    <w:p>
      <w:pPr>
        <w:spacing w:after="0" w:line="200" w:lineRule="exact"/>
        <w:rPr>
          <w:sz w:val="20"/>
          <w:szCs w:val="20"/>
          <w:color w:val="auto"/>
        </w:rPr>
      </w:pPr>
    </w:p>
    <w:p>
      <w:pPr>
        <w:spacing w:after="0" w:line="226"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62865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1440" w:right="1039" w:bottom="1440" w:gutter="0" w:footer="0" w:header="0"/>
        </w:sectPr>
      </w:pPr>
    </w:p>
    <w:bookmarkStart w:id="100" w:name="page101"/>
    <w:bookmarkEnd w:id="100"/>
    <w:p>
      <w:pPr>
        <w:jc w:val="both"/>
        <w:ind w:left="7" w:firstLine="749"/>
        <w:spacing w:after="0" w:line="239" w:lineRule="auto"/>
        <w:rPr>
          <w:sz w:val="20"/>
          <w:szCs w:val="20"/>
          <w:color w:val="auto"/>
        </w:rPr>
      </w:pPr>
      <w:r>
        <w:rPr>
          <w:rFonts w:ascii="Arial" w:cs="Arial" w:eastAsia="Arial" w:hAnsi="Arial"/>
          <w:sz w:val="22"/>
          <w:szCs w:val="22"/>
          <w:color w:val="auto"/>
        </w:rPr>
        <w:t>4.5</w:t>
      </w:r>
      <w:r>
        <w:rPr>
          <w:rFonts w:ascii="Arial" w:cs="Arial" w:eastAsia="Arial" w:hAnsi="Arial"/>
          <w:sz w:val="22"/>
          <w:szCs w:val="22"/>
          <w:b w:val="1"/>
          <w:bCs w:val="1"/>
          <w:color w:val="auto"/>
        </w:rPr>
        <w:t>Payment; Reports</w:t>
      </w:r>
      <w:r>
        <w:rPr>
          <w:rFonts w:ascii="Arial" w:cs="Arial" w:eastAsia="Arial" w:hAnsi="Arial"/>
          <w:sz w:val="22"/>
          <w:szCs w:val="22"/>
          <w:color w:val="auto"/>
        </w:rPr>
        <w:t>. Royalty payments due by Fulcrum to CAMP4 under Section 4.3 will be calculated and reported for each Calendar Quarter. All Royalty payments due under Section 4.3 shall be paid [***] after the end of each Calendar Quarter and shall be accompanied by a report setting forth at least the following for each Licensed Product by Fulcrum and its Affiliates and Sublicensees in the Territory.</w:t>
      </w:r>
    </w:p>
    <w:p>
      <w:pPr>
        <w:spacing w:after="0" w:line="221" w:lineRule="exact"/>
        <w:rPr>
          <w:sz w:val="20"/>
          <w:szCs w:val="20"/>
          <w:color w:val="auto"/>
        </w:rPr>
      </w:pPr>
    </w:p>
    <w:p>
      <w:pPr>
        <w:jc w:val="both"/>
        <w:ind w:left="7" w:firstLine="749"/>
        <w:spacing w:after="0" w:line="280" w:lineRule="auto"/>
        <w:rPr>
          <w:sz w:val="20"/>
          <w:szCs w:val="20"/>
          <w:color w:val="auto"/>
        </w:rPr>
      </w:pPr>
      <w:r>
        <w:rPr>
          <w:rFonts w:ascii="Arial" w:cs="Arial" w:eastAsia="Arial" w:hAnsi="Arial"/>
          <w:sz w:val="19"/>
          <w:szCs w:val="19"/>
          <w:color w:val="auto"/>
        </w:rPr>
        <w:t>4.6</w:t>
      </w:r>
      <w:r>
        <w:rPr>
          <w:rFonts w:ascii="Arial" w:cs="Arial" w:eastAsia="Arial" w:hAnsi="Arial"/>
          <w:sz w:val="19"/>
          <w:szCs w:val="19"/>
          <w:b w:val="1"/>
          <w:bCs w:val="1"/>
          <w:color w:val="auto"/>
        </w:rPr>
        <w:t>Method of Payment; Currency Conversion</w:t>
      </w:r>
      <w:r>
        <w:rPr>
          <w:rFonts w:ascii="Arial" w:cs="Arial" w:eastAsia="Arial" w:hAnsi="Arial"/>
          <w:sz w:val="19"/>
          <w:szCs w:val="19"/>
          <w:color w:val="auto"/>
        </w:rPr>
        <w:t>. Unless otherwise agreed by the Parties, all payments due under this Agreement shall be paid in Dollars by wire transfer or electronic funds transfer of immediately available funds to an account designated by the payee; provided however, that Fulcrum shall only be required to disburse funds to the country containing payee’s jurisdiction of incorporation or to a jurisdiction in which the payee has a significant business presence. When conversion of payments from any currency other than Dollars is required, Fulcrum’s then-current standard exchange rate methodology will be employed for the translation of foreign currency sales into Dollars.</w:t>
      </w:r>
    </w:p>
    <w:p>
      <w:pPr>
        <w:spacing w:after="0" w:line="185" w:lineRule="exact"/>
        <w:rPr>
          <w:sz w:val="20"/>
          <w:szCs w:val="20"/>
          <w:color w:val="auto"/>
        </w:rPr>
      </w:pPr>
    </w:p>
    <w:p>
      <w:pPr>
        <w:jc w:val="both"/>
        <w:ind w:left="7" w:firstLine="749"/>
        <w:spacing w:after="0" w:line="268" w:lineRule="auto"/>
        <w:rPr>
          <w:sz w:val="20"/>
          <w:szCs w:val="20"/>
          <w:color w:val="auto"/>
        </w:rPr>
      </w:pPr>
      <w:r>
        <w:rPr>
          <w:rFonts w:ascii="Arial" w:cs="Arial" w:eastAsia="Arial" w:hAnsi="Arial"/>
          <w:sz w:val="19"/>
          <w:szCs w:val="19"/>
          <w:color w:val="auto"/>
        </w:rPr>
        <w:t>4.7</w:t>
      </w:r>
      <w:r>
        <w:rPr>
          <w:rFonts w:ascii="Arial" w:cs="Arial" w:eastAsia="Arial" w:hAnsi="Arial"/>
          <w:sz w:val="19"/>
          <w:szCs w:val="19"/>
          <w:b w:val="1"/>
          <w:bCs w:val="1"/>
          <w:color w:val="auto"/>
        </w:rPr>
        <w:t>Records and Audits</w:t>
      </w:r>
      <w:r>
        <w:rPr>
          <w:rFonts w:ascii="Arial" w:cs="Arial" w:eastAsia="Arial" w:hAnsi="Arial"/>
          <w:sz w:val="19"/>
          <w:szCs w:val="19"/>
          <w:color w:val="auto"/>
        </w:rPr>
        <w:t>. Fulcrum shall keep, and shall require its Affiliates and Sublicensees to keep full, true and accurate books and records, including books of account in accordance with GAAP, in sufficient detail to enable CAMP4 to determine Fulcrum’s compliance with this Agreement, including diligence with respect to development as set forth in Section 3.1 and the royalty and other amounts payable to CAMP4 under this Agreement. Said books and records, including books of account in accordance with GAAP, shall be kept at Fulcrum’s principal place of business or the principal place of business of the appropriate division of Fulcrum to which this Agreement relates. Said books of Fulcrum and Affiliates and the supporting data shall be retained for at least [***] following the end of the calendar year to which they pertain or such longer period as required by applicable law, rule or regulation. Fulcrum shall require its Sublicensees to retain such books and data for [***] following the end of the calendar year to which they pertain or such longer period as required by applicable law, rule or regulation and shall use [***] to require a [***] retention period from its Sublicensees. During the Term, CAMP4 shall not more than [***] have the right to have Fulcrum’s then-current auditors inspect Fulcrum’s records for the purpose of determining the accuracy of Royalty payments for a period covering not more than [***] following the Calendar Quarter to which they pertain. No period will be audited more than</w:t>
      </w:r>
    </w:p>
    <w:p>
      <w:pPr>
        <w:spacing w:after="0" w:line="11" w:lineRule="exact"/>
        <w:rPr>
          <w:sz w:val="20"/>
          <w:szCs w:val="20"/>
          <w:color w:val="auto"/>
        </w:rPr>
      </w:pPr>
    </w:p>
    <w:p>
      <w:pPr>
        <w:jc w:val="both"/>
        <w:ind w:left="7" w:hanging="7"/>
        <w:spacing w:after="0" w:line="243" w:lineRule="auto"/>
        <w:tabs>
          <w:tab w:leader="none" w:pos="562"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and each audit must be reasonable in scope. The independent, certified public accountant selected shall keep confidential any information obtained during such inspection and shall report to CAMP4 and Fulcrum only the amounts of Net Sales and Royalties due and payable. Such audits may be exercised during normal business hours upon reasonable prior written notice to Fulcrum. [***] cost of such audit unless such audit discloses an underpayment by Fulcrum of [***], of the amount of Royalties or other payments due under this Agreement for any applicable Calendar Quarter, in which case, [***] cost of such audit and [***] of the date the auditor’s written report is received. Any overpayment by Fulcrum revealed by an audit shall be [***].</w:t>
      </w:r>
    </w:p>
    <w:p>
      <w:pPr>
        <w:spacing w:after="0" w:line="208" w:lineRule="exact"/>
        <w:rPr>
          <w:sz w:val="20"/>
          <w:szCs w:val="20"/>
          <w:color w:val="auto"/>
        </w:rPr>
      </w:pPr>
    </w:p>
    <w:p>
      <w:pPr>
        <w:jc w:val="both"/>
        <w:ind w:left="7" w:right="20" w:firstLine="749"/>
        <w:spacing w:after="0" w:line="243" w:lineRule="auto"/>
        <w:rPr>
          <w:sz w:val="20"/>
          <w:szCs w:val="20"/>
          <w:color w:val="auto"/>
        </w:rPr>
      </w:pPr>
      <w:r>
        <w:rPr>
          <w:rFonts w:ascii="Arial" w:cs="Arial" w:eastAsia="Arial" w:hAnsi="Arial"/>
          <w:sz w:val="22"/>
          <w:szCs w:val="22"/>
          <w:color w:val="auto"/>
        </w:rPr>
        <w:t>4.8</w:t>
      </w:r>
      <w:r>
        <w:rPr>
          <w:rFonts w:ascii="Arial" w:cs="Arial" w:eastAsia="Arial" w:hAnsi="Arial"/>
          <w:sz w:val="22"/>
          <w:szCs w:val="22"/>
          <w:b w:val="1"/>
          <w:bCs w:val="1"/>
          <w:color w:val="auto"/>
        </w:rPr>
        <w:t>Late Payments</w:t>
      </w:r>
      <w:r>
        <w:rPr>
          <w:rFonts w:ascii="Arial" w:cs="Arial" w:eastAsia="Arial" w:hAnsi="Arial"/>
          <w:sz w:val="22"/>
          <w:szCs w:val="22"/>
          <w:color w:val="auto"/>
        </w:rPr>
        <w:t>. If any payment due under this Agreement is not paid when due in accordance with the applicable provisions of this Agreement, the payment shall accrue interest from [***] at the rate of [***] or the maximum rate allowable by Applicable Law, whichever is</w:t>
      </w:r>
    </w:p>
    <w:p>
      <w:pPr>
        <w:spacing w:after="0" w:line="200" w:lineRule="exact"/>
        <w:rPr>
          <w:sz w:val="20"/>
          <w:szCs w:val="20"/>
          <w:color w:val="auto"/>
        </w:rPr>
      </w:pPr>
    </w:p>
    <w:p>
      <w:pPr>
        <w:spacing w:after="0" w:line="253" w:lineRule="exact"/>
        <w:rPr>
          <w:sz w:val="20"/>
          <w:szCs w:val="20"/>
          <w:color w:val="auto"/>
        </w:rPr>
      </w:pPr>
    </w:p>
    <w:p>
      <w:pPr>
        <w:ind w:left="5427"/>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62865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7"/>
          </w:cols>
          <w:pgMar w:left="433" w:top="423" w:right="1039" w:bottom="1440" w:gutter="0" w:footer="0" w:header="0"/>
        </w:sectPr>
      </w:pPr>
    </w:p>
    <w:bookmarkStart w:id="101" w:name="page102"/>
    <w:bookmarkEnd w:id="101"/>
    <w:p>
      <w:pPr>
        <w:ind w:right="40"/>
        <w:spacing w:after="0" w:line="250" w:lineRule="auto"/>
        <w:rPr>
          <w:sz w:val="20"/>
          <w:szCs w:val="20"/>
          <w:color w:val="auto"/>
        </w:rPr>
      </w:pPr>
      <w:r>
        <w:rPr>
          <w:rFonts w:ascii="Arial" w:cs="Arial" w:eastAsia="Arial" w:hAnsi="Arial"/>
          <w:sz w:val="22"/>
          <w:szCs w:val="22"/>
          <w:color w:val="auto"/>
        </w:rPr>
        <w:t>[***]. The payment of such interest shall not limit the Party entitled to receive payment from exercising any other rights it may have as a consequence of the lateness of any payment.</w:t>
      </w:r>
    </w:p>
    <w:p>
      <w:pPr>
        <w:spacing w:after="0" w:line="209"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18"/>
          <w:szCs w:val="18"/>
          <w:b w:val="1"/>
          <w:bCs w:val="1"/>
          <w:color w:val="auto"/>
        </w:rPr>
        <w:t>Taxes</w:t>
      </w:r>
    </w:p>
    <w:p>
      <w:pPr>
        <w:spacing w:after="0" w:line="233" w:lineRule="exact"/>
        <w:rPr>
          <w:sz w:val="20"/>
          <w:szCs w:val="20"/>
          <w:color w:val="auto"/>
        </w:rPr>
      </w:pPr>
    </w:p>
    <w:p>
      <w:pPr>
        <w:jc w:val="both"/>
        <w:ind w:right="20" w:firstLine="1497"/>
        <w:spacing w:after="0" w:line="239" w:lineRule="auto"/>
        <w:rPr>
          <w:sz w:val="20"/>
          <w:szCs w:val="20"/>
          <w:color w:val="auto"/>
        </w:rPr>
      </w:pPr>
      <w:r>
        <w:rPr>
          <w:rFonts w:ascii="Arial" w:cs="Arial" w:eastAsia="Arial" w:hAnsi="Arial"/>
          <w:sz w:val="22"/>
          <w:szCs w:val="22"/>
          <w:color w:val="auto"/>
        </w:rPr>
        <w:t>4.9.1</w:t>
      </w:r>
      <w:r>
        <w:rPr>
          <w:rFonts w:ascii="Arial" w:cs="Arial" w:eastAsia="Arial" w:hAnsi="Arial"/>
          <w:sz w:val="22"/>
          <w:szCs w:val="22"/>
          <w:b w:val="1"/>
          <w:bCs w:val="1"/>
          <w:color w:val="auto"/>
        </w:rPr>
        <w:t>Cooperation and Coordination</w:t>
      </w:r>
      <w:r>
        <w:rPr>
          <w:rFonts w:ascii="Arial" w:cs="Arial" w:eastAsia="Arial" w:hAnsi="Arial"/>
          <w:sz w:val="22"/>
          <w:szCs w:val="22"/>
          <w:color w:val="auto"/>
        </w:rPr>
        <w:t>. The Parties acknowledge and agree that it is their mutual objective and intent to minimize, to the extent feasible and in compliance with Applicable Laws, taxes payable with respect to their collaborative efforts under this Agreement and that they shall use reasonable efforts to cooperate and coordinate with each other to achieve such objective.</w:t>
      </w:r>
    </w:p>
    <w:p>
      <w:pPr>
        <w:spacing w:after="0" w:line="288" w:lineRule="exact"/>
        <w:rPr>
          <w:sz w:val="20"/>
          <w:szCs w:val="20"/>
          <w:color w:val="auto"/>
        </w:rPr>
      </w:pPr>
    </w:p>
    <w:p>
      <w:pPr>
        <w:jc w:val="both"/>
        <w:ind w:right="20" w:firstLine="1497"/>
        <w:spacing w:after="0" w:line="256" w:lineRule="auto"/>
        <w:rPr>
          <w:sz w:val="20"/>
          <w:szCs w:val="20"/>
          <w:color w:val="auto"/>
        </w:rPr>
      </w:pPr>
      <w:r>
        <w:rPr>
          <w:rFonts w:ascii="Arial" w:cs="Arial" w:eastAsia="Arial" w:hAnsi="Arial"/>
          <w:sz w:val="22"/>
          <w:szCs w:val="22"/>
          <w:color w:val="auto"/>
        </w:rPr>
        <w:t>4.9.2</w:t>
      </w:r>
      <w:r>
        <w:rPr>
          <w:rFonts w:ascii="Arial" w:cs="Arial" w:eastAsia="Arial" w:hAnsi="Arial"/>
          <w:sz w:val="22"/>
          <w:szCs w:val="22"/>
          <w:b w:val="1"/>
          <w:bCs w:val="1"/>
          <w:color w:val="auto"/>
        </w:rPr>
        <w:t>Payment of Tax</w:t>
      </w:r>
      <w:r>
        <w:rPr>
          <w:rFonts w:ascii="Arial" w:cs="Arial" w:eastAsia="Arial" w:hAnsi="Arial"/>
          <w:sz w:val="22"/>
          <w:szCs w:val="22"/>
          <w:color w:val="auto"/>
        </w:rPr>
        <w:t>. The upfront, milestones, Royalties and other amounts payable by Fulcrum to CAMP4 under this Agreement (each, a “</w:t>
      </w:r>
      <w:r>
        <w:rPr>
          <w:rFonts w:ascii="Arial" w:cs="Arial" w:eastAsia="Arial" w:hAnsi="Arial"/>
          <w:sz w:val="22"/>
          <w:szCs w:val="22"/>
          <w:b w:val="1"/>
          <w:bCs w:val="1"/>
          <w:i w:val="1"/>
          <w:iCs w:val="1"/>
          <w:color w:val="auto"/>
        </w:rPr>
        <w:t>Payment</w:t>
      </w:r>
      <w:r>
        <w:rPr>
          <w:rFonts w:ascii="Arial" w:cs="Arial" w:eastAsia="Arial" w:hAnsi="Arial"/>
          <w:sz w:val="22"/>
          <w:szCs w:val="22"/>
          <w:color w:val="auto"/>
        </w:rPr>
        <w:t>”) shall be [***].</w:t>
      </w:r>
    </w:p>
    <w:p>
      <w:pPr>
        <w:spacing w:after="0" w:line="189"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color w:val="auto"/>
        </w:rPr>
        <w:t>4.10</w:t>
      </w:r>
      <w:r>
        <w:rPr>
          <w:rFonts w:ascii="Arial" w:cs="Arial" w:eastAsia="Arial" w:hAnsi="Arial"/>
          <w:sz w:val="19"/>
          <w:szCs w:val="19"/>
          <w:b w:val="1"/>
          <w:bCs w:val="1"/>
          <w:color w:val="auto"/>
        </w:rPr>
        <w:t>Assignment of Rights to Milestone Payments and Royalties</w:t>
      </w:r>
      <w:r>
        <w:rPr>
          <w:rFonts w:ascii="Arial" w:cs="Arial" w:eastAsia="Arial" w:hAnsi="Arial"/>
          <w:sz w:val="19"/>
          <w:szCs w:val="19"/>
          <w:color w:val="auto"/>
        </w:rPr>
        <w:t>. CAMP4 may assign its rights to Milestone Payments and Royalty payments to a Third Party (but not more than one Third Party at any given time during the Term); provided, that in no event shall Fulcrum be required to make Milestone Payments or Royalty payments to more than one Person (including CAMP4) and in no event shall such assignment affect the currency in which payments are to be made, payment terms, tax responsibilities or other financial obligations of Fulcrum.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33"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INTELLECTUAL PROPERTY</w:t>
      </w:r>
    </w:p>
    <w:p>
      <w:pPr>
        <w:spacing w:after="0" w:line="206"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Patent Prosecution and Maintenance</w:t>
      </w:r>
      <w:r>
        <w:rPr>
          <w:rFonts w:ascii="Arial" w:cs="Arial" w:eastAsia="Arial" w:hAnsi="Arial"/>
          <w:sz w:val="19"/>
          <w:szCs w:val="19"/>
          <w:color w:val="auto"/>
        </w:rPr>
        <w:t>.</w:t>
      </w:r>
    </w:p>
    <w:p>
      <w:pPr>
        <w:spacing w:after="0" w:line="314"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5.1.1</w:t>
      </w:r>
      <w:r>
        <w:rPr>
          <w:rFonts w:ascii="Arial" w:cs="Arial" w:eastAsia="Arial" w:hAnsi="Arial"/>
          <w:sz w:val="22"/>
          <w:szCs w:val="22"/>
          <w:b w:val="1"/>
          <w:bCs w:val="1"/>
          <w:color w:val="auto"/>
        </w:rPr>
        <w:t>CAMP4-Assignee Patents</w:t>
      </w:r>
      <w:r>
        <w:rPr>
          <w:rFonts w:ascii="Arial" w:cs="Arial" w:eastAsia="Arial" w:hAnsi="Arial"/>
          <w:sz w:val="22"/>
          <w:szCs w:val="22"/>
          <w:color w:val="auto"/>
        </w:rPr>
        <w:t>. Fulcrum shall have control over Prosecution and Maintenance of the CAMP4-Assignee Patents [***], provided that Fulcrum shall notify CAMP4 of its intention to suspend or cease any Prosecution and Maintenance of any Licensed Patent and provide such notice no less than [***] prior to any filing or payment due date, or any other due date that requires action, in connection with such Licensed Patent. In such event, Fulcrum shall permit CAMP4, at CAMP4’s discretion [***], to continue Prosecution and Maintenance of such Licensed Patent.</w:t>
      </w:r>
    </w:p>
    <w:p>
      <w:pPr>
        <w:spacing w:after="0" w:line="209"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5.1.2</w:t>
      </w:r>
      <w:r>
        <w:rPr>
          <w:rFonts w:ascii="Arial" w:cs="Arial" w:eastAsia="Arial" w:hAnsi="Arial"/>
          <w:sz w:val="19"/>
          <w:szCs w:val="19"/>
          <w:b w:val="1"/>
          <w:bCs w:val="1"/>
          <w:color w:val="auto"/>
        </w:rPr>
        <w:t>CMCC-Licensed Patents</w:t>
      </w:r>
      <w:r>
        <w:rPr>
          <w:rFonts w:ascii="Arial" w:cs="Arial" w:eastAsia="Arial" w:hAnsi="Arial"/>
          <w:sz w:val="19"/>
          <w:szCs w:val="19"/>
          <w:color w:val="auto"/>
        </w:rPr>
        <w:t>. Fulcrum acknowledges that, pursuant to the terms of the CMCC License Agreement, CMCC has the primary responsibility for the Prosecution and Maintenance of the CMCC-Licensed Patents. To the extent to which CAMP4 has the right under the CMCC License Agreement to provide input into the Prosecution and Maintenance of the CMCC-Licensed Patents, CAMP4 shall permit Fulcrum to exercise such rights on CAMP4’s behalf. Without limitation to the generality of the foregoing, CAMP4 shall promptly share with Fulcrum the information that CAMP4 receives pursuant to Article VII of the CMCC License Agreement, shall provide Fulcrum with reasonable opportunity to comment on the Prosecution and Maintenance of the CMCC-Licensed Patents, shall share Fulcrum’s comments with CMCC’s patent counsel or arrange for Fulcrum to communicate directly with CMCC’s patent counsel, and act in accordance with Fulcrum’s instructions as regards any decision to no longer pay the expenses of Prosecuting and Maintaining any CMCC-Licensed Patent. In the event that CMCC elects not to Prosecute and Maintain a CMCC-Licensed Patent, CAMP4 shall promptly notify Fulcrum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343535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429" w:right="1039" w:bottom="1440" w:gutter="0" w:footer="0" w:header="0"/>
        </w:sectPr>
      </w:pPr>
    </w:p>
    <w:bookmarkStart w:id="102" w:name="page103"/>
    <w:bookmarkEnd w:id="102"/>
    <w:p>
      <w:pPr>
        <w:jc w:val="both"/>
        <w:spacing w:after="0" w:line="238" w:lineRule="auto"/>
        <w:rPr>
          <w:sz w:val="20"/>
          <w:szCs w:val="20"/>
          <w:color w:val="auto"/>
        </w:rPr>
      </w:pPr>
      <w:r>
        <w:rPr>
          <w:rFonts w:ascii="Arial" w:cs="Arial" w:eastAsia="Arial" w:hAnsi="Arial"/>
          <w:sz w:val="22"/>
          <w:szCs w:val="22"/>
          <w:color w:val="auto"/>
        </w:rPr>
        <w:t>notifications it receives from CMCC pursuant to Article VII C of the CMCC License Agreement, and follow Fulcrum’s directions as to whether or not to assume Prosecution and Maintenance of such CMCC-Licensed Patent. CAMP4 shall permit Fulcrum to exercise, at Fulcrum’s discretion, CAMP4’s step-in rights under Article VII C of the CMCC License Agreement.</w:t>
      </w:r>
    </w:p>
    <w:p>
      <w:pPr>
        <w:spacing w:after="0" w:line="287" w:lineRule="exact"/>
        <w:rPr>
          <w:sz w:val="20"/>
          <w:szCs w:val="20"/>
          <w:color w:val="auto"/>
        </w:rPr>
      </w:pPr>
    </w:p>
    <w:p>
      <w:pPr>
        <w:jc w:val="both"/>
        <w:ind w:firstLine="1497"/>
        <w:spacing w:after="0" w:line="289" w:lineRule="auto"/>
        <w:rPr>
          <w:sz w:val="20"/>
          <w:szCs w:val="20"/>
          <w:color w:val="auto"/>
        </w:rPr>
      </w:pPr>
      <w:r>
        <w:rPr>
          <w:rFonts w:ascii="Arial" w:cs="Arial" w:eastAsia="Arial" w:hAnsi="Arial"/>
          <w:sz w:val="19"/>
          <w:szCs w:val="19"/>
          <w:color w:val="auto"/>
        </w:rPr>
        <w:t>5.1.3</w:t>
      </w:r>
      <w:r>
        <w:rPr>
          <w:rFonts w:ascii="Arial" w:cs="Arial" w:eastAsia="Arial" w:hAnsi="Arial"/>
          <w:sz w:val="19"/>
          <w:szCs w:val="19"/>
          <w:b w:val="1"/>
          <w:bCs w:val="1"/>
          <w:color w:val="auto"/>
        </w:rPr>
        <w:t>Costs of Prosecuting CMCC-Licensed Patents</w:t>
      </w:r>
      <w:r>
        <w:rPr>
          <w:rFonts w:ascii="Arial" w:cs="Arial" w:eastAsia="Arial" w:hAnsi="Arial"/>
          <w:sz w:val="19"/>
          <w:szCs w:val="19"/>
          <w:color w:val="auto"/>
        </w:rPr>
        <w:t>. As between the Parties, Fulcrum will be responsible for the costs of preparation, filing, prosecution, and maintenance of the CMCC-Licensed Patents during the Term. During the Term, CAMP4 will invoice Fulcrum for payments made by CAMP4 to CMCC pursuant to Article IV A 2 of the CMCC License Agreement and Fulcrum will pay each such invoice no later than [***].</w:t>
      </w:r>
    </w:p>
    <w:p>
      <w:pPr>
        <w:spacing w:after="0" w:line="176"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Infringement or Misappropriation by Third Parties</w:t>
      </w:r>
      <w:r>
        <w:rPr>
          <w:rFonts w:ascii="Arial" w:cs="Arial" w:eastAsia="Arial" w:hAnsi="Arial"/>
          <w:sz w:val="19"/>
          <w:szCs w:val="19"/>
          <w:color w:val="auto"/>
        </w:rPr>
        <w:t>.</w:t>
      </w:r>
    </w:p>
    <w:p>
      <w:pPr>
        <w:spacing w:after="0" w:line="233"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5.2.1</w:t>
      </w:r>
      <w:r>
        <w:rPr>
          <w:rFonts w:ascii="Arial" w:cs="Arial" w:eastAsia="Arial" w:hAnsi="Arial"/>
          <w:sz w:val="22"/>
          <w:szCs w:val="22"/>
          <w:b w:val="1"/>
          <w:bCs w:val="1"/>
          <w:color w:val="auto"/>
        </w:rPr>
        <w:t>Notice</w:t>
      </w:r>
      <w:r>
        <w:rPr>
          <w:rFonts w:ascii="Arial" w:cs="Arial" w:eastAsia="Arial" w:hAnsi="Arial"/>
          <w:sz w:val="22"/>
          <w:szCs w:val="22"/>
          <w:color w:val="auto"/>
        </w:rPr>
        <w:t>. Each Party shall notify the other within [***] of becoming aware of any alleged or threatened infringement by a Third Party of any of the Licensed Patents, which infringing activity involves the using, making, importing, offering for sale, or selling a Licensed Product or compound, product or therapy competitive to a Licensed Product, in each case in the Field in the Territory, and any related declaratory judgment, opposition, or similar action alleging the invalidity, unenforceability or non-infringement of any of the Licensed Patents (collectively “</w:t>
      </w:r>
      <w:r>
        <w:rPr>
          <w:rFonts w:ascii="Arial" w:cs="Arial" w:eastAsia="Arial" w:hAnsi="Arial"/>
          <w:sz w:val="22"/>
          <w:szCs w:val="22"/>
          <w:b w:val="1"/>
          <w:bCs w:val="1"/>
          <w:i w:val="1"/>
          <w:iCs w:val="1"/>
          <w:color w:val="auto"/>
        </w:rPr>
        <w:t>Infringement</w:t>
      </w:r>
      <w:r>
        <w:rPr>
          <w:rFonts w:ascii="Arial" w:cs="Arial" w:eastAsia="Arial" w:hAnsi="Arial"/>
          <w:sz w:val="22"/>
          <w:szCs w:val="22"/>
          <w:color w:val="auto"/>
        </w:rPr>
        <w:t>”).</w:t>
      </w:r>
    </w:p>
    <w:p>
      <w:pPr>
        <w:spacing w:after="0" w:line="222"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5.2.2</w:t>
      </w:r>
      <w:r>
        <w:rPr>
          <w:rFonts w:ascii="Arial" w:cs="Arial" w:eastAsia="Arial" w:hAnsi="Arial"/>
          <w:sz w:val="19"/>
          <w:szCs w:val="19"/>
          <w:b w:val="1"/>
          <w:bCs w:val="1"/>
          <w:color w:val="auto"/>
        </w:rPr>
        <w:t>Control of Infringement Actions</w:t>
      </w:r>
      <w:r>
        <w:rPr>
          <w:rFonts w:ascii="Arial" w:cs="Arial" w:eastAsia="Arial" w:hAnsi="Arial"/>
          <w:sz w:val="19"/>
          <w:szCs w:val="19"/>
          <w:color w:val="auto"/>
        </w:rPr>
        <w:t>. Subject to CMCC’s rights in Article VIII of the CMCC License Agreement for CMCC-Licensed Patents, Fulcrum shall have the first right to bring and control any legal action in connection with any Infringement of any Licensed Patent at its own expense. Fulcrum shall keep CAMP4 reasonably informed of the status of such enforcement efforts for such Licensed Patent and shall consider in good faith CAMP4’s comments thereon. CAMP4 may, at its own expense, be represented in any such action by counsel of its own choice. If Fulcrum does not exercise its right to bring or defend proceedings or otherwise take diligent and reasonable steps to abate the actual or suspected Infringement or challenge to a Licensed Patent within (a) [***] of the written notification pursuant to Section 5.2.1, (b) [***] before the time limit, or (c) [***] then CAMP4 may bring and control any legal action in connection with such Infringement of such Licensed Patent at its own expense as it reasonably determines appropriate so long as Fulcrum does not reasonably object to such action.</w:t>
      </w:r>
    </w:p>
    <w:p>
      <w:pPr>
        <w:spacing w:after="0" w:line="192" w:lineRule="exact"/>
        <w:rPr>
          <w:sz w:val="20"/>
          <w:szCs w:val="20"/>
          <w:color w:val="auto"/>
        </w:rPr>
      </w:pPr>
    </w:p>
    <w:p>
      <w:pPr>
        <w:jc w:val="both"/>
        <w:ind w:right="20" w:firstLine="1497"/>
        <w:spacing w:after="0" w:line="239" w:lineRule="auto"/>
        <w:rPr>
          <w:sz w:val="20"/>
          <w:szCs w:val="20"/>
          <w:color w:val="auto"/>
        </w:rPr>
      </w:pPr>
      <w:r>
        <w:rPr>
          <w:rFonts w:ascii="Arial" w:cs="Arial" w:eastAsia="Arial" w:hAnsi="Arial"/>
          <w:sz w:val="22"/>
          <w:szCs w:val="22"/>
          <w:color w:val="auto"/>
        </w:rPr>
        <w:t>5.2.3</w:t>
      </w:r>
      <w:r>
        <w:rPr>
          <w:rFonts w:ascii="Arial" w:cs="Arial" w:eastAsia="Arial" w:hAnsi="Arial"/>
          <w:sz w:val="22"/>
          <w:szCs w:val="22"/>
          <w:b w:val="1"/>
          <w:bCs w:val="1"/>
          <w:color w:val="auto"/>
        </w:rPr>
        <w:t>Allocation of Recoveries</w:t>
      </w:r>
      <w:r>
        <w:rPr>
          <w:rFonts w:ascii="Arial" w:cs="Arial" w:eastAsia="Arial" w:hAnsi="Arial"/>
          <w:sz w:val="22"/>
          <w:szCs w:val="22"/>
          <w:color w:val="auto"/>
        </w:rPr>
        <w:t>. Any recoveries resulting from an enforcement action relating to a claim of Infringement shall be first paid, to the extent such recoveries are allocable to [***], and then applied against payment of each Party’s costs and expenses in connection therewith. Any remaining recoveries will then be allocated [***] to the enforcing Party and [***] to the non-enforcing Party.</w:t>
      </w:r>
    </w:p>
    <w:p>
      <w:pPr>
        <w:spacing w:after="0" w:line="221"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1"/>
          <w:szCs w:val="21"/>
          <w:color w:val="auto"/>
        </w:rPr>
        <w:t>5.2.4</w:t>
      </w:r>
      <w:r>
        <w:rPr>
          <w:rFonts w:ascii="Arial" w:cs="Arial" w:eastAsia="Arial" w:hAnsi="Arial"/>
          <w:sz w:val="21"/>
          <w:szCs w:val="21"/>
          <w:b w:val="1"/>
          <w:bCs w:val="1"/>
          <w:color w:val="auto"/>
        </w:rPr>
        <w:t>Cooperation</w:t>
      </w:r>
      <w:r>
        <w:rPr>
          <w:rFonts w:ascii="Arial" w:cs="Arial" w:eastAsia="Arial" w:hAnsi="Arial"/>
          <w:sz w:val="21"/>
          <w:szCs w:val="21"/>
          <w:color w:val="auto"/>
        </w:rPr>
        <w:t>. At the request and expense of the Party controlling an action under this Section 5.2, the other Party shall provide reasonable assistance in connection therewith, including by executing reasonably appropriate documents, cooperating in discovery and joining as a party to the action if required by Applicable Law to pursue such action. CAMP4 shall, [***]. In connection with any such enforcement action, the Party bringing the action shall not enter into any settlement admitting (a) the invalidity or non-infringement of, or otherwise impairing the other Party’s rights in the applicable Licensed Patents, (b) imposes any financial liability or other obligation on the part of the other Party, or (c) requires an admission of liability, wrongdoing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357505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fault or a waiver of rights on the part of the other Party, without the prior written consent of the other Party.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247" w:lineRule="exact"/>
        <w:rPr>
          <w:sz w:val="20"/>
          <w:szCs w:val="20"/>
          <w:color w:val="auto"/>
        </w:rPr>
      </w:pPr>
    </w:p>
    <w:p>
      <w:pPr>
        <w:ind w:left="740"/>
        <w:spacing w:after="0"/>
        <w:rPr>
          <w:sz w:val="20"/>
          <w:szCs w:val="20"/>
          <w:color w:val="auto"/>
        </w:rPr>
      </w:pPr>
      <w:r>
        <w:rPr>
          <w:rFonts w:ascii="Arial" w:cs="Arial" w:eastAsia="Arial" w:hAnsi="Arial"/>
          <w:sz w:val="19"/>
          <w:szCs w:val="19"/>
          <w:color w:val="auto"/>
        </w:rPr>
        <w:t>6.1</w:t>
      </w:r>
      <w:r>
        <w:rPr>
          <w:rFonts w:ascii="Arial" w:cs="Arial" w:eastAsia="Arial" w:hAnsi="Arial"/>
          <w:sz w:val="19"/>
          <w:szCs w:val="19"/>
          <w:b w:val="1"/>
          <w:bCs w:val="1"/>
          <w:color w:val="auto"/>
        </w:rPr>
        <w:t>Mutual Representations and Warranties</w:t>
      </w:r>
      <w:r>
        <w:rPr>
          <w:rFonts w:ascii="Arial" w:cs="Arial" w:eastAsia="Arial" w:hAnsi="Arial"/>
          <w:sz w:val="19"/>
          <w:szCs w:val="19"/>
          <w:color w:val="auto"/>
        </w:rPr>
        <w:t>. Each of Fulcrum and CAMP4 represents and warrants, as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Effective Date, that:</w:t>
      </w:r>
    </w:p>
    <w:p>
      <w:pPr>
        <w:spacing w:after="0" w:line="215" w:lineRule="exact"/>
        <w:rPr>
          <w:sz w:val="20"/>
          <w:szCs w:val="20"/>
          <w:color w:val="auto"/>
        </w:rPr>
      </w:pPr>
    </w:p>
    <w:p>
      <w:pPr>
        <w:jc w:val="both"/>
        <w:ind w:right="20" w:firstLine="1497"/>
        <w:spacing w:after="0"/>
        <w:rPr>
          <w:sz w:val="20"/>
          <w:szCs w:val="20"/>
          <w:color w:val="auto"/>
        </w:rPr>
      </w:pPr>
      <w:r>
        <w:rPr>
          <w:rFonts w:ascii="Arial" w:cs="Arial" w:eastAsia="Arial" w:hAnsi="Arial"/>
          <w:sz w:val="22"/>
          <w:szCs w:val="22"/>
          <w:color w:val="auto"/>
        </w:rPr>
        <w:t>6.1.1it is duly organized and validly existing under in the Applicable Laws of the jurisdiction of its incorporation or formation, as applicable, and has full corporate, limited liability company or other power and authority, as applicable, to enter into this Agreement;</w:t>
      </w:r>
    </w:p>
    <w:p>
      <w:pPr>
        <w:spacing w:after="0" w:line="22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6.1.2it is duly authorized to execute and deliver this Agreement and to perform its obligations hereunder, and the individual executing this Agreement on its behalf has been duly authorized to do so by all requisite corporate, limited liability company or other action, as applicable; and</w:t>
      </w:r>
    </w:p>
    <w:p>
      <w:pPr>
        <w:spacing w:after="0" w:line="227"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6.1.3this Agreement is legally binding upon it and enforceable in accordance with its terms (except as the enforceability thereof may be limited by bankruptcy, bank moratorium or similar laws affecting creditors’ rights generally and laws restricting the availability of equitable remedies and may be subject to general principles of equity whether or not such enforceability is considered in a proceeding at law or in equity) and the execution, delivery and performance of this Agreement by it have been duly authorized by all necessary corporate action and do not and will not: (a) conflict with, or constitute a default or result in a breach under, any agreement, instrument or understanding, oral or written, to which it is a party or by which it may be bound, or violate any Applicable Law; or (b) require any consent or approval of its stockholders or similar.</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9"/>
          <w:szCs w:val="19"/>
          <w:color w:val="auto"/>
        </w:rPr>
        <w:t>6.2</w:t>
      </w:r>
      <w:r>
        <w:rPr>
          <w:rFonts w:ascii="Arial" w:cs="Arial" w:eastAsia="Arial" w:hAnsi="Arial"/>
          <w:sz w:val="19"/>
          <w:szCs w:val="19"/>
          <w:b w:val="1"/>
          <w:bCs w:val="1"/>
          <w:color w:val="auto"/>
        </w:rPr>
        <w:t>CAMP4 Representations and Warranties</w:t>
      </w:r>
      <w:r>
        <w:rPr>
          <w:rFonts w:ascii="Arial" w:cs="Arial" w:eastAsia="Arial" w:hAnsi="Arial"/>
          <w:sz w:val="19"/>
          <w:szCs w:val="19"/>
          <w:color w:val="auto"/>
        </w:rPr>
        <w:t>. CAMP4 represents and warrants to Fulcrum that, as of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Effective Date:</w:t>
      </w:r>
    </w:p>
    <w:p>
      <w:pPr>
        <w:spacing w:after="0" w:line="223"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22"/>
          <w:szCs w:val="22"/>
          <w:color w:val="auto"/>
        </w:rPr>
        <w:t>6.2.1</w:t>
      </w:r>
      <w:r>
        <w:rPr>
          <w:rFonts w:ascii="Arial" w:cs="Arial" w:eastAsia="Arial" w:hAnsi="Arial"/>
          <w:sz w:val="22"/>
          <w:szCs w:val="22"/>
          <w:b w:val="1"/>
          <w:bCs w:val="1"/>
          <w:color w:val="auto"/>
        </w:rPr>
        <w:t>No Grants that Conflict with this Agreement</w:t>
      </w:r>
      <w:r>
        <w:rPr>
          <w:rFonts w:ascii="Arial" w:cs="Arial" w:eastAsia="Arial" w:hAnsi="Arial"/>
          <w:sz w:val="22"/>
          <w:szCs w:val="22"/>
          <w:color w:val="auto"/>
        </w:rPr>
        <w:t>. CAMP4 and its Affiliates have not granted any rights (or other encumbrances) to any Third Party to the Licensed Patents, CMCC Know-How or CAMP4 Know-How that prevent or conflict with the rights granted to Fulcrum hereunder.</w:t>
      </w:r>
    </w:p>
    <w:p>
      <w:pPr>
        <w:spacing w:after="0" w:line="217" w:lineRule="exact"/>
        <w:rPr>
          <w:sz w:val="20"/>
          <w:szCs w:val="20"/>
          <w:color w:val="auto"/>
        </w:rPr>
      </w:pPr>
    </w:p>
    <w:p>
      <w:pPr>
        <w:jc w:val="both"/>
        <w:ind w:firstLine="1497"/>
        <w:spacing w:after="0" w:line="289" w:lineRule="auto"/>
        <w:rPr>
          <w:sz w:val="20"/>
          <w:szCs w:val="20"/>
          <w:color w:val="auto"/>
        </w:rPr>
      </w:pPr>
      <w:r>
        <w:rPr>
          <w:rFonts w:ascii="Arial" w:cs="Arial" w:eastAsia="Arial" w:hAnsi="Arial"/>
          <w:sz w:val="19"/>
          <w:szCs w:val="19"/>
          <w:color w:val="auto"/>
        </w:rPr>
        <w:t>6.2.2</w:t>
      </w:r>
      <w:r>
        <w:rPr>
          <w:rFonts w:ascii="Arial" w:cs="Arial" w:eastAsia="Arial" w:hAnsi="Arial"/>
          <w:sz w:val="19"/>
          <w:szCs w:val="19"/>
          <w:b w:val="1"/>
          <w:bCs w:val="1"/>
          <w:color w:val="auto"/>
        </w:rPr>
        <w:t>Control over Know-How and Licensed Patents</w:t>
      </w:r>
      <w:r>
        <w:rPr>
          <w:rFonts w:ascii="Arial" w:cs="Arial" w:eastAsia="Arial" w:hAnsi="Arial"/>
          <w:sz w:val="19"/>
          <w:szCs w:val="19"/>
          <w:color w:val="auto"/>
        </w:rPr>
        <w:t>. The CAMP4 Know- How, CMCC Know-How and Licensed Patents include all Know-How and Patents owned or licensed by CAMP4 as of the Effective Date, that are necessary or reasonably useful for the Research, Development, Manufacturing, use or Commercialization of the Licensed Products as known by CAMP4 as contemplated by this Agreement as of the Effective Date.</w:t>
      </w:r>
    </w:p>
    <w:p>
      <w:pPr>
        <w:spacing w:after="0" w:line="163" w:lineRule="exact"/>
        <w:rPr>
          <w:sz w:val="20"/>
          <w:szCs w:val="20"/>
          <w:color w:val="auto"/>
        </w:rPr>
      </w:pPr>
    </w:p>
    <w:p>
      <w:pPr>
        <w:ind w:left="1500"/>
        <w:spacing w:after="0"/>
        <w:tabs>
          <w:tab w:leader="none" w:pos="2220" w:val="left"/>
        </w:tabs>
        <w:rPr>
          <w:sz w:val="20"/>
          <w:szCs w:val="20"/>
          <w:color w:val="auto"/>
        </w:rPr>
      </w:pPr>
      <w:r>
        <w:rPr>
          <w:rFonts w:ascii="Arial" w:cs="Arial" w:eastAsia="Arial" w:hAnsi="Arial"/>
          <w:sz w:val="22"/>
          <w:szCs w:val="22"/>
          <w:color w:val="auto"/>
        </w:rPr>
        <w:t>6.2.3</w:t>
      </w:r>
      <w:r>
        <w:rPr>
          <w:sz w:val="20"/>
          <w:szCs w:val="20"/>
          <w:color w:val="auto"/>
        </w:rPr>
        <w:tab/>
      </w:r>
      <w:r>
        <w:rPr>
          <w:rFonts w:ascii="Arial" w:cs="Arial" w:eastAsia="Arial" w:hAnsi="Arial"/>
          <w:sz w:val="18"/>
          <w:szCs w:val="18"/>
          <w:b w:val="1"/>
          <w:bCs w:val="1"/>
          <w:color w:val="auto"/>
        </w:rPr>
        <w:t>Licensed Patents</w:t>
      </w:r>
      <w:r>
        <w:rPr>
          <w:rFonts w:ascii="Arial" w:cs="Arial" w:eastAsia="Arial" w:hAnsi="Arial"/>
          <w:sz w:val="18"/>
          <w:szCs w:val="18"/>
          <w:color w:val="auto"/>
        </w:rPr>
        <w:t>.</w:t>
      </w:r>
    </w:p>
    <w:p>
      <w:pPr>
        <w:spacing w:after="0" w:line="253" w:lineRule="exact"/>
        <w:rPr>
          <w:sz w:val="20"/>
          <w:szCs w:val="20"/>
          <w:color w:val="auto"/>
        </w:rPr>
      </w:pPr>
    </w:p>
    <w:p>
      <w:pPr>
        <w:jc w:val="both"/>
        <w:ind w:right="20" w:firstLine="2246"/>
        <w:spacing w:after="0"/>
        <w:rPr>
          <w:sz w:val="20"/>
          <w:szCs w:val="20"/>
          <w:color w:val="auto"/>
        </w:rPr>
      </w:pPr>
      <w:r>
        <w:rPr>
          <w:rFonts w:ascii="Arial" w:cs="Arial" w:eastAsia="Arial" w:hAnsi="Arial"/>
          <w:sz w:val="22"/>
          <w:szCs w:val="22"/>
          <w:color w:val="auto"/>
        </w:rPr>
        <w:t>(a)The CAMP4-Assignee Patents are solely and exclusively owned by CAMP4, free of any encumbrance, lien or claim of ownership by any Third Party, and the CMCC- Licensed Patents are licensed to CAMP4 pursuant to the terms of the CMCC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359410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sectPr>
      </w:pPr>
    </w:p>
    <w:bookmarkStart w:id="104" w:name="page105"/>
    <w:bookmarkEnd w:id="104"/>
    <w:p>
      <w:pPr>
        <w:jc w:val="both"/>
        <w:ind w:left="9" w:firstLine="2246"/>
        <w:spacing w:after="0" w:line="246" w:lineRule="auto"/>
        <w:rPr>
          <w:sz w:val="20"/>
          <w:szCs w:val="20"/>
          <w:color w:val="auto"/>
        </w:rPr>
      </w:pPr>
      <w:r>
        <w:rPr>
          <w:rFonts w:ascii="Arial" w:cs="Arial" w:eastAsia="Arial" w:hAnsi="Arial"/>
          <w:sz w:val="21"/>
          <w:szCs w:val="21"/>
          <w:color w:val="auto"/>
        </w:rPr>
        <w:t xml:space="preserve">(b)All Licensed Patents existing as of the Effective Date that are issued or subject to a pending application for issuance are listed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all such Licensed Patents are, to CAMP4’s knowledge: (i) to the extent issued (unless otherwise indicated on </w:t>
      </w:r>
      <w:r>
        <w:rPr>
          <w:rFonts w:ascii="Arial" w:cs="Arial" w:eastAsia="Arial" w:hAnsi="Arial"/>
          <w:sz w:val="21"/>
          <w:szCs w:val="21"/>
          <w:u w:val="single" w:color="auto"/>
          <w:color w:val="auto"/>
        </w:rPr>
        <w:t>Exhibit A</w:t>
      </w:r>
      <w:r>
        <w:rPr>
          <w:rFonts w:ascii="Arial" w:cs="Arial" w:eastAsia="Arial" w:hAnsi="Arial"/>
          <w:sz w:val="21"/>
          <w:szCs w:val="21"/>
          <w:color w:val="auto"/>
        </w:rPr>
        <w:t>), subsisting and not invalid or unenforceable, in whole or in part; (ii) to the extent subject to a pending application for issuance, being diligently prosecuted in the respective patent offices in which such applications have been filed in accordance with Applicable Law and all relevant references, documents and information have been presented to the relevant patent examiner at the relevant patent office; and (iii) filed and maintained properly and correctly, and all applicable fees applicable thereto have been paid on or before the due date for payment.</w:t>
      </w:r>
    </w:p>
    <w:p>
      <w:pPr>
        <w:spacing w:after="0" w:line="207" w:lineRule="exact"/>
        <w:rPr>
          <w:sz w:val="20"/>
          <w:szCs w:val="20"/>
          <w:color w:val="auto"/>
        </w:rPr>
      </w:pPr>
    </w:p>
    <w:p>
      <w:pPr>
        <w:jc w:val="both"/>
        <w:ind w:left="9" w:right="20" w:firstLine="2246"/>
        <w:spacing w:after="0" w:line="250" w:lineRule="auto"/>
        <w:rPr>
          <w:sz w:val="20"/>
          <w:szCs w:val="20"/>
          <w:color w:val="auto"/>
        </w:rPr>
      </w:pPr>
      <w:r>
        <w:rPr>
          <w:rFonts w:ascii="Arial" w:cs="Arial" w:eastAsia="Arial" w:hAnsi="Arial"/>
          <w:sz w:val="22"/>
          <w:szCs w:val="22"/>
          <w:color w:val="auto"/>
        </w:rPr>
        <w:t>(c)To CAMP4’s knowledge, no owner of a Licensed Patent has taken any action that would render any invention claimed in the Licensed Patents unpatentable.</w:t>
      </w:r>
    </w:p>
    <w:p>
      <w:pPr>
        <w:spacing w:after="0" w:line="209" w:lineRule="exact"/>
        <w:rPr>
          <w:sz w:val="20"/>
          <w:szCs w:val="20"/>
          <w:color w:val="auto"/>
        </w:rPr>
      </w:pPr>
    </w:p>
    <w:p>
      <w:pPr>
        <w:ind w:left="1509"/>
        <w:spacing w:after="0"/>
        <w:tabs>
          <w:tab w:leader="none" w:pos="2228" w:val="left"/>
        </w:tabs>
        <w:rPr>
          <w:sz w:val="20"/>
          <w:szCs w:val="20"/>
          <w:color w:val="auto"/>
        </w:rPr>
      </w:pPr>
      <w:r>
        <w:rPr>
          <w:rFonts w:ascii="Arial" w:cs="Arial" w:eastAsia="Arial" w:hAnsi="Arial"/>
          <w:sz w:val="22"/>
          <w:szCs w:val="22"/>
          <w:color w:val="auto"/>
        </w:rPr>
        <w:t>6.2.4</w:t>
      </w:r>
      <w:r>
        <w:rPr>
          <w:sz w:val="20"/>
          <w:szCs w:val="20"/>
          <w:color w:val="auto"/>
        </w:rPr>
        <w:tab/>
      </w:r>
      <w:r>
        <w:rPr>
          <w:rFonts w:ascii="Arial" w:cs="Arial" w:eastAsia="Arial" w:hAnsi="Arial"/>
          <w:sz w:val="19"/>
          <w:szCs w:val="19"/>
          <w:b w:val="1"/>
          <w:bCs w:val="1"/>
          <w:color w:val="auto"/>
        </w:rPr>
        <w:t>Litigation and Actions Relating to Intellectual Property</w:t>
      </w:r>
      <w:r>
        <w:rPr>
          <w:rFonts w:ascii="Arial" w:cs="Arial" w:eastAsia="Arial" w:hAnsi="Arial"/>
          <w:sz w:val="19"/>
          <w:szCs w:val="19"/>
          <w:color w:val="auto"/>
        </w:rPr>
        <w:t>. CAMP4:</w:t>
      </w:r>
    </w:p>
    <w:p>
      <w:pPr>
        <w:spacing w:after="0" w:line="14" w:lineRule="exact"/>
        <w:rPr>
          <w:sz w:val="20"/>
          <w:szCs w:val="20"/>
          <w:color w:val="auto"/>
        </w:rPr>
      </w:pPr>
    </w:p>
    <w:p>
      <w:pPr>
        <w:jc w:val="both"/>
        <w:ind w:left="9" w:hanging="9"/>
        <w:spacing w:after="0" w:line="273" w:lineRule="auto"/>
        <w:tabs>
          <w:tab w:leader="none" w:pos="303" w:val="left"/>
        </w:tabs>
        <w:numPr>
          <w:ilvl w:val="0"/>
          <w:numId w:val="57"/>
        </w:numPr>
        <w:rPr>
          <w:rFonts w:ascii="Arial" w:cs="Arial" w:eastAsia="Arial" w:hAnsi="Arial"/>
          <w:sz w:val="19"/>
          <w:szCs w:val="19"/>
          <w:color w:val="auto"/>
        </w:rPr>
      </w:pPr>
      <w:r>
        <w:rPr>
          <w:rFonts w:ascii="Arial" w:cs="Arial" w:eastAsia="Arial" w:hAnsi="Arial"/>
          <w:sz w:val="19"/>
          <w:szCs w:val="19"/>
          <w:color w:val="auto"/>
        </w:rPr>
        <w:t>has not received any written notice of any threatened claims or litigation seeking to invalidate or otherwise challenge the Licensed Patents, or CMCC, Harvard, DFCI, CAMP4’s or its Affiliates’ rights therein; (b) is not aware of any pending or threatened action, suit, proceeding or claim by a Third Party asserting that the practice of the Licensed Patents, CMCC Know-How or CAMP4 Know-How infringes or misappropriate or otherwise violates any Patent right, trade secret or other proprietary right of any Third Party; and (c) is not aware of any Patent right, trade secret or other proprietary right of any Third Party that would be infringed, misappropriated or otherwise violated by the future making, using, selling, importing or exporting of a Licensed Product under this Agreement.</w:t>
      </w:r>
    </w:p>
    <w:p>
      <w:pPr>
        <w:spacing w:after="0" w:line="261" w:lineRule="exact"/>
        <w:rPr>
          <w:sz w:val="20"/>
          <w:szCs w:val="20"/>
          <w:color w:val="auto"/>
        </w:rPr>
      </w:pPr>
    </w:p>
    <w:p>
      <w:pPr>
        <w:jc w:val="both"/>
        <w:ind w:left="9" w:firstLine="1497"/>
        <w:spacing w:after="0" w:line="236" w:lineRule="auto"/>
        <w:rPr>
          <w:sz w:val="20"/>
          <w:szCs w:val="20"/>
          <w:color w:val="auto"/>
        </w:rPr>
      </w:pPr>
      <w:r>
        <w:rPr>
          <w:rFonts w:ascii="Arial" w:cs="Arial" w:eastAsia="Arial" w:hAnsi="Arial"/>
          <w:sz w:val="22"/>
          <w:szCs w:val="22"/>
          <w:color w:val="auto"/>
        </w:rPr>
        <w:t>6.2.5</w:t>
      </w:r>
      <w:r>
        <w:rPr>
          <w:rFonts w:ascii="Arial" w:cs="Arial" w:eastAsia="Arial" w:hAnsi="Arial"/>
          <w:sz w:val="22"/>
          <w:szCs w:val="22"/>
          <w:b w:val="1"/>
          <w:bCs w:val="1"/>
          <w:color w:val="auto"/>
        </w:rPr>
        <w:t>Other Material Claims and Actions</w:t>
      </w:r>
      <w:r>
        <w:rPr>
          <w:rFonts w:ascii="Arial" w:cs="Arial" w:eastAsia="Arial" w:hAnsi="Arial"/>
          <w:sz w:val="22"/>
          <w:szCs w:val="22"/>
          <w:color w:val="auto"/>
        </w:rPr>
        <w:t>. There are no claims, actions, or proceedings pending or, to CAMP4’s knowledge, threatened by any Third Party; nor, to CAMP4’s knowledge, are there any formal inquiries initiated or written notices received that may lead to the institution of any such legal proceedings, in each case (or in aggregate) against CAMP4 or its properties, assets or business, which if adversely decided, would, individually or in the aggregate, have a material adverse effect on, or prevent CAMP4’s ability to grant the licenses or rights granted to Fulcrum under this Agreement.</w:t>
      </w:r>
    </w:p>
    <w:p>
      <w:pPr>
        <w:spacing w:after="0" w:line="222" w:lineRule="exact"/>
        <w:rPr>
          <w:sz w:val="20"/>
          <w:szCs w:val="20"/>
          <w:color w:val="auto"/>
        </w:rPr>
      </w:pPr>
    </w:p>
    <w:p>
      <w:pPr>
        <w:jc w:val="both"/>
        <w:ind w:left="9" w:firstLine="1497"/>
        <w:spacing w:after="0" w:line="235" w:lineRule="auto"/>
        <w:rPr>
          <w:sz w:val="20"/>
          <w:szCs w:val="20"/>
          <w:color w:val="auto"/>
        </w:rPr>
      </w:pPr>
      <w:r>
        <w:rPr>
          <w:rFonts w:ascii="Arial" w:cs="Arial" w:eastAsia="Arial" w:hAnsi="Arial"/>
          <w:sz w:val="22"/>
          <w:szCs w:val="22"/>
          <w:color w:val="auto"/>
        </w:rPr>
        <w:t>6.2.6</w:t>
      </w:r>
      <w:r>
        <w:rPr>
          <w:rFonts w:ascii="Arial" w:cs="Arial" w:eastAsia="Arial" w:hAnsi="Arial"/>
          <w:sz w:val="22"/>
          <w:szCs w:val="22"/>
          <w:b w:val="1"/>
          <w:bCs w:val="1"/>
          <w:color w:val="auto"/>
        </w:rPr>
        <w:t>No Government Funding for Licensed Patents</w:t>
      </w:r>
      <w:r>
        <w:rPr>
          <w:rFonts w:ascii="Arial" w:cs="Arial" w:eastAsia="Arial" w:hAnsi="Arial"/>
          <w:sz w:val="22"/>
          <w:szCs w:val="22"/>
          <w:color w:val="auto"/>
        </w:rPr>
        <w:t>. The inventions that consist of or are claimed in the CAMP4-Assignee Patents: (a) were not conceived of, discovered, developed or otherwise made in connection with any research activities funded, in whole or in part, by the federal government of the United States of America or any agency thereof; (b) are not a “subject invention” as that term is described in 35 U.S.C. Section 201(e) and (c) are not otherwise subject to the provisions of the Patent and Trademark Law Amendments Act of 1980, as amended, codified at 35 U.S.C. §§ 200-212, as amended, as well as any regulations promulgated pursuant thereto, including in 37 C.F.R. Part 401.</w:t>
      </w:r>
    </w:p>
    <w:p>
      <w:pPr>
        <w:spacing w:after="0" w:line="210" w:lineRule="exact"/>
        <w:rPr>
          <w:sz w:val="20"/>
          <w:szCs w:val="20"/>
          <w:color w:val="auto"/>
        </w:rPr>
      </w:pPr>
    </w:p>
    <w:p>
      <w:pPr>
        <w:jc w:val="both"/>
        <w:ind w:left="9" w:firstLine="749"/>
        <w:spacing w:after="0" w:line="243" w:lineRule="auto"/>
        <w:rPr>
          <w:sz w:val="20"/>
          <w:szCs w:val="20"/>
          <w:color w:val="auto"/>
        </w:rPr>
      </w:pPr>
      <w:r>
        <w:rPr>
          <w:rFonts w:ascii="Arial" w:cs="Arial" w:eastAsia="Arial" w:hAnsi="Arial"/>
          <w:sz w:val="22"/>
          <w:szCs w:val="22"/>
          <w:color w:val="auto"/>
        </w:rPr>
        <w:t>6.3</w:t>
      </w:r>
      <w:r>
        <w:rPr>
          <w:rFonts w:ascii="Arial" w:cs="Arial" w:eastAsia="Arial" w:hAnsi="Arial"/>
          <w:sz w:val="22"/>
          <w:szCs w:val="22"/>
          <w:b w:val="1"/>
          <w:bCs w:val="1"/>
          <w:color w:val="auto"/>
        </w:rPr>
        <w:t>Covenants of CAMP4</w:t>
      </w:r>
      <w:r>
        <w:rPr>
          <w:rFonts w:ascii="Arial" w:cs="Arial" w:eastAsia="Arial" w:hAnsi="Arial"/>
          <w:sz w:val="22"/>
          <w:szCs w:val="22"/>
          <w:color w:val="auto"/>
        </w:rPr>
        <w:t>. CAMP4 and its Affiliates will not grant any rights (or other encumbrances) to any Third Party to the Licensed Patents, CMCC Know-How or CAMP4 Know-How that prevent or conflict with the rights granted to Fulcrum hereunder.</w:t>
      </w:r>
    </w:p>
    <w:p>
      <w:pPr>
        <w:spacing w:after="0" w:line="217" w:lineRule="exact"/>
        <w:rPr>
          <w:sz w:val="20"/>
          <w:szCs w:val="20"/>
          <w:color w:val="auto"/>
        </w:rPr>
      </w:pPr>
    </w:p>
    <w:p>
      <w:pPr>
        <w:jc w:val="both"/>
        <w:ind w:left="9" w:right="20" w:firstLine="749"/>
        <w:spacing w:after="0" w:line="256" w:lineRule="auto"/>
        <w:rPr>
          <w:sz w:val="20"/>
          <w:szCs w:val="20"/>
          <w:color w:val="auto"/>
        </w:rPr>
      </w:pPr>
      <w:r>
        <w:rPr>
          <w:rFonts w:ascii="Arial" w:cs="Arial" w:eastAsia="Arial" w:hAnsi="Arial"/>
          <w:sz w:val="22"/>
          <w:szCs w:val="22"/>
          <w:color w:val="auto"/>
        </w:rPr>
        <w:t>6.4</w:t>
      </w:r>
      <w:r>
        <w:rPr>
          <w:rFonts w:ascii="Arial" w:cs="Arial" w:eastAsia="Arial" w:hAnsi="Arial"/>
          <w:sz w:val="22"/>
          <w:szCs w:val="22"/>
          <w:b w:val="1"/>
          <w:bCs w:val="1"/>
          <w:color w:val="auto"/>
        </w:rPr>
        <w:t>Disclaimer</w:t>
      </w:r>
      <w:r>
        <w:rPr>
          <w:rFonts w:ascii="Arial" w:cs="Arial" w:eastAsia="Arial" w:hAnsi="Arial"/>
          <w:sz w:val="22"/>
          <w:szCs w:val="22"/>
          <w:color w:val="auto"/>
        </w:rPr>
        <w:t>. EXCEPT AS OTHERWISE EXPRESSLY SET FORTH IN THIS Article 6, NEITHER PARTY MAKES ANY REPRESENTATIONS OR EXTENDS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347980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9"/>
          </w:cols>
          <w:pgMar w:left="431" w:top="618" w:right="1039" w:bottom="1440" w:gutter="0" w:footer="0" w:header="0"/>
        </w:sectPr>
      </w:pPr>
    </w:p>
    <w:bookmarkStart w:id="105" w:name="page106"/>
    <w:bookmarkEnd w:id="105"/>
    <w:p>
      <w:pPr>
        <w:jc w:val="both"/>
        <w:spacing w:after="0"/>
        <w:rPr>
          <w:sz w:val="20"/>
          <w:szCs w:val="20"/>
          <w:color w:val="auto"/>
        </w:rPr>
      </w:pPr>
      <w:r>
        <w:rPr>
          <w:rFonts w:ascii="Arial" w:cs="Arial" w:eastAsia="Arial" w:hAnsi="Arial"/>
          <w:sz w:val="22"/>
          <w:szCs w:val="22"/>
          <w:color w:val="auto"/>
        </w:rPr>
        <w:t>WARRANTIES OF ANY KIND, MERCHANTABILITY, QUALITY, VALIDITY OF PATENT CLAIMS.</w:t>
      </w:r>
    </w:p>
    <w:p>
      <w:pPr>
        <w:spacing w:after="0" w:line="20" w:lineRule="exact"/>
        <w:rPr>
          <w:sz w:val="20"/>
          <w:szCs w:val="20"/>
          <w:color w:val="auto"/>
        </w:rPr>
      </w:pPr>
      <w:r>
        <w:rPr>
          <w:sz w:val="20"/>
          <w:szCs w:val="20"/>
          <w:color w:val="auto"/>
        </w:rPr>
        <w:br w:type="column"/>
      </w:r>
    </w:p>
    <w:p>
      <w:pPr>
        <w:ind w:right="20" w:firstLine="125"/>
        <w:spacing w:after="0" w:line="250" w:lineRule="auto"/>
        <w:rPr>
          <w:sz w:val="20"/>
          <w:szCs w:val="20"/>
          <w:color w:val="auto"/>
        </w:rPr>
      </w:pPr>
      <w:r>
        <w:rPr>
          <w:rFonts w:ascii="Arial" w:cs="Arial" w:eastAsia="Arial" w:hAnsi="Arial"/>
          <w:sz w:val="22"/>
          <w:szCs w:val="22"/>
          <w:color w:val="auto"/>
        </w:rPr>
        <w:t>EITHER EXPRESS OR IMPLIED, INCLUDING WARRANTIES OF FITNESS FOR A PARTICULAR PURPOSE, NONINFRINGEMENT, OR</w:t>
      </w:r>
    </w:p>
    <w:p>
      <w:pPr>
        <w:spacing w:after="0" w:line="431" w:lineRule="exact"/>
        <w:rPr>
          <w:sz w:val="20"/>
          <w:szCs w:val="20"/>
          <w:color w:val="auto"/>
        </w:rPr>
      </w:pPr>
    </w:p>
    <w:p>
      <w:pPr>
        <w:sectPr>
          <w:pgSz w:w="11900" w:h="16838" w:orient="portrait"/>
          <w:cols w:equalWidth="0" w:num="2">
            <w:col w:w="3280" w:space="80"/>
            <w:col w:w="7060"/>
          </w:cols>
          <w:pgMar w:left="440" w:top="361" w:right="1039" w:bottom="1440" w:gutter="0" w:footer="0" w:header="0"/>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47"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Indemnity</w:t>
      </w:r>
      <w:r>
        <w:rPr>
          <w:rFonts w:ascii="Arial" w:cs="Arial" w:eastAsia="Arial" w:hAnsi="Arial"/>
          <w:sz w:val="19"/>
          <w:szCs w:val="19"/>
          <w:color w:val="auto"/>
        </w:rPr>
        <w:t>.</w:t>
      </w:r>
    </w:p>
    <w:p>
      <w:pPr>
        <w:spacing w:after="0" w:line="314"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7.1.1</w:t>
      </w:r>
      <w:r>
        <w:rPr>
          <w:rFonts w:ascii="Arial" w:cs="Arial" w:eastAsia="Arial" w:hAnsi="Arial"/>
          <w:sz w:val="19"/>
          <w:szCs w:val="19"/>
          <w:b w:val="1"/>
          <w:bCs w:val="1"/>
          <w:color w:val="auto"/>
        </w:rPr>
        <w:t>By Fulcrum</w:t>
      </w:r>
      <w:r>
        <w:rPr>
          <w:rFonts w:ascii="Arial" w:cs="Arial" w:eastAsia="Arial" w:hAnsi="Arial"/>
          <w:sz w:val="19"/>
          <w:szCs w:val="19"/>
          <w:color w:val="auto"/>
        </w:rPr>
        <w:t xml:space="preserve">. Fulcrum shall indemnify, defend and hold harmless CMCC, Harvard, DFCI and their respective Affiliates, current or future directors, trustees, officers, faculty, medical and professional staff, employees, students and agents and their respective successors, heirs and assigns, other than persons who are employees of HHMI, (the “CMCC </w:t>
      </w:r>
      <w:r>
        <w:rPr>
          <w:rFonts w:ascii="Arial" w:cs="Arial" w:eastAsia="Arial" w:hAnsi="Arial"/>
          <w:sz w:val="19"/>
          <w:szCs w:val="19"/>
          <w:b w:val="1"/>
          <w:bCs w:val="1"/>
          <w:i w:val="1"/>
          <w:iCs w:val="1"/>
          <w:color w:val="auto"/>
        </w:rPr>
        <w:t>Indemnitees</w:t>
      </w:r>
      <w:r>
        <w:rPr>
          <w:rFonts w:ascii="Arial" w:cs="Arial" w:eastAsia="Arial" w:hAnsi="Arial"/>
          <w:sz w:val="19"/>
          <w:szCs w:val="19"/>
          <w:color w:val="auto"/>
        </w:rPr>
        <w:t>”), against any claim, liability, cost, damage, deficiency, loss, expense or obligation of any kind or nature (including without limitation reasonable attorneys’ fees and other costs and expenses of litigation)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incurred by or imposed upon the CMCC Indemnitees or any one of them in connection with any claim, demand, action or other proceeding by any Third Party (a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arising out of (i) any theory of product liability (including, but not limited to, actions in the form of tort, warranty, or strict liability) concerning any product, process or service made, used or sold by Fulcrum, its Affiliates, Sublicensees or its authorized agents pursuant to any right or license granted under this Agreement, or (ii) the use, handling, storage or disposition of the Transferred Material by Fulcrum, its Affiliates, Sublicensees or others who possess the Transferred Material through a chain of possession leading back, directly or indirectly, to Fulcrum.</w:t>
      </w:r>
    </w:p>
    <w:p>
      <w:pPr>
        <w:spacing w:after="0" w:line="19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7.1.2Fulcrum’s indemnification under Section 7.1.1 above shall not apply to any Loss to the extent that it is attributable to the negligent activities, recklessness or intentional misconduct of the CMCC Indemnitees or breach of an obligation by CMCC under the CMCC License Agreement.</w:t>
      </w:r>
    </w:p>
    <w:p>
      <w:pPr>
        <w:spacing w:after="0" w:line="227"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7.1.3CAMP4 shall, and shall cause any CMCC Indemnitee to, permit Fulcrum to have control of the defense of any actions brought or filed against a CMCC Indemnitee that are subject to the indemnification obligations of Fulcrum contained in this Agreement so long as Fulcrum promptly assumes the defense and prosecutes the defense with appropriate diligence and care and selects attorneys reasonably acceptable the CMCC Indemnitee, to defend such actions, provided however, that Fulcrum shall not admit any fault, liability or culpability on the part of CMCC Indemnitee without the prior written permission of such CMCC Indemnitee.</w:t>
      </w:r>
    </w:p>
    <w:p>
      <w:pPr>
        <w:spacing w:after="0" w:line="204"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7.1.4HHMI and its trustees, officers, employees, and agents (collectively, “</w:t>
      </w:r>
      <w:r>
        <w:rPr>
          <w:rFonts w:ascii="Arial" w:cs="Arial" w:eastAsia="Arial" w:hAnsi="Arial"/>
          <w:sz w:val="21"/>
          <w:szCs w:val="21"/>
          <w:b w:val="1"/>
          <w:bCs w:val="1"/>
          <w:i w:val="1"/>
          <w:iCs w:val="1"/>
          <w:color w:val="auto"/>
        </w:rPr>
        <w:t>HHMI Indemnitees</w:t>
      </w:r>
      <w:r>
        <w:rPr>
          <w:rFonts w:ascii="Arial" w:cs="Arial" w:eastAsia="Arial" w:hAnsi="Arial"/>
          <w:sz w:val="21"/>
          <w:szCs w:val="21"/>
          <w:color w:val="auto"/>
        </w:rPr>
        <w:t>”), will be indemnified, defended by counsel reasonably acceptable to HHMI, and held harmless by Fulcrum from and against any claim, liability, cost, expense, damage, deficiency, loss, or obligation, of any kind or nature (including, without limitation, reasonable attorneys’ fees and other costs and expenses of defense) (collectively, “</w:t>
      </w:r>
      <w:r>
        <w:rPr>
          <w:rFonts w:ascii="Arial" w:cs="Arial" w:eastAsia="Arial" w:hAnsi="Arial"/>
          <w:sz w:val="21"/>
          <w:szCs w:val="21"/>
          <w:b w:val="1"/>
          <w:bCs w:val="1"/>
          <w:i w:val="1"/>
          <w:iCs w:val="1"/>
          <w:color w:val="auto"/>
        </w:rPr>
        <w:t>Claims</w:t>
      </w:r>
      <w:r>
        <w:rPr>
          <w:rFonts w:ascii="Arial" w:cs="Arial" w:eastAsia="Arial" w:hAnsi="Arial"/>
          <w:sz w:val="21"/>
          <w:szCs w:val="21"/>
          <w:color w:val="auto"/>
        </w:rPr>
        <w:t>”), based upon, arising out of or otherwise relating to this Agreement or any sublicense, or the use, handling, storage, or disposition of the Transferred Material by Fulcrum, its Affiliates, Sublicensees or others who possess the Transferred Material through a chain of possession leading back, directly or indirectly, to Fulcrum, including without limitation any cause of action relating to product liability. The previous sentence will not apply to any Claim that is determined with finality by a court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358140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type w:val="continuous"/>
        </w:sectPr>
      </w:pPr>
    </w:p>
    <w:bookmarkStart w:id="106" w:name="page107"/>
    <w:bookmarkEnd w:id="106"/>
    <w:p>
      <w:pPr>
        <w:jc w:val="both"/>
        <w:spacing w:after="0" w:line="238" w:lineRule="auto"/>
        <w:rPr>
          <w:sz w:val="20"/>
          <w:szCs w:val="20"/>
          <w:color w:val="auto"/>
        </w:rPr>
      </w:pPr>
      <w:r>
        <w:rPr>
          <w:rFonts w:ascii="Arial" w:cs="Arial" w:eastAsia="Arial" w:hAnsi="Arial"/>
          <w:sz w:val="22"/>
          <w:szCs w:val="22"/>
          <w:color w:val="auto"/>
        </w:rPr>
        <w:t>competent jurisdiction to result solely from the gross negligence or willful misconduct of an HHMI Indemnitee. Notwithstanding any other provision of this Agreement, Fulcrum’s obligation to defend, indemnify and hold harmless the HHMI Indemnitees under this paragraph will not be subject to any limitation or exclusion of liability or damages or otherwise limited in any way.</w:t>
      </w:r>
    </w:p>
    <w:p>
      <w:pPr>
        <w:spacing w:after="0" w:line="219"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1"/>
          <w:szCs w:val="21"/>
          <w:color w:val="auto"/>
        </w:rPr>
        <w:t>7.1.5</w:t>
      </w:r>
      <w:r>
        <w:rPr>
          <w:rFonts w:ascii="Arial" w:cs="Arial" w:eastAsia="Arial" w:hAnsi="Arial"/>
          <w:sz w:val="21"/>
          <w:szCs w:val="21"/>
          <w:b w:val="1"/>
          <w:bCs w:val="1"/>
          <w:color w:val="auto"/>
        </w:rPr>
        <w:t>By CAMP4</w:t>
      </w:r>
      <w:r>
        <w:rPr>
          <w:rFonts w:ascii="Arial" w:cs="Arial" w:eastAsia="Arial" w:hAnsi="Arial"/>
          <w:sz w:val="21"/>
          <w:szCs w:val="21"/>
          <w:color w:val="auto"/>
        </w:rPr>
        <w:t>. CAMP4 shall defend, indemnify and hold harmless Fulcrum and its Affiliates, and their respective directors, officers, employees, and agents (each, a “</w:t>
      </w:r>
      <w:r>
        <w:rPr>
          <w:rFonts w:ascii="Arial" w:cs="Arial" w:eastAsia="Arial" w:hAnsi="Arial"/>
          <w:sz w:val="21"/>
          <w:szCs w:val="21"/>
          <w:b w:val="1"/>
          <w:bCs w:val="1"/>
          <w:i w:val="1"/>
          <w:iCs w:val="1"/>
          <w:color w:val="auto"/>
        </w:rPr>
        <w:t>Fulcrum Indemnitee</w:t>
      </w:r>
      <w:r>
        <w:rPr>
          <w:rFonts w:ascii="Arial" w:cs="Arial" w:eastAsia="Arial" w:hAnsi="Arial"/>
          <w:sz w:val="21"/>
          <w:szCs w:val="21"/>
          <w:color w:val="auto"/>
        </w:rPr>
        <w:t>”) from and against any and all Losses to which any Fulcrum Indemnitee may become subject as a result of any Third Party Claim to the extent such Losses arise out of: (a) the fraud, gross negligence or willful misconduct of CAMP4 or its Affiliates in connection with its activities under this Agreement; or (b) the breach of this Agreement or the representations, warranties, and covenants made hereunder by CAMP4, except, in each case, to the extent such Losses result from matters subject to clause (a), (b), or (c) of Section 7.1.6.</w:t>
      </w:r>
    </w:p>
    <w:p>
      <w:pPr>
        <w:spacing w:after="0" w:line="204"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1"/>
          <w:szCs w:val="21"/>
          <w:color w:val="auto"/>
        </w:rPr>
        <w:t>7.1.6</w:t>
      </w:r>
      <w:r>
        <w:rPr>
          <w:rFonts w:ascii="Arial" w:cs="Arial" w:eastAsia="Arial" w:hAnsi="Arial"/>
          <w:sz w:val="21"/>
          <w:szCs w:val="21"/>
          <w:b w:val="1"/>
          <w:bCs w:val="1"/>
          <w:color w:val="auto"/>
        </w:rPr>
        <w:t>By Fulcrum</w:t>
      </w:r>
      <w:r>
        <w:rPr>
          <w:rFonts w:ascii="Arial" w:cs="Arial" w:eastAsia="Arial" w:hAnsi="Arial"/>
          <w:sz w:val="21"/>
          <w:szCs w:val="21"/>
          <w:color w:val="auto"/>
        </w:rPr>
        <w:t>. Fulcrum shall defend, indemnify and hold harmless CAMP4, its Affiliates, and their respective directors, officers, employees and agents (each, an “</w:t>
      </w:r>
      <w:r>
        <w:rPr>
          <w:rFonts w:ascii="Arial" w:cs="Arial" w:eastAsia="Arial" w:hAnsi="Arial"/>
          <w:sz w:val="21"/>
          <w:szCs w:val="21"/>
          <w:b w:val="1"/>
          <w:bCs w:val="1"/>
          <w:i w:val="1"/>
          <w:iCs w:val="1"/>
          <w:color w:val="auto"/>
        </w:rPr>
        <w:t>CAMP4 Indemnitee</w:t>
      </w:r>
      <w:r>
        <w:rPr>
          <w:rFonts w:ascii="Arial" w:cs="Arial" w:eastAsia="Arial" w:hAnsi="Arial"/>
          <w:sz w:val="21"/>
          <w:szCs w:val="21"/>
          <w:color w:val="auto"/>
        </w:rPr>
        <w:t>”) from and against any and all Losses to which any CAMP4 Indemnitee may become subject as a result of any Third Party Claim to the extent such Losses arise out of: (a) the fraud, gross negligence or willful misconduct of Fulcrum, its Affiliates, or their respective Sublicensees in connection with its activities under this Agreement; (b) the breach of this Agreement or the representations, warranties and covenants made hereunder by Fulcrum; or (c) the exploitation of Licensed Products by Fulcrum, its Affiliates, its authorized agents, or its Sublicensees, except, in each case, to the extent such Losses result from matters subject to clause (a) or (b) of Section 7.1.5.</w:t>
      </w:r>
    </w:p>
    <w:p>
      <w:pPr>
        <w:spacing w:after="0" w:line="212"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7.1.7</w:t>
      </w:r>
      <w:r>
        <w:rPr>
          <w:rFonts w:ascii="Arial" w:cs="Arial" w:eastAsia="Arial" w:hAnsi="Arial"/>
          <w:sz w:val="19"/>
          <w:szCs w:val="19"/>
          <w:b w:val="1"/>
          <w:bCs w:val="1"/>
          <w:color w:val="auto"/>
        </w:rPr>
        <w:t>Procedure</w:t>
      </w:r>
      <w:r>
        <w:rPr>
          <w:rFonts w:ascii="Arial" w:cs="Arial" w:eastAsia="Arial" w:hAnsi="Arial"/>
          <w:sz w:val="19"/>
          <w:szCs w:val="19"/>
          <w:color w:val="auto"/>
        </w:rPr>
        <w:t>. A Party that intends to claim indemnification under this Article 7 (the “</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shall promptly notify the Indemnitor (the “</w:t>
      </w:r>
      <w:r>
        <w:rPr>
          <w:rFonts w:ascii="Arial" w:cs="Arial" w:eastAsia="Arial" w:hAnsi="Arial"/>
          <w:sz w:val="19"/>
          <w:szCs w:val="19"/>
          <w:b w:val="1"/>
          <w:bCs w:val="1"/>
          <w:i w:val="1"/>
          <w:iCs w:val="1"/>
          <w:color w:val="auto"/>
        </w:rPr>
        <w:t>Indemnitor</w:t>
      </w:r>
      <w:r>
        <w:rPr>
          <w:rFonts w:ascii="Arial" w:cs="Arial" w:eastAsia="Arial" w:hAnsi="Arial"/>
          <w:sz w:val="19"/>
          <w:szCs w:val="19"/>
          <w:color w:val="auto"/>
        </w:rPr>
        <w:t>”) in writing of any Third Party Claim in respect of which the Indemnitee intends to claim such indemnification. The failure to deliver written notice to the Indemnitor within a reasonable time after the commencement of any action with respect to a Third Party Claim shall only relieve the Indemnitor of its indemnification obligations under this Article 7 if and to the extent the Indemnitor is actually and materially prejudiced thereby. The Indemnitor has sole control of the defense or settlement thereof. The Indemnitee shall cooperate fully with the Indemnitor and its legal representatives in the investigation of any action with respect to a Third Party Claim covered by this indemnification. The Indemnitee may participate at its expense in the Indemnitor’s defense of and settlement negotiations for any Third Party Claim with counsel of the Indemnitee’s own selection. The Indemnitor shall not settle any Third Party Claim without the prior written consent of the Indemnitee, not to be unreasonably withheld. So long as the Indemnitor is actively defending the Third Party Claim in good faith, the Indemnitee shall not settle or compromise any such Third Party Claim without the prior written consent of the Indemnitor. If the Indemnitor does not assume and conduct the defense of the Third Party Claim as provided above: (a) the Indemnitee may defend against, consent to the entry of any judgment, or enter into any settlement with respect to such Third Party Claim in any manner the Indemnitee may deem reasonably appropriate (and the Indemnitee need not consult with, or obtain any consent from, the Indemnitor in connection therewith); and (b) the Indemnitor shall remain responsible to indemnify the Indemnitee as provided in this Article 7.</w:t>
      </w:r>
    </w:p>
    <w:p>
      <w:pPr>
        <w:spacing w:after="0" w:line="200" w:lineRule="exact"/>
        <w:rPr>
          <w:sz w:val="20"/>
          <w:szCs w:val="20"/>
          <w:color w:val="auto"/>
        </w:rPr>
      </w:pPr>
    </w:p>
    <w:p>
      <w:pPr>
        <w:spacing w:after="0" w:line="22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7.2</w:t>
      </w:r>
      <w:r>
        <w:rPr>
          <w:rFonts w:ascii="Arial" w:cs="Arial" w:eastAsia="Arial" w:hAnsi="Arial"/>
          <w:sz w:val="22"/>
          <w:szCs w:val="22"/>
          <w:b w:val="1"/>
          <w:bCs w:val="1"/>
          <w:color w:val="auto"/>
        </w:rPr>
        <w:t>Insurance</w:t>
      </w:r>
      <w:r>
        <w:rPr>
          <w:rFonts w:ascii="Arial" w:cs="Arial" w:eastAsia="Arial" w:hAnsi="Arial"/>
          <w:sz w:val="22"/>
          <w:szCs w:val="22"/>
          <w:color w:val="auto"/>
        </w:rPr>
        <w:t>. Beginning at the time as any such product, process or service is 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375285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sectPr>
      </w:pPr>
    </w:p>
    <w:bookmarkStart w:id="107" w:name="page108"/>
    <w:bookmarkEnd w:id="107"/>
    <w:p>
      <w:pPr>
        <w:jc w:val="both"/>
        <w:ind w:left="9"/>
        <w:spacing w:after="0" w:line="272" w:lineRule="auto"/>
        <w:rPr>
          <w:sz w:val="20"/>
          <w:szCs w:val="20"/>
          <w:color w:val="auto"/>
        </w:rPr>
      </w:pPr>
      <w:r>
        <w:rPr>
          <w:rFonts w:ascii="Arial" w:cs="Arial" w:eastAsia="Arial" w:hAnsi="Arial"/>
          <w:sz w:val="19"/>
          <w:szCs w:val="19"/>
          <w:color w:val="auto"/>
        </w:rPr>
        <w:t>commercially distributed or sold (other than for the purpose of obtaining regulatory approvals) by Fulcrum or by a Sublicensee, Affiliate or an authorized agent of Fulcrum, Fulcrum shall, at its sole cost and expense, procure and maintain commercial general liability insurance in amounts not less than [***] and naming the CAMP4 Indemnitees and HHMI Indemnitees as additional insureds. Such commercial general liability insurance shall provide (i) product liability coverage and (ii) contractual liability coverage for Fulcrum’s indemnification under this Article 7. [***] The minimum amount of insurance coverage required under this Section 7.2, shall not be construed to create a limit of Fulcrum’s liability with respect to its indemnification under Article 7 of this Agreement. Fulcrum shall provide CAMP4 with written evidence of such insurance upon request of CAMP4. Fulcrum shall provide CAMP4 with written notice at least [***] prior to the cancellation, non-renewal or material change in such insurance. Notwithstanding any other term of this Agreement, if Fulcrum does not obtain replacement insurance providing comparable coverage prior to the cancellation or non-renewal of such insurance, CAMP4 shall have the right to terminate this Agreement effective at the end of such [***] without notice of any additional waiting periods. Fulcrum shall maintain such commercial general liability insurance during [***].</w:t>
      </w:r>
    </w:p>
    <w:p>
      <w:pPr>
        <w:spacing w:after="0" w:line="200" w:lineRule="exact"/>
        <w:rPr>
          <w:sz w:val="20"/>
          <w:szCs w:val="20"/>
          <w:color w:val="auto"/>
        </w:rPr>
      </w:pPr>
    </w:p>
    <w:p>
      <w:pPr>
        <w:spacing w:after="0" w:line="238" w:lineRule="exact"/>
        <w:rPr>
          <w:sz w:val="20"/>
          <w:szCs w:val="20"/>
          <w:color w:val="auto"/>
        </w:rPr>
      </w:pPr>
    </w:p>
    <w:p>
      <w:pPr>
        <w:ind w:left="749"/>
        <w:spacing w:after="0"/>
        <w:rPr>
          <w:sz w:val="20"/>
          <w:szCs w:val="20"/>
          <w:color w:val="auto"/>
        </w:rPr>
      </w:pPr>
      <w:r>
        <w:rPr>
          <w:rFonts w:ascii="Arial" w:cs="Arial" w:eastAsia="Arial" w:hAnsi="Arial"/>
          <w:sz w:val="22"/>
          <w:szCs w:val="22"/>
          <w:color w:val="auto"/>
        </w:rPr>
        <w:t>7.3</w:t>
      </w:r>
      <w:r>
        <w:rPr>
          <w:rFonts w:ascii="Arial" w:cs="Arial" w:eastAsia="Arial" w:hAnsi="Arial"/>
          <w:sz w:val="22"/>
          <w:szCs w:val="22"/>
          <w:b w:val="1"/>
          <w:bCs w:val="1"/>
          <w:color w:val="auto"/>
        </w:rPr>
        <w:t>Survival</w:t>
      </w:r>
      <w:r>
        <w:rPr>
          <w:rFonts w:ascii="Arial" w:cs="Arial" w:eastAsia="Arial" w:hAnsi="Arial"/>
          <w:sz w:val="22"/>
          <w:szCs w:val="22"/>
          <w:color w:val="auto"/>
        </w:rPr>
        <w:t>. The provisions of this Article 7 survive expiration or termination of this Agreement.</w:t>
      </w:r>
    </w:p>
    <w:p>
      <w:pPr>
        <w:spacing w:after="0" w:line="314"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ARTICLE 8</w:t>
      </w: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CONFIDENTIALITY</w:t>
      </w:r>
    </w:p>
    <w:p>
      <w:pPr>
        <w:spacing w:after="0" w:line="233" w:lineRule="exact"/>
        <w:rPr>
          <w:sz w:val="20"/>
          <w:szCs w:val="20"/>
          <w:color w:val="auto"/>
        </w:rPr>
      </w:pPr>
    </w:p>
    <w:p>
      <w:pPr>
        <w:ind w:left="749"/>
        <w:spacing w:after="0"/>
        <w:tabs>
          <w:tab w:leader="none" w:pos="1488"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color w:val="auto"/>
        </w:rPr>
        <w:t>Confidential Information</w:t>
      </w:r>
      <w:r>
        <w:rPr>
          <w:rFonts w:ascii="Arial" w:cs="Arial" w:eastAsia="Arial" w:hAnsi="Arial"/>
          <w:sz w:val="19"/>
          <w:szCs w:val="19"/>
          <w:color w:val="auto"/>
        </w:rPr>
        <w:t>.</w:t>
      </w:r>
    </w:p>
    <w:p>
      <w:pPr>
        <w:spacing w:after="0" w:line="247" w:lineRule="exact"/>
        <w:rPr>
          <w:sz w:val="20"/>
          <w:szCs w:val="20"/>
          <w:color w:val="auto"/>
        </w:rPr>
      </w:pPr>
    </w:p>
    <w:p>
      <w:pPr>
        <w:jc w:val="both"/>
        <w:ind w:left="9" w:firstLine="1497"/>
        <w:spacing w:after="0" w:line="249" w:lineRule="auto"/>
        <w:rPr>
          <w:sz w:val="20"/>
          <w:szCs w:val="20"/>
          <w:color w:val="auto"/>
        </w:rPr>
      </w:pPr>
      <w:r>
        <w:rPr>
          <w:rFonts w:ascii="Arial" w:cs="Arial" w:eastAsia="Arial" w:hAnsi="Arial"/>
          <w:sz w:val="21"/>
          <w:szCs w:val="21"/>
          <w:color w:val="auto"/>
        </w:rPr>
        <w:t>8.1.1</w:t>
      </w:r>
      <w:r>
        <w:rPr>
          <w:rFonts w:ascii="Arial" w:cs="Arial" w:eastAsia="Arial" w:hAnsi="Arial"/>
          <w:sz w:val="21"/>
          <w:szCs w:val="21"/>
          <w:b w:val="1"/>
          <w:bCs w:val="1"/>
          <w:color w:val="auto"/>
        </w:rPr>
        <w:t>Restrictions</w:t>
      </w:r>
      <w:r>
        <w:rPr>
          <w:rFonts w:ascii="Arial" w:cs="Arial" w:eastAsia="Arial" w:hAnsi="Arial"/>
          <w:sz w:val="21"/>
          <w:szCs w:val="21"/>
          <w:color w:val="auto"/>
        </w:rPr>
        <w:t>. A Party (the “</w:t>
      </w:r>
      <w:r>
        <w:rPr>
          <w:rFonts w:ascii="Arial" w:cs="Arial" w:eastAsia="Arial" w:hAnsi="Arial"/>
          <w:sz w:val="21"/>
          <w:szCs w:val="21"/>
          <w:b w:val="1"/>
          <w:bCs w:val="1"/>
          <w:i w:val="1"/>
          <w:iCs w:val="1"/>
          <w:color w:val="auto"/>
        </w:rPr>
        <w:t>Receiving Party</w:t>
      </w:r>
      <w:r>
        <w:rPr>
          <w:rFonts w:ascii="Arial" w:cs="Arial" w:eastAsia="Arial" w:hAnsi="Arial"/>
          <w:sz w:val="21"/>
          <w:szCs w:val="21"/>
          <w:color w:val="auto"/>
        </w:rPr>
        <w:t>”) that receives Confidential Information from the other Party (the “</w:t>
      </w:r>
      <w:r>
        <w:rPr>
          <w:rFonts w:ascii="Arial" w:cs="Arial" w:eastAsia="Arial" w:hAnsi="Arial"/>
          <w:sz w:val="21"/>
          <w:szCs w:val="21"/>
          <w:b w:val="1"/>
          <w:bCs w:val="1"/>
          <w:i w:val="1"/>
          <w:iCs w:val="1"/>
          <w:color w:val="auto"/>
        </w:rPr>
        <w:t>Disclosing Party</w:t>
      </w:r>
      <w:r>
        <w:rPr>
          <w:rFonts w:ascii="Arial" w:cs="Arial" w:eastAsia="Arial" w:hAnsi="Arial"/>
          <w:sz w:val="21"/>
          <w:szCs w:val="21"/>
          <w:color w:val="auto"/>
        </w:rPr>
        <w:t>”) under this Agreement shall keep all the Disclosing Party’s Confidential Information in confidence with the same degree of care with which the Receiving Party holds its own confidential information (but in no event less than a commercially reasonable degree of care). A Receiving Party shall not use the Disclosing Party’s Confidential Information except in connection with the performance of its obligations and exercise of its rights under this Agreement, or as permitted under Section 8.1.2.</w:t>
      </w:r>
    </w:p>
    <w:p>
      <w:pPr>
        <w:spacing w:after="0" w:line="211" w:lineRule="exact"/>
        <w:rPr>
          <w:sz w:val="20"/>
          <w:szCs w:val="20"/>
          <w:color w:val="auto"/>
        </w:rPr>
      </w:pPr>
    </w:p>
    <w:p>
      <w:pPr>
        <w:jc w:val="both"/>
        <w:ind w:left="9" w:right="20" w:firstLine="1497"/>
        <w:spacing w:after="0" w:line="280" w:lineRule="auto"/>
        <w:rPr>
          <w:sz w:val="20"/>
          <w:szCs w:val="20"/>
          <w:color w:val="auto"/>
        </w:rPr>
      </w:pPr>
      <w:r>
        <w:rPr>
          <w:rFonts w:ascii="Arial" w:cs="Arial" w:eastAsia="Arial" w:hAnsi="Arial"/>
          <w:sz w:val="19"/>
          <w:szCs w:val="19"/>
          <w:color w:val="auto"/>
        </w:rPr>
        <w:t>8.1.2</w:t>
      </w:r>
      <w:r>
        <w:rPr>
          <w:rFonts w:ascii="Arial" w:cs="Arial" w:eastAsia="Arial" w:hAnsi="Arial"/>
          <w:sz w:val="19"/>
          <w:szCs w:val="19"/>
          <w:b w:val="1"/>
          <w:bCs w:val="1"/>
          <w:color w:val="auto"/>
        </w:rPr>
        <w:t>Exceptions</w:t>
      </w:r>
      <w:r>
        <w:rPr>
          <w:rFonts w:ascii="Arial" w:cs="Arial" w:eastAsia="Arial" w:hAnsi="Arial"/>
          <w:sz w:val="19"/>
          <w:szCs w:val="19"/>
          <w:color w:val="auto"/>
        </w:rPr>
        <w:t>. The obligations of confidentiality and restriction on use of Confidential Information under Section 8.1.1 do not apply to any information that the Receiving Party can prove by competent written evidence:</w:t>
      </w:r>
    </w:p>
    <w:p>
      <w:pPr>
        <w:ind w:left="9" w:hanging="7"/>
        <w:spacing w:after="0" w:line="230" w:lineRule="auto"/>
        <w:tabs>
          <w:tab w:leader="none" w:pos="311" w:val="left"/>
        </w:tabs>
        <w:numPr>
          <w:ilvl w:val="0"/>
          <w:numId w:val="58"/>
        </w:numPr>
        <w:rPr>
          <w:rFonts w:ascii="Arial" w:cs="Arial" w:eastAsia="Arial" w:hAnsi="Arial"/>
          <w:sz w:val="22"/>
          <w:szCs w:val="22"/>
          <w:color w:val="auto"/>
        </w:rPr>
      </w:pPr>
      <w:r>
        <w:rPr>
          <w:rFonts w:ascii="Arial" w:cs="Arial" w:eastAsia="Arial" w:hAnsi="Arial"/>
          <w:sz w:val="22"/>
          <w:szCs w:val="22"/>
          <w:color w:val="auto"/>
        </w:rPr>
        <w:t>is now, or hereafter becomes, through no act or failure to act on the part of the Receiving Party, generally known or available to the public;</w:t>
      </w:r>
    </w:p>
    <w:p>
      <w:pPr>
        <w:spacing w:after="0" w:line="1" w:lineRule="exact"/>
        <w:rPr>
          <w:rFonts w:ascii="Arial" w:cs="Arial" w:eastAsia="Arial" w:hAnsi="Arial"/>
          <w:sz w:val="22"/>
          <w:szCs w:val="22"/>
          <w:color w:val="auto"/>
        </w:rPr>
      </w:pPr>
    </w:p>
    <w:p>
      <w:pPr>
        <w:jc w:val="both"/>
        <w:ind w:left="9" w:hanging="9"/>
        <w:spacing w:after="0" w:line="232" w:lineRule="auto"/>
        <w:tabs>
          <w:tab w:leader="none" w:pos="324" w:val="left"/>
        </w:tabs>
        <w:numPr>
          <w:ilvl w:val="0"/>
          <w:numId w:val="58"/>
        </w:numPr>
        <w:rPr>
          <w:rFonts w:ascii="Arial" w:cs="Arial" w:eastAsia="Arial" w:hAnsi="Arial"/>
          <w:sz w:val="22"/>
          <w:szCs w:val="22"/>
          <w:color w:val="auto"/>
        </w:rPr>
      </w:pPr>
      <w:r>
        <w:rPr>
          <w:rFonts w:ascii="Arial" w:cs="Arial" w:eastAsia="Arial" w:hAnsi="Arial"/>
          <w:sz w:val="22"/>
          <w:szCs w:val="22"/>
          <w:color w:val="auto"/>
        </w:rPr>
        <w:t>is known by the Receiving Party at the time of receiving such information, other than by previous disclosure of the Disclosing Party, or its Affiliates, employees, agents, consultants, or contractors; (c) is hereafter furnished to the Receiving Party without restriction by a Third Party who has no obligation of confidentiality or limitations on use with respect thereto, as a matter of right; or (d) is independently discovered or developed by the Receiving Party without the use of Confidential Information belonging to the Disclosing Party. Specific information shall not be deemed to be within any of the foregoing exclusions merely because it is embraced by more general information falling within those exclusions.</w:t>
      </w:r>
    </w:p>
    <w:p>
      <w:pPr>
        <w:spacing w:after="0" w:line="208" w:lineRule="exact"/>
        <w:rPr>
          <w:sz w:val="20"/>
          <w:szCs w:val="20"/>
          <w:color w:val="auto"/>
        </w:rPr>
      </w:pPr>
    </w:p>
    <w:p>
      <w:pPr>
        <w:ind w:left="9" w:firstLine="1497"/>
        <w:spacing w:after="0" w:line="256" w:lineRule="auto"/>
        <w:rPr>
          <w:sz w:val="20"/>
          <w:szCs w:val="20"/>
          <w:color w:val="auto"/>
        </w:rPr>
      </w:pPr>
      <w:r>
        <w:rPr>
          <w:rFonts w:ascii="Arial" w:cs="Arial" w:eastAsia="Arial" w:hAnsi="Arial"/>
          <w:sz w:val="22"/>
          <w:szCs w:val="22"/>
          <w:color w:val="auto"/>
        </w:rPr>
        <w:t>8.1.3</w:t>
      </w:r>
      <w:r>
        <w:rPr>
          <w:rFonts w:ascii="Arial" w:cs="Arial" w:eastAsia="Arial" w:hAnsi="Arial"/>
          <w:sz w:val="22"/>
          <w:szCs w:val="22"/>
          <w:b w:val="1"/>
          <w:bCs w:val="1"/>
          <w:color w:val="auto"/>
        </w:rPr>
        <w:t>Permitted Disclosures</w:t>
      </w:r>
      <w:r>
        <w:rPr>
          <w:rFonts w:ascii="Arial" w:cs="Arial" w:eastAsia="Arial" w:hAnsi="Arial"/>
          <w:sz w:val="22"/>
          <w:szCs w:val="22"/>
          <w:color w:val="auto"/>
        </w:rPr>
        <w:t>. The Receiving Party may disclose Confidential Information belonging to the Disclosing Party as expressly permitted by this Agreement or if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347980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9"/>
          </w:cols>
          <w:pgMar w:left="431" w:top="361" w:right="1039" w:bottom="1440"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to the extent such disclosure is reasonably necessary in the following instances:</w:t>
      </w:r>
    </w:p>
    <w:p>
      <w:pPr>
        <w:spacing w:after="0" w:line="247" w:lineRule="exact"/>
        <w:rPr>
          <w:sz w:val="20"/>
          <w:szCs w:val="20"/>
          <w:color w:val="auto"/>
        </w:rPr>
      </w:pPr>
    </w:p>
    <w:p>
      <w:pPr>
        <w:ind w:left="2980" w:hanging="741"/>
        <w:spacing w:after="0"/>
        <w:tabs>
          <w:tab w:leader="none" w:pos="29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Prosecution and Maintenance of Patents as permitted by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ind w:right="1460" w:firstLine="2239"/>
        <w:spacing w:after="0" w:line="250" w:lineRule="auto"/>
        <w:tabs>
          <w:tab w:leader="none" w:pos="2997"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Regulatory Filings for Licensed Product that such Party has a license or right to develop hereunder in a given country or jurisdiction;</w:t>
      </w:r>
    </w:p>
    <w:p>
      <w:pPr>
        <w:spacing w:after="0" w:line="215" w:lineRule="exact"/>
        <w:rPr>
          <w:rFonts w:ascii="Arial" w:cs="Arial" w:eastAsia="Arial" w:hAnsi="Arial"/>
          <w:sz w:val="22"/>
          <w:szCs w:val="22"/>
          <w:color w:val="auto"/>
        </w:rPr>
      </w:pPr>
    </w:p>
    <w:p>
      <w:pPr>
        <w:ind w:left="2980" w:hanging="741"/>
        <w:spacing w:after="0"/>
        <w:tabs>
          <w:tab w:leader="none" w:pos="29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prosecuting or defending litigation as permitted by this Agreement;</w:t>
      </w:r>
    </w:p>
    <w:p>
      <w:pPr>
        <w:sectPr>
          <w:pgSz w:w="11900" w:h="16838" w:orient="portrait"/>
          <w:cols w:equalWidth="0" w:num="1">
            <w:col w:w="10420"/>
          </w:cols>
          <w:pgMar w:left="440" w:top="361" w:right="1039" w:bottom="1440" w:gutter="0" w:footer="0" w:header="0"/>
        </w:sectPr>
      </w:pPr>
    </w:p>
    <w:p>
      <w:pPr>
        <w:spacing w:after="0" w:line="281" w:lineRule="exact"/>
        <w:rPr>
          <w:sz w:val="20"/>
          <w:szCs w:val="20"/>
          <w:color w:val="auto"/>
        </w:rPr>
      </w:pPr>
    </w:p>
    <w:p>
      <w:pPr>
        <w:ind w:left="2240"/>
        <w:spacing w:after="0"/>
        <w:rPr>
          <w:sz w:val="20"/>
          <w:szCs w:val="20"/>
          <w:color w:val="auto"/>
        </w:rPr>
      </w:pPr>
      <w:r>
        <w:rPr>
          <w:rFonts w:ascii="Arial" w:cs="Arial" w:eastAsia="Arial" w:hAnsi="Arial"/>
          <w:sz w:val="19"/>
          <w:szCs w:val="19"/>
          <w:color w:val="auto"/>
        </w:rPr>
        <w:t>(d)complying with applicable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court</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orders</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or</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governmental regulations,</w:t>
      </w:r>
    </w:p>
    <w:p>
      <w:pPr>
        <w:spacing w:after="0" w:line="56" w:lineRule="exact"/>
        <w:rPr>
          <w:sz w:val="20"/>
          <w:szCs w:val="20"/>
          <w:color w:val="auto"/>
        </w:rPr>
      </w:pPr>
    </w:p>
    <w:p>
      <w:pPr>
        <w:sectPr>
          <w:pgSz w:w="11900" w:h="16838" w:orient="portrait"/>
          <w:cols w:equalWidth="0" w:num="5">
            <w:col w:w="4860" w:space="400"/>
            <w:col w:w="440" w:space="420"/>
            <w:col w:w="540" w:space="340"/>
            <w:col w:w="180" w:space="240"/>
            <w:col w:w="3000"/>
          </w:cols>
          <w:pgMar w:left="440" w:top="361" w:right="1039" w:bottom="1440" w:gutter="0" w:footer="0" w:header="0"/>
          <w:type w:val="continuous"/>
        </w:sectPr>
      </w:pPr>
    </w:p>
    <w:p>
      <w:pPr>
        <w:spacing w:after="0"/>
        <w:rPr>
          <w:sz w:val="20"/>
          <w:szCs w:val="20"/>
          <w:color w:val="auto"/>
        </w:rPr>
      </w:pPr>
      <w:r>
        <w:rPr>
          <w:rFonts w:ascii="Arial" w:cs="Arial" w:eastAsia="Arial" w:hAnsi="Arial"/>
          <w:sz w:val="19"/>
          <w:szCs w:val="19"/>
          <w:color w:val="auto"/>
        </w:rPr>
        <w:t>including mutually recognized securities laws;</w:t>
      </w:r>
    </w:p>
    <w:p>
      <w:pPr>
        <w:sectPr>
          <w:pgSz w:w="11900" w:h="16838" w:orient="portrait"/>
          <w:cols w:equalWidth="0" w:num="1">
            <w:col w:w="10420"/>
          </w:cols>
          <w:pgMar w:left="440" w:top="361" w:right="1039" w:bottom="1440" w:gutter="0" w:footer="0" w:header="0"/>
          <w:type w:val="continuous"/>
        </w:sectPr>
      </w:pPr>
    </w:p>
    <w:p>
      <w:pPr>
        <w:spacing w:after="0" w:line="61" w:lineRule="exact"/>
        <w:rPr>
          <w:sz w:val="20"/>
          <w:szCs w:val="20"/>
          <w:color w:val="auto"/>
        </w:rPr>
      </w:pPr>
    </w:p>
    <w:p>
      <w:pPr>
        <w:jc w:val="both"/>
        <w:ind w:firstLine="2246"/>
        <w:spacing w:after="0"/>
        <w:rPr>
          <w:sz w:val="20"/>
          <w:szCs w:val="20"/>
          <w:color w:val="auto"/>
        </w:rPr>
      </w:pPr>
      <w:r>
        <w:rPr>
          <w:rFonts w:ascii="Arial" w:cs="Arial" w:eastAsia="Arial" w:hAnsi="Arial"/>
          <w:sz w:val="22"/>
          <w:szCs w:val="22"/>
          <w:color w:val="auto"/>
        </w:rPr>
        <w:t>(e)in response to a valid request by a U.S., state, foreign, provincial, or local tax authority, in which case either Party may disclose, a copy of this Agreement (including any Exhibits, schedules, ancillary agreements, and amendments hereto);</w:t>
      </w:r>
    </w:p>
    <w:p>
      <w:pPr>
        <w:spacing w:after="0" w:line="227" w:lineRule="exact"/>
        <w:rPr>
          <w:sz w:val="20"/>
          <w:szCs w:val="20"/>
          <w:color w:val="auto"/>
        </w:rPr>
      </w:pPr>
    </w:p>
    <w:p>
      <w:pPr>
        <w:jc w:val="both"/>
        <w:ind w:firstLine="2246"/>
        <w:spacing w:after="0" w:line="287" w:lineRule="auto"/>
        <w:rPr>
          <w:sz w:val="20"/>
          <w:szCs w:val="20"/>
          <w:color w:val="auto"/>
        </w:rPr>
      </w:pPr>
      <w:r>
        <w:rPr>
          <w:rFonts w:ascii="Arial" w:cs="Arial" w:eastAsia="Arial" w:hAnsi="Arial"/>
          <w:sz w:val="19"/>
          <w:szCs w:val="19"/>
          <w:color w:val="auto"/>
        </w:rPr>
        <w:t>(f)disclosure to its and its Affiliates’ employees, consultants, contractors and agents, and to Sublicensees (in the case of Fulcrum), in each case on a need-to- know basis in connection with the Research, Development, Manufacture, use, Commercialization, or other exploitation of Licensed Products in accordance with the terms of this Agreement, in each case under written obligations of confidentiality and non-use; and</w:t>
      </w:r>
    </w:p>
    <w:p>
      <w:pPr>
        <w:spacing w:after="0" w:line="170" w:lineRule="exact"/>
        <w:rPr>
          <w:sz w:val="20"/>
          <w:szCs w:val="20"/>
          <w:color w:val="auto"/>
        </w:rPr>
      </w:pPr>
    </w:p>
    <w:p>
      <w:pPr>
        <w:jc w:val="both"/>
        <w:ind w:firstLine="2246"/>
        <w:spacing w:after="0" w:line="235" w:lineRule="auto"/>
        <w:rPr>
          <w:sz w:val="20"/>
          <w:szCs w:val="20"/>
          <w:color w:val="auto"/>
        </w:rPr>
      </w:pPr>
      <w:r>
        <w:rPr>
          <w:rFonts w:ascii="Arial" w:cs="Arial" w:eastAsia="Arial" w:hAnsi="Arial"/>
          <w:sz w:val="22"/>
          <w:szCs w:val="22"/>
          <w:color w:val="auto"/>
        </w:rPr>
        <w:t xml:space="preserve">(g)disclosure to potential and actual investors, acquirers, licensees and other financial partners solely for the purpose of evaluating or carrying out an actual or potential investment, acquisition or financing, in each case under written obligations of confidentiality and non-use at least as stringent as those herein;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with respect to disclosure to actual or bona fide potential investors or financiers, such disclosure is under a written obligation of confidentiality that is consistent with market terms, including a shorter period of time during which such information must be held confidential.</w:t>
      </w:r>
    </w:p>
    <w:p>
      <w:pPr>
        <w:spacing w:after="0" w:line="228"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Notwithstanding the foregoing, if a Party is required to make a disclosure of the other Party’s Confidential Information pursuant to Section 8.1.3(d) or (e), it shall, except where impracticable, give reasonable advance notice to the other Party of such disclosure and use efforts to secure confidential treatment of such Confidential Information at least as diligent as such Party would use to protect its own Confidential Information, but in no event less than reasonable efforts. Any information disclosed pursuant to Section 8.1.3(d) or (e) remains Confidential Information and subject to the restrictions set forth in this Agreement, including the foregoing provisions of this Article 8.</w:t>
      </w:r>
    </w:p>
    <w:p>
      <w:pPr>
        <w:spacing w:after="0" w:line="239"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1"/>
          <w:szCs w:val="21"/>
          <w:color w:val="auto"/>
        </w:rPr>
        <w:t>8.1.4</w:t>
      </w:r>
      <w:r>
        <w:rPr>
          <w:rFonts w:ascii="Arial" w:cs="Arial" w:eastAsia="Arial" w:hAnsi="Arial"/>
          <w:sz w:val="21"/>
          <w:szCs w:val="21"/>
          <w:b w:val="1"/>
          <w:bCs w:val="1"/>
          <w:color w:val="auto"/>
        </w:rPr>
        <w:t>Disclosure of Agreement</w:t>
      </w:r>
      <w:r>
        <w:rPr>
          <w:rFonts w:ascii="Arial" w:cs="Arial" w:eastAsia="Arial" w:hAnsi="Arial"/>
          <w:sz w:val="21"/>
          <w:szCs w:val="21"/>
          <w:color w:val="auto"/>
        </w:rPr>
        <w:t>. Notwithstanding the foregoing, either Party or its Affiliates may disclose the relevant terms of this Agreement: (a) to the extent required or advisable to comply with the rules and regulations promulgated by the U.S. Securities and Exchange Commission or any equivalent governmental agency or the rules of any recognized stock exchange in any country in the Territory, provided that such Party shall submit a confidential treatment request in connection with such disclosure and shall submit with such confidential treatment request only such redacted form of this Agreement as may be mutually agreed in writing by the Parties; (b) upon request from a Governmental Authority (such as a tax authority), provided the disclosing Party uses reasonable efforts to ensure the Governmental Authority maintains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353695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type w:val="continuous"/>
        </w:sectPr>
      </w:pPr>
    </w:p>
    <w:bookmarkStart w:id="109" w:name="page110"/>
    <w:bookmarkEnd w:id="109"/>
    <w:p>
      <w:pPr>
        <w:ind w:left="7"/>
        <w:spacing w:after="0"/>
        <w:rPr>
          <w:sz w:val="20"/>
          <w:szCs w:val="20"/>
          <w:color w:val="auto"/>
        </w:rPr>
      </w:pPr>
      <w:r>
        <w:rPr>
          <w:rFonts w:ascii="Arial" w:cs="Arial" w:eastAsia="Arial" w:hAnsi="Arial"/>
          <w:sz w:val="19"/>
          <w:szCs w:val="19"/>
          <w:color w:val="auto"/>
        </w:rPr>
        <w:t>terms as confidential; (c) to CMCC, to the extent necessary to comply with the terms of the CMCC License Agreement;</w:t>
      </w:r>
    </w:p>
    <w:p>
      <w:pPr>
        <w:spacing w:after="0" w:line="43" w:lineRule="exact"/>
        <w:rPr>
          <w:sz w:val="20"/>
          <w:szCs w:val="20"/>
          <w:color w:val="auto"/>
        </w:rPr>
      </w:pPr>
    </w:p>
    <w:p>
      <w:pPr>
        <w:jc w:val="both"/>
        <w:ind w:left="7" w:hanging="7"/>
        <w:spacing w:after="0" w:line="272" w:lineRule="auto"/>
        <w:tabs>
          <w:tab w:leader="none" w:pos="315"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to potential and actual investors, acquirers, licensees and other financial partners solely for the purpose of evaluating or carrying out an actual or potential investment or acquisition, in each case under written obligations of confidentiality and non-use at least as stringent as those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with respect to disclosure to actual or bona fide potential investors, such disclosure is under a written obligation of confidentiality that is consistent with market terms, including a shorter period of time during which such information must be held confidential; and (e) (in the case of Fulcrum) to the extent necessary in connection with the performance of obligations or exercise of rights under this Agreement, to any Sublicensee, collaborator or potential Sublicensee or potential collaborator,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such Person agrees in writing to be bound by obligations of confidentiality and non-use no less protective of the Disclosing Party than those set forth in this Agreement.</w:t>
      </w:r>
    </w:p>
    <w:p>
      <w:pPr>
        <w:spacing w:after="0" w:line="191" w:lineRule="exact"/>
        <w:rPr>
          <w:sz w:val="20"/>
          <w:szCs w:val="20"/>
          <w:color w:val="auto"/>
        </w:rPr>
      </w:pPr>
    </w:p>
    <w:p>
      <w:pPr>
        <w:ind w:left="7" w:right="20" w:firstLine="1497"/>
        <w:spacing w:after="0" w:line="256" w:lineRule="auto"/>
        <w:rPr>
          <w:sz w:val="20"/>
          <w:szCs w:val="20"/>
          <w:color w:val="auto"/>
        </w:rPr>
      </w:pPr>
      <w:r>
        <w:rPr>
          <w:rFonts w:ascii="Arial" w:cs="Arial" w:eastAsia="Arial" w:hAnsi="Arial"/>
          <w:sz w:val="22"/>
          <w:szCs w:val="22"/>
          <w:color w:val="auto"/>
        </w:rPr>
        <w:t>8.1.5</w:t>
      </w:r>
      <w:r>
        <w:rPr>
          <w:rFonts w:ascii="Arial" w:cs="Arial" w:eastAsia="Arial" w:hAnsi="Arial"/>
          <w:sz w:val="22"/>
          <w:szCs w:val="22"/>
          <w:b w:val="1"/>
          <w:bCs w:val="1"/>
          <w:color w:val="auto"/>
        </w:rPr>
        <w:t>Survival</w:t>
      </w:r>
      <w:r>
        <w:rPr>
          <w:rFonts w:ascii="Arial" w:cs="Arial" w:eastAsia="Arial" w:hAnsi="Arial"/>
          <w:sz w:val="22"/>
          <w:szCs w:val="22"/>
          <w:color w:val="auto"/>
        </w:rPr>
        <w:t>. Each Party’s obligations with respect to Confidential Information under this Section 8.1 apply during the Term and continue for [***] thereafter.</w:t>
      </w:r>
    </w:p>
    <w:p>
      <w:pPr>
        <w:spacing w:after="0" w:line="203" w:lineRule="exact"/>
        <w:rPr>
          <w:sz w:val="20"/>
          <w:szCs w:val="20"/>
          <w:color w:val="auto"/>
        </w:rPr>
      </w:pPr>
    </w:p>
    <w:p>
      <w:pPr>
        <w:jc w:val="both"/>
        <w:ind w:left="7" w:firstLine="749"/>
        <w:spacing w:after="0" w:line="272" w:lineRule="auto"/>
        <w:rPr>
          <w:sz w:val="20"/>
          <w:szCs w:val="20"/>
          <w:color w:val="auto"/>
        </w:rPr>
      </w:pPr>
      <w:r>
        <w:rPr>
          <w:rFonts w:ascii="Arial" w:cs="Arial" w:eastAsia="Arial" w:hAnsi="Arial"/>
          <w:sz w:val="19"/>
          <w:szCs w:val="19"/>
          <w:color w:val="auto"/>
        </w:rPr>
        <w:t>8.2</w:t>
      </w:r>
      <w:r>
        <w:rPr>
          <w:rFonts w:ascii="Arial" w:cs="Arial" w:eastAsia="Arial" w:hAnsi="Arial"/>
          <w:sz w:val="19"/>
          <w:szCs w:val="19"/>
          <w:b w:val="1"/>
          <w:bCs w:val="1"/>
          <w:color w:val="auto"/>
        </w:rPr>
        <w:t>Publicity</w:t>
      </w:r>
      <w:r>
        <w:rPr>
          <w:rFonts w:ascii="Arial" w:cs="Arial" w:eastAsia="Arial" w:hAnsi="Arial"/>
          <w:sz w:val="19"/>
          <w:szCs w:val="19"/>
          <w:color w:val="auto"/>
        </w:rPr>
        <w:t xml:space="preserve">. CAMP4 acknowledges that Fulcrum is a publicly traded company and that the disclosure of non-public information regarding Fulcrum or trading in the securities of Fulcrum while in the possession of such information may, depending on the facts and circumstances, subject CAMP4 to liability under the regulations or the rules of the U.S. Securities and Exchange Commission, NASDAQ or any stock exchange on which Fulcrum’s shares are listed or the U.S. Securities and Exchange Act of 1934, as amended. Fulcrum shall issue a press release in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promptly after the Effective Date. Thereafter, either Party may make subsequent public disclosure of the contents of such press release. Except as permitted under Section 8.1.3 and this section 8.2, neither Party shall issue any subsequent press release or public statement disclosing information relating to this Agreement or the transactions contemplated hereby or the terms hereof without the prior written consent of the other Party, not to be unreasonably withheld, conditioned, or delayed; provided however, that neither Party will not be prevented from (i) complying with any duty of disclosure it may have pursuant to Applicable Laws or pursuant to the rules of any recognized stock exchange, or (ii) repeating any information relating to this Agreement that has already been publicly disclosed by the other Party.</w:t>
      </w:r>
    </w:p>
    <w:p>
      <w:pPr>
        <w:spacing w:after="0" w:line="200" w:lineRule="exact"/>
        <w:rPr>
          <w:sz w:val="20"/>
          <w:szCs w:val="20"/>
          <w:color w:val="auto"/>
        </w:rPr>
      </w:pPr>
    </w:p>
    <w:p>
      <w:pPr>
        <w:spacing w:after="0" w:line="231" w:lineRule="exact"/>
        <w:rPr>
          <w:sz w:val="20"/>
          <w:szCs w:val="20"/>
          <w:color w:val="auto"/>
        </w:rPr>
      </w:pPr>
    </w:p>
    <w:p>
      <w:pPr>
        <w:jc w:val="both"/>
        <w:ind w:left="7" w:firstLine="749"/>
        <w:spacing w:after="0" w:line="274" w:lineRule="auto"/>
        <w:rPr>
          <w:sz w:val="20"/>
          <w:szCs w:val="20"/>
          <w:color w:val="auto"/>
        </w:rPr>
      </w:pPr>
      <w:r>
        <w:rPr>
          <w:rFonts w:ascii="Arial" w:cs="Arial" w:eastAsia="Arial" w:hAnsi="Arial"/>
          <w:sz w:val="19"/>
          <w:szCs w:val="19"/>
          <w:color w:val="auto"/>
        </w:rPr>
        <w:t>8.3</w:t>
      </w:r>
      <w:r>
        <w:rPr>
          <w:rFonts w:ascii="Arial" w:cs="Arial" w:eastAsia="Arial" w:hAnsi="Arial"/>
          <w:sz w:val="19"/>
          <w:szCs w:val="19"/>
          <w:b w:val="1"/>
          <w:bCs w:val="1"/>
          <w:color w:val="auto"/>
        </w:rPr>
        <w:t>Proprietary, Non-Public Information</w:t>
      </w:r>
      <w:r>
        <w:rPr>
          <w:rFonts w:ascii="Arial" w:cs="Arial" w:eastAsia="Arial" w:hAnsi="Arial"/>
          <w:sz w:val="19"/>
          <w:szCs w:val="19"/>
          <w:color w:val="auto"/>
        </w:rPr>
        <w:t>. Fulcrum hereby covenants and agrees that it will not use or cause to be used proprietary, non-public information that CAMP4 has acquired from CMCC or any Affiliate thereof in the course of prosecution of the CMCC-Licensed Patents, or patent counsel prosecuting the CMCC-Licensed Patents on behalf of Fulcrum or its Affiliates and such information shall be considered Confidential Information of CMCC or its Affiliates and be subject to CAMP4’s obligations under Article VI of the CMCC License Agreement. But for satisfying Fulcrum’s obligations under 37 CFR 1.56 and any other similar statutory, regulatory or professional ethical requirement, Fulcrum shall not advise counsel prosecuting such CMCC- Licensed Patents to include information in any such patent application that would, to Fulcrum’s knowledge, have a material, negative impact on CMCC’s or its Affiliate’s ownership of such rights or the validity of such CMCC-Licensed Patents. Any assignment or sublicense granted by Fulcrum shall contain an identical commitment by the assignee or Sublicensee.</w:t>
      </w:r>
    </w:p>
    <w:p>
      <w:pPr>
        <w:spacing w:after="0" w:line="200" w:lineRule="exact"/>
        <w:rPr>
          <w:sz w:val="20"/>
          <w:szCs w:val="20"/>
          <w:color w:val="auto"/>
        </w:rPr>
      </w:pP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22"/>
          <w:szCs w:val="22"/>
          <w:b w:val="1"/>
          <w:bCs w:val="1"/>
          <w:color w:val="auto"/>
        </w:rPr>
        <w:t>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512445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7"/>
          </w:cols>
          <w:pgMar w:left="433" w:top="429" w:right="10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2"/>
          <w:szCs w:val="22"/>
          <w:b w:val="1"/>
          <w:bCs w:val="1"/>
          <w:color w:val="auto"/>
        </w:rPr>
        <w:t>TERM &amp; TERMINATION</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9.1</w:t>
      </w:r>
      <w:r>
        <w:rPr>
          <w:rFonts w:ascii="Arial" w:cs="Arial" w:eastAsia="Arial" w:hAnsi="Arial"/>
          <w:sz w:val="21"/>
          <w:szCs w:val="21"/>
          <w:b w:val="1"/>
          <w:bCs w:val="1"/>
          <w:color w:val="auto"/>
        </w:rPr>
        <w:t>Term</w:t>
      </w:r>
      <w:r>
        <w:rPr>
          <w:rFonts w:ascii="Arial" w:cs="Arial" w:eastAsia="Arial" w:hAnsi="Arial"/>
          <w:sz w:val="21"/>
          <w:szCs w:val="21"/>
          <w:color w:val="auto"/>
        </w:rPr>
        <w:t>. This Agreement commences on the Effective Date and, unless terminated earlier as provided in accordance with this Agreement, shall continue on a Licensed Product-by- Licensed Product basis until the expiration of the Royalty Term in the Territory for such Licensed Product (the “</w:t>
      </w:r>
      <w:r>
        <w:rPr>
          <w:rFonts w:ascii="Arial" w:cs="Arial" w:eastAsia="Arial" w:hAnsi="Arial"/>
          <w:sz w:val="21"/>
          <w:szCs w:val="21"/>
          <w:b w:val="1"/>
          <w:bCs w:val="1"/>
          <w:i w:val="1"/>
          <w:iCs w:val="1"/>
          <w:color w:val="auto"/>
        </w:rPr>
        <w:t>Term</w:t>
      </w:r>
      <w:r>
        <w:rPr>
          <w:rFonts w:ascii="Arial" w:cs="Arial" w:eastAsia="Arial" w:hAnsi="Arial"/>
          <w:sz w:val="21"/>
          <w:szCs w:val="21"/>
          <w:color w:val="auto"/>
        </w:rPr>
        <w:t>”). Upon the expiration of the Royalty Term for a Licensed Product in a particular country, the licenses granted by CAMP4 to Fulcrum under Section 2.1 with respect to such Licensed Product and such country shall survive and become perpetual, fully-paid, and royalty-free, and shall remain exclusive (even as to CAMP4 and its Affiliates).</w:t>
      </w:r>
    </w:p>
    <w:p>
      <w:pPr>
        <w:spacing w:after="0" w:line="19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1"/>
          <w:szCs w:val="21"/>
          <w:color w:val="auto"/>
        </w:rPr>
        <w:t>9.2</w:t>
      </w:r>
      <w:r>
        <w:rPr>
          <w:rFonts w:ascii="Arial" w:cs="Arial" w:eastAsia="Arial" w:hAnsi="Arial"/>
          <w:sz w:val="21"/>
          <w:szCs w:val="21"/>
          <w:b w:val="1"/>
          <w:bCs w:val="1"/>
          <w:color w:val="auto"/>
        </w:rPr>
        <w:t>Termination for Failure to Pay</w:t>
      </w:r>
      <w:r>
        <w:rPr>
          <w:rFonts w:ascii="Arial" w:cs="Arial" w:eastAsia="Arial" w:hAnsi="Arial"/>
          <w:sz w:val="21"/>
          <w:szCs w:val="21"/>
          <w:color w:val="auto"/>
        </w:rPr>
        <w:t>. CAMP4 may terminate this Agreement upon [***] prior written notice in the event of Fulcrum’s failure to pay to CAMP4 any amounts properly due and payable hereunder in a timely manner, unless Fulcrum shall make all such payments to CAMP4 within said [***]; provided that the cure period will be tolled pending resolution of any bona fide dispute between the Parties as to whether such payments is due and payable under this Agreement. Upon the expiration of the [***] (plus any additional time due to tolling of the cure period), if Fulcrum shall not have made all such undisputed payments to CAMP4, the rights, privileges and licenses granted hereunder shall terminate without further action by CAMP4.</w:t>
      </w:r>
    </w:p>
    <w:p>
      <w:pPr>
        <w:spacing w:after="0" w:line="21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9.3</w:t>
      </w:r>
      <w:r>
        <w:rPr>
          <w:rFonts w:ascii="Arial" w:cs="Arial" w:eastAsia="Arial" w:hAnsi="Arial"/>
          <w:sz w:val="19"/>
          <w:szCs w:val="19"/>
          <w:b w:val="1"/>
          <w:bCs w:val="1"/>
          <w:color w:val="auto"/>
        </w:rPr>
        <w:t>Termination for Patent Challenge</w:t>
      </w:r>
      <w:r>
        <w:rPr>
          <w:rFonts w:ascii="Arial" w:cs="Arial" w:eastAsia="Arial" w:hAnsi="Arial"/>
          <w:sz w:val="19"/>
          <w:szCs w:val="19"/>
          <w:color w:val="auto"/>
        </w:rPr>
        <w:t>. CAMP4 may terminate this Agreement upon [***] written notice to Fulcrum if Fulcrum or Fulcrum’s Affiliate, or Sublicensee takes actions to challenge, in a judicial or administrative proceeding, the validity of any CMCC-Licensed Patent, provided that Fulcrum has not revoked or caused to be revoked such proceeding within [***]; provided further that the foregoing right to terminate shall not apply where such challenge of a CMCC-Licensed Patent is the assertion of a defense or counterclaim to an action first brought by CMCC against Fulcrum. For the avoidance of doubt, any participation by Fulcrum, its Affiliate, Sublicensee or any of their respective employees in any claim, challenge or proceeding in response to a subpoena shall not constitute an active challenge and shall not give rise to CAMP4’s right to terminate this Agreement.</w:t>
      </w:r>
    </w:p>
    <w:p>
      <w:pPr>
        <w:spacing w:after="0" w:line="19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9.4</w:t>
      </w:r>
      <w:r>
        <w:rPr>
          <w:rFonts w:ascii="Arial" w:cs="Arial" w:eastAsia="Arial" w:hAnsi="Arial"/>
          <w:sz w:val="22"/>
          <w:szCs w:val="22"/>
          <w:b w:val="1"/>
          <w:bCs w:val="1"/>
          <w:color w:val="auto"/>
        </w:rPr>
        <w:t>Termination for Material Breach</w:t>
      </w:r>
      <w:r>
        <w:rPr>
          <w:rFonts w:ascii="Arial" w:cs="Arial" w:eastAsia="Arial" w:hAnsi="Arial"/>
          <w:sz w:val="22"/>
          <w:szCs w:val="22"/>
          <w:color w:val="auto"/>
        </w:rPr>
        <w:t xml:space="preserve">. Either Party may terminate this Agreement, upon written notice to the other Party if such other Party materially breaches its obligations under this Agreement and, after receiving written notice from the non-breaching Party identifying such material breach in reasonable detail, fails to cure such material breach within [***] from the date of such notice;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such breach is not reasonably capable of cure within [***], the breaching Party may submit, prior to the end of [***], a reasonable plan to cure the breach within [***] in which case the other Party may not terminate this Agreement for so long as the breaching Party is [***] to implement such cure plan within [***].</w:t>
      </w:r>
    </w:p>
    <w:p>
      <w:pPr>
        <w:spacing w:after="0" w:line="291"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color w:val="auto"/>
        </w:rPr>
        <w:t>9.5</w:t>
      </w:r>
      <w:r>
        <w:rPr>
          <w:rFonts w:ascii="Arial" w:cs="Arial" w:eastAsia="Arial" w:hAnsi="Arial"/>
          <w:sz w:val="19"/>
          <w:szCs w:val="19"/>
          <w:b w:val="1"/>
          <w:bCs w:val="1"/>
          <w:color w:val="auto"/>
        </w:rPr>
        <w:t>Termination for Insolvency</w:t>
      </w:r>
      <w:r>
        <w:rPr>
          <w:rFonts w:ascii="Arial" w:cs="Arial" w:eastAsia="Arial" w:hAnsi="Arial"/>
          <w:sz w:val="19"/>
          <w:szCs w:val="19"/>
          <w:color w:val="auto"/>
        </w:rPr>
        <w:t>. A Party may immediately terminate this Agreement upon written notice to the other Party if such other Party becomes insolvent or is unable to pay its debts as they become due, makes an assignment for the benefit of its creditors, enters into bankruptcy or similar proceedings, or has a receiver or custodian appointed for it, or ceases to conduct business or enters into dissolution or liquidation proceedings.</w:t>
      </w:r>
    </w:p>
    <w:p>
      <w:pPr>
        <w:spacing w:after="0" w:line="16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9.6</w:t>
      </w:r>
      <w:r>
        <w:rPr>
          <w:rFonts w:ascii="Arial" w:cs="Arial" w:eastAsia="Arial" w:hAnsi="Arial"/>
          <w:sz w:val="22"/>
          <w:szCs w:val="22"/>
          <w:b w:val="1"/>
          <w:bCs w:val="1"/>
          <w:color w:val="auto"/>
        </w:rPr>
        <w:t>Termination by Fulcrum without Cause</w:t>
      </w:r>
      <w:r>
        <w:rPr>
          <w:rFonts w:ascii="Arial" w:cs="Arial" w:eastAsia="Arial" w:hAnsi="Arial"/>
          <w:sz w:val="22"/>
          <w:szCs w:val="22"/>
          <w:color w:val="auto"/>
        </w:rPr>
        <w:t>. Fulcrum may, in its sole discretion, terminate this Agreement in its entirety at any time and without cause [***] prior written notice to CAMP4.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347980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55" w:right="1039" w:bottom="1440" w:gutter="0" w:footer="0" w:header="0"/>
        </w:sectPr>
      </w:pPr>
    </w:p>
    <w:bookmarkStart w:id="111" w:name="page112"/>
    <w:bookmarkEnd w:id="111"/>
    <w:p>
      <w:pPr>
        <w:jc w:val="both"/>
        <w:ind w:firstLine="749"/>
        <w:spacing w:after="0" w:line="278" w:lineRule="auto"/>
        <w:rPr>
          <w:sz w:val="20"/>
          <w:szCs w:val="20"/>
          <w:color w:val="auto"/>
        </w:rPr>
      </w:pPr>
      <w:r>
        <w:rPr>
          <w:rFonts w:ascii="Arial" w:cs="Arial" w:eastAsia="Arial" w:hAnsi="Arial"/>
          <w:sz w:val="19"/>
          <w:szCs w:val="19"/>
          <w:color w:val="auto"/>
        </w:rPr>
        <w:t>9.7</w:t>
      </w:r>
      <w:r>
        <w:rPr>
          <w:rFonts w:ascii="Arial" w:cs="Arial" w:eastAsia="Arial" w:hAnsi="Arial"/>
          <w:sz w:val="19"/>
          <w:szCs w:val="19"/>
          <w:b w:val="1"/>
          <w:bCs w:val="1"/>
          <w:color w:val="auto"/>
        </w:rPr>
        <w:t>Disputed Breach</w:t>
      </w:r>
      <w:r>
        <w:rPr>
          <w:rFonts w:ascii="Arial" w:cs="Arial" w:eastAsia="Arial" w:hAnsi="Arial"/>
          <w:sz w:val="19"/>
          <w:szCs w:val="19"/>
          <w:color w:val="auto"/>
        </w:rPr>
        <w:t>. If the allegedly breaching Party disputes in good faith the existence or materiality of a breach specified in a notice provided by the other Party in accordance with Section 9.4, and such allegedly breaching Party provides the other Party notice of such dispute within [***] then the non-breaching Party may not terminate this Agreement under Section 9.4 unless and until it has been finally determined pursuant to Article 10 that the alleged breaching Party has materially breached this Agreement and such Party fails to cure such breach within [***] following a final and non-appealable court decision. During the pendency of such dispute, all of the terms and conditions of this Agreement shall remain in effect and the Parties shall continue to perform all of their respective obligations hereunder.</w:t>
      </w:r>
    </w:p>
    <w:p>
      <w:pPr>
        <w:spacing w:after="0" w:line="186"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b w:val="1"/>
          <w:bCs w:val="1"/>
          <w:color w:val="auto"/>
        </w:rPr>
        <w:t>Effects of Termination</w:t>
      </w:r>
      <w:r>
        <w:rPr>
          <w:rFonts w:ascii="Arial" w:cs="Arial" w:eastAsia="Arial" w:hAnsi="Arial"/>
          <w:sz w:val="19"/>
          <w:szCs w:val="19"/>
          <w:color w:val="auto"/>
        </w:rPr>
        <w:t>.</w:t>
      </w:r>
    </w:p>
    <w:p>
      <w:pPr>
        <w:spacing w:after="0" w:line="233"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9.8.1</w:t>
      </w:r>
      <w:r>
        <w:rPr>
          <w:rFonts w:ascii="Arial" w:cs="Arial" w:eastAsia="Arial" w:hAnsi="Arial"/>
          <w:sz w:val="19"/>
          <w:szCs w:val="19"/>
          <w:b w:val="1"/>
          <w:bCs w:val="1"/>
          <w:color w:val="auto"/>
        </w:rPr>
        <w:t>Termination of Licenses</w:t>
      </w:r>
      <w:r>
        <w:rPr>
          <w:rFonts w:ascii="Arial" w:cs="Arial" w:eastAsia="Arial" w:hAnsi="Arial"/>
          <w:sz w:val="19"/>
          <w:szCs w:val="19"/>
          <w:color w:val="auto"/>
        </w:rPr>
        <w:t>. All licenses for Licensed Products granted under Section 2.1 terminate automatically as of the termination effective date; provided that, if Fulcrum (or its Affiliates or Sublicensees) has inventory of usable Licensed Product(s) as of the effective date of termination, then Fulcrum (and its Affiliates and Sublicensees) may continue to sell off such inventory of Licensed Products in the Field in the Territory (and fulfill customer orders therefor) until [***], and shall pay CAMP4 any applicable Royalties due based on such sales. Notwithstanding the foregoing, upon termination of this Agreement for any reason, upon the request of any Sublicensee of Fulcrum who is not then in breach of its sublicense agreement or the terms and conditions of this Agreement applicable to such Sublicensee, CAMP4 will enter into a direct license to such Sublicensee on the same terms as this Agreement, taking into account any difference in license scope, territory and duration of sublicense grant (each a “</w:t>
      </w:r>
      <w:r>
        <w:rPr>
          <w:rFonts w:ascii="Arial" w:cs="Arial" w:eastAsia="Arial" w:hAnsi="Arial"/>
          <w:sz w:val="19"/>
          <w:szCs w:val="19"/>
          <w:b w:val="1"/>
          <w:bCs w:val="1"/>
          <w:i w:val="1"/>
          <w:i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License Agreement</w:t>
      </w:r>
      <w:r>
        <w:rPr>
          <w:rFonts w:ascii="Arial" w:cs="Arial" w:eastAsia="Arial" w:hAnsi="Arial"/>
          <w:sz w:val="19"/>
          <w:szCs w:val="19"/>
          <w:color w:val="auto"/>
        </w:rPr>
        <w:t>”). Under any such New License Agreement between CAMP4 and such former Sublicensee,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such former Sublicensee will be required to pay to CAMP4 the same amounts in consideration for such direct grant as CAMP4 would have otherwise received from Fulcrum pursuant to this Agreement on account of such former Sublicensee’s exploitation of the Licensed Products had this Agreement not been terminated and (b) CAMP4 will not be bound by any grant of rights broader than, and will not be required to perform any obligation other than those rights and obligations contained in, this Agreement.</w:t>
      </w:r>
    </w:p>
    <w:p>
      <w:pPr>
        <w:spacing w:after="0" w:line="200" w:lineRule="exact"/>
        <w:rPr>
          <w:sz w:val="20"/>
          <w:szCs w:val="20"/>
          <w:color w:val="auto"/>
        </w:rPr>
      </w:pPr>
    </w:p>
    <w:p>
      <w:pPr>
        <w:spacing w:after="0" w:line="234"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9.8.2</w:t>
      </w:r>
      <w:r>
        <w:rPr>
          <w:rFonts w:ascii="Arial" w:cs="Arial" w:eastAsia="Arial" w:hAnsi="Arial"/>
          <w:sz w:val="19"/>
          <w:szCs w:val="19"/>
          <w:b w:val="1"/>
          <w:bCs w:val="1"/>
          <w:color w:val="auto"/>
        </w:rPr>
        <w:t>Destruction of Confidential Information</w:t>
      </w:r>
      <w:r>
        <w:rPr>
          <w:rFonts w:ascii="Arial" w:cs="Arial" w:eastAsia="Arial" w:hAnsi="Arial"/>
          <w:sz w:val="19"/>
          <w:szCs w:val="19"/>
          <w:color w:val="auto"/>
        </w:rPr>
        <w:t>. Each Receiving Party shall destroy (at the Disclosing Party’s written request) all such Confidential Information of the Receiving Party in its possession as of the effective date of expiration or termination (with the exception of one copy of such Confidential Information, which may be retained by the legal department of the Receiving Party to confirm compliance with the non-use and non-disclosure provisions of this Agreement), and any Confidential Information of the Disclosing Party contained in its laboratory notebooks or databases, provided that each Receiving Party may retain and continue to use such Confidential Information of the Disclosing Party to the extent necessary to exercise any surviving rights, licenses or obligations under this Agreement. Notwithstanding the foregoing, a Receiving Party shall not be required to destroy any computer files created during automatic system back up that are subsequently stored securely by it and not readily accessible to its employees, consultants, or others who received the Disclosing Party’s Confidential Information under this Agreement.</w:t>
      </w:r>
    </w:p>
    <w:p>
      <w:pPr>
        <w:spacing w:after="0" w:line="1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9.9</w:t>
      </w:r>
      <w:r>
        <w:rPr>
          <w:rFonts w:ascii="Arial" w:cs="Arial" w:eastAsia="Arial" w:hAnsi="Arial"/>
          <w:sz w:val="22"/>
          <w:szCs w:val="22"/>
          <w:b w:val="1"/>
          <w:bCs w:val="1"/>
          <w:color w:val="auto"/>
        </w:rPr>
        <w:t>Additional Effects of Termination by CAMP4 for Cause</w:t>
      </w:r>
      <w:r>
        <w:rPr>
          <w:rFonts w:ascii="Arial" w:cs="Arial" w:eastAsia="Arial" w:hAnsi="Arial"/>
          <w:sz w:val="22"/>
          <w:szCs w:val="22"/>
          <w:color w:val="auto"/>
        </w:rPr>
        <w:t>. This Section 9.9 shall apply upon any termination of this Agreement in its entirety by CAMP4 under Section 9.2, Section 9.3, or Section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347980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679" w:right="1039" w:bottom="1440" w:gutter="0" w:footer="0" w:header="0"/>
        </w:sectPr>
      </w:pPr>
    </w:p>
    <w:bookmarkStart w:id="112" w:name="page113"/>
    <w:bookmarkEnd w:id="112"/>
    <w:p>
      <w:pPr>
        <w:jc w:val="both"/>
        <w:ind w:firstLine="1497"/>
        <w:spacing w:after="0" w:line="249" w:lineRule="auto"/>
        <w:rPr>
          <w:sz w:val="20"/>
          <w:szCs w:val="20"/>
          <w:color w:val="auto"/>
        </w:rPr>
      </w:pPr>
      <w:r>
        <w:rPr>
          <w:rFonts w:ascii="Arial" w:cs="Arial" w:eastAsia="Arial" w:hAnsi="Arial"/>
          <w:sz w:val="21"/>
          <w:szCs w:val="21"/>
          <w:color w:val="auto"/>
        </w:rPr>
        <w:t>9.9.1</w:t>
      </w:r>
      <w:r>
        <w:rPr>
          <w:rFonts w:ascii="Arial" w:cs="Arial" w:eastAsia="Arial" w:hAnsi="Arial"/>
          <w:sz w:val="21"/>
          <w:szCs w:val="21"/>
          <w:b w:val="1"/>
          <w:bCs w:val="1"/>
          <w:color w:val="auto"/>
        </w:rPr>
        <w:t>License Grant</w:t>
      </w:r>
      <w:r>
        <w:rPr>
          <w:rFonts w:ascii="Arial" w:cs="Arial" w:eastAsia="Arial" w:hAnsi="Arial"/>
          <w:sz w:val="21"/>
          <w:szCs w:val="21"/>
          <w:color w:val="auto"/>
        </w:rPr>
        <w:t>. Effective upon the effective date of termination of this Agreement, Fulcrum hereby grants to CAMP4 in the Field and in the Territory an exclusive, royalty-free, fully paid-up, license with the right to grant sublicenses, under any intellectual property rights Controlled by Fulcrum that are necessary or had been, prior to such termination, actually used by Fulcrum to exploit any Licensed Product, as such Licensed Product existed on the effective date of termination of this Agreement, to Research, Develop, Manufacture, use, Commercialize, or otherwise exploit such Licensed Products in the Field in the Territory.</w:t>
      </w:r>
    </w:p>
    <w:p>
      <w:pPr>
        <w:spacing w:after="0" w:line="198"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9"/>
          <w:szCs w:val="19"/>
          <w:color w:val="auto"/>
        </w:rPr>
        <w:t>9.9.2</w:t>
      </w:r>
      <w:r>
        <w:rPr>
          <w:rFonts w:ascii="Arial" w:cs="Arial" w:eastAsia="Arial" w:hAnsi="Arial"/>
          <w:sz w:val="19"/>
          <w:szCs w:val="19"/>
          <w:b w:val="1"/>
          <w:bCs w:val="1"/>
          <w:color w:val="auto"/>
        </w:rPr>
        <w:t>Conveyance of Regulatory Filings</w:t>
      </w:r>
      <w:r>
        <w:rPr>
          <w:rFonts w:ascii="Arial" w:cs="Arial" w:eastAsia="Arial" w:hAnsi="Arial"/>
          <w:sz w:val="19"/>
          <w:szCs w:val="19"/>
          <w:color w:val="auto"/>
        </w:rPr>
        <w:t>. Upon termination of this Agreement, Fulcrum will, to the extent not prohibited by Applicable Law, assign and transfer to CAMP4 or its designee, [***] any and all Regulatory Filings, including any Marketing Authorization obtained from Regulatory Authorities in the Territory, solely relating to a Licensed Product in the Field in the Territory. If Fulcrum is prohibited by Applicable Law from assigning or transferring Regulatory Filings to CAMP4 or its designee, then Fulcrum will promptly upon CAMP4’s request (a) provide all such Regulatory Filings to CAMP4 or its designee and reasonably cooperate with CAMP4 and its designees to permit CAMP4 and its designees to make new Regulatory Filings for such Licensed Product in the Field in the Territory and (b) withdraw its own Regulatory Filings for the Licensed Product in the Territory.</w:t>
      </w:r>
    </w:p>
    <w:p>
      <w:pPr>
        <w:spacing w:after="0" w:line="190"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9.10</w:t>
      </w:r>
      <w:r>
        <w:rPr>
          <w:sz w:val="20"/>
          <w:szCs w:val="20"/>
          <w:color w:val="auto"/>
        </w:rPr>
        <w:tab/>
      </w:r>
      <w:r>
        <w:rPr>
          <w:rFonts w:ascii="Arial" w:cs="Arial" w:eastAsia="Arial" w:hAnsi="Arial"/>
          <w:sz w:val="19"/>
          <w:szCs w:val="19"/>
          <w:b w:val="1"/>
          <w:bCs w:val="1"/>
          <w:color w:val="auto"/>
        </w:rPr>
        <w:t>Additional Effects of Termination by Fulcrum for Convenience</w:t>
      </w:r>
      <w:r>
        <w:rPr>
          <w:rFonts w:ascii="Arial" w:cs="Arial" w:eastAsia="Arial" w:hAnsi="Arial"/>
          <w:sz w:val="19"/>
          <w:szCs w:val="19"/>
          <w:color w:val="auto"/>
        </w:rPr>
        <w:t>. This Section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9.10shall apply upon any termination of this Agreement in its entirety by Fulcrum under Section 9.6:</w:t>
      </w:r>
    </w:p>
    <w:p>
      <w:pPr>
        <w:spacing w:after="0" w:line="290"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1"/>
          <w:szCs w:val="21"/>
          <w:color w:val="auto"/>
        </w:rPr>
        <w:t>9.10.1</w:t>
      </w:r>
      <w:r>
        <w:rPr>
          <w:rFonts w:ascii="Arial" w:cs="Arial" w:eastAsia="Arial" w:hAnsi="Arial"/>
          <w:sz w:val="21"/>
          <w:szCs w:val="21"/>
          <w:b w:val="1"/>
          <w:bCs w:val="1"/>
          <w:color w:val="auto"/>
        </w:rPr>
        <w:t>Right to Negotiate</w:t>
      </w:r>
      <w:r>
        <w:rPr>
          <w:rFonts w:ascii="Arial" w:cs="Arial" w:eastAsia="Arial" w:hAnsi="Arial"/>
          <w:sz w:val="21"/>
          <w:szCs w:val="21"/>
          <w:color w:val="auto"/>
        </w:rPr>
        <w:t>. On the written request of CAMP4 within [***] after the effective date of termination of this Agreement, Fulcrum will enter into good faith negotiations with CAMP4 for the grant to CAMP4 in the Field and in the Territory of an exclusive, royalty-bearing (or revenue sharing), license with the right to grant sublicenses, under any intellectual property rights Controlled by Fulcrum that are necessary or had been, prior to such termination, actually used by Fulcrum to exploit any Licensed Product, as such Licensed Product existed on the effective date of termination of this Agreement, to Research, Develop, Manufacture, use, Commercialize, or otherwise exploit such Licensed Products in the Field in the Territory.</w:t>
      </w:r>
    </w:p>
    <w:p>
      <w:pPr>
        <w:spacing w:after="0" w:line="218"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9.10.2</w:t>
      </w:r>
      <w:r>
        <w:rPr>
          <w:rFonts w:ascii="Arial" w:cs="Arial" w:eastAsia="Arial" w:hAnsi="Arial"/>
          <w:sz w:val="22"/>
          <w:szCs w:val="22"/>
          <w:b w:val="1"/>
          <w:bCs w:val="1"/>
          <w:color w:val="auto"/>
        </w:rPr>
        <w:t>Conveyance of Regulatory Filings</w:t>
      </w:r>
      <w:r>
        <w:rPr>
          <w:rFonts w:ascii="Arial" w:cs="Arial" w:eastAsia="Arial" w:hAnsi="Arial"/>
          <w:sz w:val="22"/>
          <w:szCs w:val="22"/>
          <w:color w:val="auto"/>
        </w:rPr>
        <w:t>. Upon termination of this Agreement, Fulcrum will, to the extent not prohibited by Applicable Law, assign and transfer to CAMP4 or its designee, [***] any and all Regulatory Filings, including any Marketing Authorization obtained from Regulatory Authorities in the Territory, solely relating to a Licensed Product (other than Regulatory Filings relating to any Licensed Products Covered by a Valid Claim of a Patent owned by Fulcrum or its Affiliates or Sublicensees) in the Field in the Territory. If Fulcrum is prohibited by Applicable Law from assigning or transferring Regulatory Filings to CAMP4 or its designee, then Fulcrum will promptly upon CAMP4’s request (a) provide all such Regulatory Filings to CAMP4 or its designee and reasonably cooperate with CAMP4 and its designees to permit CAMP4 and its designees to make new Regulatory Filings for such Licensed Product in the Field in the Territory and (b) withdraw its own Regulatory Filings for such Licensed Product in the Territory.</w:t>
      </w:r>
    </w:p>
    <w:p>
      <w:pPr>
        <w:spacing w:after="0" w:line="20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color w:val="auto"/>
        </w:rPr>
        <w:t>9.11</w:t>
      </w:r>
      <w:r>
        <w:rPr>
          <w:rFonts w:ascii="Arial" w:cs="Arial" w:eastAsia="Arial" w:hAnsi="Arial"/>
          <w:sz w:val="22"/>
          <w:szCs w:val="22"/>
          <w:b w:val="1"/>
          <w:bCs w:val="1"/>
          <w:color w:val="auto"/>
        </w:rPr>
        <w:t>Survival</w:t>
      </w:r>
      <w:r>
        <w:rPr>
          <w:rFonts w:ascii="Arial" w:cs="Arial" w:eastAsia="Arial" w:hAnsi="Arial"/>
          <w:sz w:val="22"/>
          <w:szCs w:val="22"/>
          <w:color w:val="auto"/>
        </w:rPr>
        <w:t>. Expiration or termination of this Agreement shall not relieve the Parties of any obligation or right accruing prior to such expiration or termination. Except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347980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612" w:right="1039" w:bottom="1440" w:gutter="0" w:footer="0" w:header="0"/>
        </w:sectPr>
      </w:pPr>
    </w:p>
    <w:bookmarkStart w:id="113" w:name="page114"/>
    <w:bookmarkEnd w:id="113"/>
    <w:p>
      <w:pPr>
        <w:jc w:val="both"/>
        <w:spacing w:after="0"/>
        <w:rPr>
          <w:sz w:val="20"/>
          <w:szCs w:val="20"/>
          <w:color w:val="auto"/>
        </w:rPr>
      </w:pPr>
      <w:r>
        <w:rPr>
          <w:rFonts w:ascii="Arial" w:cs="Arial" w:eastAsia="Arial" w:hAnsi="Arial"/>
          <w:sz w:val="22"/>
          <w:szCs w:val="22"/>
          <w:color w:val="auto"/>
        </w:rPr>
        <w:t>or elsewhere in this Agreement, the obligations and rights of the Parties under the following provisions of this Agreement shall survive expiration or termination of this Agreement: Article 1, Article 8, Sections 9.8-9.11, Article 10 and Article 11.</w:t>
      </w:r>
    </w:p>
    <w:p>
      <w:pPr>
        <w:spacing w:after="0" w:line="22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9.12</w:t>
      </w:r>
      <w:r>
        <w:rPr>
          <w:rFonts w:ascii="Arial" w:cs="Arial" w:eastAsia="Arial" w:hAnsi="Arial"/>
          <w:sz w:val="19"/>
          <w:szCs w:val="19"/>
          <w:b w:val="1"/>
          <w:bCs w:val="1"/>
          <w:color w:val="auto"/>
        </w:rPr>
        <w:t>Bankruptcy Code</w:t>
      </w:r>
      <w:r>
        <w:rPr>
          <w:rFonts w:ascii="Arial" w:cs="Arial" w:eastAsia="Arial" w:hAnsi="Arial"/>
          <w:sz w:val="19"/>
          <w:szCs w:val="19"/>
          <w:color w:val="auto"/>
        </w:rPr>
        <w:t>. If this Agreement is rejected by a Party as a debtor under Section 365 of the United States Bankruptcy Code or similar provision in the bankruptcy laws of another jurisdiction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then, notwithstanding anything else in this Agreement to the contrary, all licenses and rights to licenses granted under or pursuant to this Agreement by the Party in bankruptcy to the other Party are, and shall otherwise be deemed to be, for purposes of Section 365(n) of the Code (or similar provision in the bankruptcy laws of the jurisdiction), licenses of rights to “intellectual property” as defined under Section 101(35A) of the Code (or similar provision in the bankruptcy laws of another applicable jurisdiction). The Parties agree that a Party that is a licensee of rights under this Agreement shall retain and may fully exercise all of its rights and elections under the Code, and that upon commencement of a bankruptcy proceeding by or against a Party under the Code, the other Party shall be entitled to a complete duplicate of, or complete access to (as such other Party deems appropriate), any such intellectual property and all embodiments of such intellectual property, if not already in such other Party’s possession, shall be promptly delivered to such other Party: (a) upon any such commencement of a bankruptcy proceeding upon written request therefor by such other Party, unless the bankrupt Party elects to continue to perform all of its obligations under this Agreement; or (b) if not delivered under the foregoing subclause (a), upon the rejection of this Agreement by or on behalf of the bankrupt Party upon written request therefor by the other Party. The foregoing provisions of this Section 9.12 are without prejudice to any rights a Party may have arising under the Code.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GOVERNING LAW; DISPUTE RESOLUTION</w:t>
      </w:r>
    </w:p>
    <w:p>
      <w:pPr>
        <w:spacing w:after="0" w:line="20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1"/>
          <w:szCs w:val="21"/>
          <w:color w:val="auto"/>
        </w:rPr>
        <w:t>10.1</w:t>
      </w:r>
      <w:r>
        <w:rPr>
          <w:rFonts w:ascii="Arial" w:cs="Arial" w:eastAsia="Arial" w:hAnsi="Arial"/>
          <w:sz w:val="21"/>
          <w:szCs w:val="21"/>
          <w:b w:val="1"/>
          <w:bCs w:val="1"/>
          <w:color w:val="auto"/>
        </w:rPr>
        <w:t>Governing Law</w:t>
      </w:r>
      <w:r>
        <w:rPr>
          <w:rFonts w:ascii="Arial" w:cs="Arial" w:eastAsia="Arial" w:hAnsi="Arial"/>
          <w:sz w:val="21"/>
          <w:szCs w:val="21"/>
          <w:color w:val="auto"/>
        </w:rPr>
        <w:t>. This Agreement is governed by and will be construed in accordance with the laws of the State of Delaware, without reference to its conflict of laws principles. The United Nations Convention of International Contracts on the Sale of Goods (the Vienna Convention) does not apply to this Agreement.</w:t>
      </w:r>
    </w:p>
    <w:p>
      <w:pPr>
        <w:spacing w:after="0" w:line="18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10.2</w:t>
      </w:r>
      <w:r>
        <w:rPr>
          <w:rFonts w:ascii="Arial" w:cs="Arial" w:eastAsia="Arial" w:hAnsi="Arial"/>
          <w:sz w:val="19"/>
          <w:szCs w:val="19"/>
          <w:b w:val="1"/>
          <w:bCs w:val="1"/>
          <w:color w:val="auto"/>
        </w:rPr>
        <w:t>Disputes</w:t>
      </w:r>
      <w:r>
        <w:rPr>
          <w:rFonts w:ascii="Arial" w:cs="Arial" w:eastAsia="Arial" w:hAnsi="Arial"/>
          <w:sz w:val="19"/>
          <w:szCs w:val="19"/>
          <w:color w:val="auto"/>
        </w:rPr>
        <w:t>. The Parties recognize that controversies or claims arising out of, relating to, or in connection with this Agreement may arise from time to time. It is the objective of the Parties to establish procedures to facilitate the resolution of disputes in an expedient manner by mutual cooperation and without resort to litigation. To accomplish this objective, the Parties shall follow the procedures set forth in this Article 10 to resolve any dispute. If any dispute, claim or controversy of any nature arising out of or relating to this Agreement, including any action or claim based on tort, contract or statute, or concerning the interpretation, effect, termination, validity, performance or breach of this Agreement (each, a “</w:t>
      </w:r>
      <w:r>
        <w:rPr>
          <w:rFonts w:ascii="Arial" w:cs="Arial" w:eastAsia="Arial" w:hAnsi="Arial"/>
          <w:sz w:val="19"/>
          <w:szCs w:val="19"/>
          <w:b w:val="1"/>
          <w:bCs w:val="1"/>
          <w:i w:val="1"/>
          <w:iCs w:val="1"/>
          <w:color w:val="auto"/>
        </w:rPr>
        <w:t>Dispute</w:t>
      </w:r>
      <w:r>
        <w:rPr>
          <w:rFonts w:ascii="Arial" w:cs="Arial" w:eastAsia="Arial" w:hAnsi="Arial"/>
          <w:sz w:val="19"/>
          <w:szCs w:val="19"/>
          <w:color w:val="auto"/>
        </w:rPr>
        <w:t>”), arises between the Parties, either Party may refer the Dispute to Executive Officers of each Party for resolution within [***] of a written request by either Party to the other Party. Each Party, within [***] after a Party has received such written request from the other Party to so refer such Dispute, shall notify the other Party in writing of the Executive Officer to whom such Dispute is referred. If, after [***] the notice of Dispute, such Executive Officers have not succeeded in negotiating a resolution of the Dispute, either Party may seek to resolve the Dispute in any federal court having jurisdiction thereof located in Delaware as further described in Section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476885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sectPr>
      </w:pPr>
    </w:p>
    <w:bookmarkStart w:id="114" w:name="page115"/>
    <w:bookmarkEnd w:id="114"/>
    <w:p>
      <w:pPr>
        <w:jc w:val="both"/>
        <w:ind w:left="9" w:firstLine="749"/>
        <w:spacing w:after="0" w:line="236" w:lineRule="auto"/>
        <w:rPr>
          <w:sz w:val="20"/>
          <w:szCs w:val="20"/>
          <w:color w:val="auto"/>
        </w:rPr>
      </w:pPr>
      <w:r>
        <w:rPr>
          <w:rFonts w:ascii="Arial" w:cs="Arial" w:eastAsia="Arial" w:hAnsi="Arial"/>
          <w:sz w:val="22"/>
          <w:szCs w:val="22"/>
          <w:color w:val="auto"/>
        </w:rPr>
        <w:t>10.3</w:t>
      </w:r>
      <w:r>
        <w:rPr>
          <w:rFonts w:ascii="Arial" w:cs="Arial" w:eastAsia="Arial" w:hAnsi="Arial"/>
          <w:sz w:val="22"/>
          <w:szCs w:val="22"/>
          <w:b w:val="1"/>
          <w:bCs w:val="1"/>
          <w:color w:val="auto"/>
        </w:rPr>
        <w:t>Litigation; Equitable Relief</w:t>
      </w:r>
      <w:r>
        <w:rPr>
          <w:rFonts w:ascii="Arial" w:cs="Arial" w:eastAsia="Arial" w:hAnsi="Arial"/>
          <w:sz w:val="22"/>
          <w:szCs w:val="22"/>
          <w:color w:val="auto"/>
        </w:rPr>
        <w:t>. The Federal courts located in Delaware shall have exclusive jurisdiction over, and shall be the exclusive venue for resolution of, any Dispute not resolved through the informal Dispute resolution procedures described above. Either Party may, at any time and without waiving any remedy under this Agreement, seek from any court having jurisdiction any temporary injunctive or provisional relief necessary to protect the rights or property of that Party. Any final judgment resolving a Dispute may be enforced by either Party in any court having appropriate jurisdiction.</w:t>
      </w:r>
    </w:p>
    <w:p>
      <w:pPr>
        <w:spacing w:after="0" w:line="290"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ARTICLE 11</w:t>
      </w: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MISCELLANEOUS</w:t>
      </w:r>
    </w:p>
    <w:p>
      <w:pPr>
        <w:spacing w:after="0" w:line="247" w:lineRule="exact"/>
        <w:rPr>
          <w:sz w:val="20"/>
          <w:szCs w:val="20"/>
          <w:color w:val="auto"/>
        </w:rPr>
      </w:pPr>
    </w:p>
    <w:p>
      <w:pPr>
        <w:jc w:val="both"/>
        <w:ind w:left="9" w:firstLine="749"/>
        <w:spacing w:after="0" w:line="246" w:lineRule="auto"/>
        <w:rPr>
          <w:sz w:val="20"/>
          <w:szCs w:val="20"/>
          <w:color w:val="auto"/>
        </w:rPr>
      </w:pPr>
      <w:r>
        <w:rPr>
          <w:rFonts w:ascii="Arial" w:cs="Arial" w:eastAsia="Arial" w:hAnsi="Arial"/>
          <w:sz w:val="21"/>
          <w:szCs w:val="21"/>
          <w:color w:val="auto"/>
        </w:rPr>
        <w:t>11.1</w:t>
      </w:r>
      <w:r>
        <w:rPr>
          <w:rFonts w:ascii="Arial" w:cs="Arial" w:eastAsia="Arial" w:hAnsi="Arial"/>
          <w:sz w:val="21"/>
          <w:szCs w:val="21"/>
          <w:b w:val="1"/>
          <w:bCs w:val="1"/>
          <w:color w:val="auto"/>
        </w:rPr>
        <w:t>Entire Agreement; Amendment</w:t>
      </w:r>
      <w:r>
        <w:rPr>
          <w:rFonts w:ascii="Arial" w:cs="Arial" w:eastAsia="Arial" w:hAnsi="Arial"/>
          <w:sz w:val="21"/>
          <w:szCs w:val="21"/>
          <w:color w:val="auto"/>
        </w:rPr>
        <w:t>. This Agreement, including the Exhibits hereto, sets forth the complete, final and exclusive 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other than the Mutual Confidentiality Agreement. The foregoing may not be interpreted as a waiver of any remedies available to either Party as a result of any breach, prior to the Effective Date, by the other Party of its obligations under the Mutual Confidentiality Agreement. No subsequent alteration, amendment, change or addition to this Agreement shall be binding upon the Parties unless reduced to writing and signed by an authorized officer of each Party.</w:t>
      </w:r>
    </w:p>
    <w:p>
      <w:pPr>
        <w:spacing w:after="0" w:line="202" w:lineRule="exact"/>
        <w:rPr>
          <w:sz w:val="20"/>
          <w:szCs w:val="20"/>
          <w:color w:val="auto"/>
        </w:rPr>
      </w:pPr>
    </w:p>
    <w:p>
      <w:pPr>
        <w:jc w:val="both"/>
        <w:ind w:left="9" w:firstLine="749"/>
        <w:spacing w:after="0" w:line="249" w:lineRule="auto"/>
        <w:rPr>
          <w:sz w:val="20"/>
          <w:szCs w:val="20"/>
          <w:color w:val="auto"/>
        </w:rPr>
      </w:pPr>
      <w:r>
        <w:rPr>
          <w:rFonts w:ascii="Arial" w:cs="Arial" w:eastAsia="Arial" w:hAnsi="Arial"/>
          <w:sz w:val="21"/>
          <w:szCs w:val="21"/>
          <w:color w:val="auto"/>
        </w:rPr>
        <w:t>11.2</w:t>
      </w:r>
      <w:r>
        <w:rPr>
          <w:rFonts w:ascii="Arial" w:cs="Arial" w:eastAsia="Arial" w:hAnsi="Arial"/>
          <w:sz w:val="21"/>
          <w:szCs w:val="21"/>
          <w:b w:val="1"/>
          <w:bCs w:val="1"/>
          <w:color w:val="auto"/>
        </w:rPr>
        <w:t>Limitation of Liability</w:t>
      </w:r>
      <w:r>
        <w:rPr>
          <w:rFonts w:ascii="Arial" w:cs="Arial" w:eastAsia="Arial" w:hAnsi="Arial"/>
          <w:sz w:val="21"/>
          <w:szCs w:val="21"/>
          <w:color w:val="auto"/>
        </w:rPr>
        <w:t xml:space="preserve">. NEITHER PARTY MAY RECOVER FROM THE OTHER PARTY ANY SPECIAL, INCIDENTAL, CONSEQUENTIAL OR PUNITIVE DAMAGES IN CONNECTION WITH THIS AGREEMENT, REGARDLESS OF ANY NOTICE OF THE POSSIBILITY OF SUCH DAMAGES;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THIS SECTION 11.2 SHALL NOT BE CONSTRUED TO LIMIT (A) EITHER PARTY’S</w:t>
      </w:r>
      <w:r>
        <w:rPr>
          <w:rFonts w:ascii="Arial" w:cs="Arial" w:eastAsia="Arial" w:hAnsi="Arial"/>
          <w:sz w:val="21"/>
          <w:szCs w:val="21"/>
          <w:i w:val="1"/>
          <w:iCs w:val="1"/>
          <w:color w:val="auto"/>
        </w:rPr>
        <w:t xml:space="preserve"> </w:t>
      </w:r>
      <w:r>
        <w:rPr>
          <w:rFonts w:ascii="Arial" w:cs="Arial" w:eastAsia="Arial" w:hAnsi="Arial"/>
          <w:sz w:val="21"/>
          <w:szCs w:val="21"/>
          <w:color w:val="auto"/>
        </w:rPr>
        <w:t>INDEMNIFICATION OBLIGATIONS UNDER Article 7 OR (B) DAMAGES AVAILABLE FOR A PARTY’S GROSS NEGLIGENCE, INTENTIONAL MISCONDUCT OR FRAUD OR FOR BREACH OF Article 8.</w:t>
      </w:r>
    </w:p>
    <w:p>
      <w:pPr>
        <w:spacing w:after="0" w:line="211" w:lineRule="exact"/>
        <w:rPr>
          <w:sz w:val="20"/>
          <w:szCs w:val="20"/>
          <w:color w:val="auto"/>
        </w:rPr>
      </w:pPr>
    </w:p>
    <w:p>
      <w:pPr>
        <w:jc w:val="both"/>
        <w:ind w:left="9" w:firstLine="749"/>
        <w:spacing w:after="0" w:line="237" w:lineRule="auto"/>
        <w:rPr>
          <w:sz w:val="20"/>
          <w:szCs w:val="20"/>
          <w:color w:val="auto"/>
        </w:rPr>
      </w:pPr>
      <w:r>
        <w:rPr>
          <w:rFonts w:ascii="Arial" w:cs="Arial" w:eastAsia="Arial" w:hAnsi="Arial"/>
          <w:sz w:val="22"/>
          <w:szCs w:val="22"/>
          <w:color w:val="auto"/>
        </w:rPr>
        <w:t>11.3</w:t>
      </w:r>
      <w:r>
        <w:rPr>
          <w:rFonts w:ascii="Arial" w:cs="Arial" w:eastAsia="Arial" w:hAnsi="Arial"/>
          <w:sz w:val="22"/>
          <w:szCs w:val="22"/>
          <w:b w:val="1"/>
          <w:bCs w:val="1"/>
          <w:color w:val="auto"/>
        </w:rPr>
        <w:t>Independent Contractors</w:t>
      </w:r>
      <w:r>
        <w:rPr>
          <w:rFonts w:ascii="Arial" w:cs="Arial" w:eastAsia="Arial" w:hAnsi="Arial"/>
          <w:sz w:val="22"/>
          <w:szCs w:val="22"/>
          <w:color w:val="auto"/>
        </w:rPr>
        <w:t>. The relationship between Fulcrum and CAMP4 created by this Agreement is solely that of independent contractors. This Agreement does not create any agency, distributorship, employee-employer, partnership, joint venture or similar business relationship between the Parties. Neither Party is a legal representative of the other Party, and neither Party can assume or create any obligation, representation, warranty, or guarantee, express or implied, on behalf of the other Party.</w:t>
      </w:r>
    </w:p>
    <w:p>
      <w:pPr>
        <w:spacing w:after="0" w:line="33" w:lineRule="exact"/>
        <w:rPr>
          <w:sz w:val="20"/>
          <w:szCs w:val="20"/>
          <w:color w:val="auto"/>
        </w:rPr>
      </w:pPr>
    </w:p>
    <w:p>
      <w:pPr>
        <w:jc w:val="both"/>
        <w:ind w:left="9" w:firstLine="749"/>
        <w:spacing w:after="0" w:line="238" w:lineRule="auto"/>
        <w:rPr>
          <w:sz w:val="20"/>
          <w:szCs w:val="20"/>
          <w:color w:val="auto"/>
        </w:rPr>
      </w:pPr>
      <w:r>
        <w:rPr>
          <w:rFonts w:ascii="Arial" w:cs="Arial" w:eastAsia="Arial" w:hAnsi="Arial"/>
          <w:sz w:val="22"/>
          <w:szCs w:val="22"/>
          <w:color w:val="auto"/>
        </w:rPr>
        <w:t>11.4</w:t>
      </w:r>
      <w:r>
        <w:rPr>
          <w:rFonts w:ascii="Arial" w:cs="Arial" w:eastAsia="Arial" w:hAnsi="Arial"/>
          <w:sz w:val="22"/>
          <w:szCs w:val="22"/>
          <w:b w:val="1"/>
          <w:bCs w:val="1"/>
          <w:color w:val="auto"/>
        </w:rPr>
        <w:t>Notice</w:t>
      </w:r>
      <w:r>
        <w:rPr>
          <w:rFonts w:ascii="Arial" w:cs="Arial" w:eastAsia="Arial" w:hAnsi="Arial"/>
          <w:sz w:val="22"/>
          <w:szCs w:val="22"/>
          <w:color w:val="auto"/>
        </w:rPr>
        <w:t>. Any notice required or permitted to be given by this Agreement must be in writing, in English. Any and all notices or other communications or deliveries required or permitted to be provided hereunder must be in writing and will be deemed given and effective if:</w:t>
      </w:r>
    </w:p>
    <w:p>
      <w:pPr>
        <w:jc w:val="both"/>
        <w:ind w:left="9" w:hanging="9"/>
        <w:spacing w:after="0" w:line="233" w:lineRule="auto"/>
        <w:tabs>
          <w:tab w:leader="none" w:pos="341"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delivered by hand or by overnight courier with tracking capabilities; (b) mailed postage prepaid by first class, registered, or certified mail; or (c) delivered by facsimile or electronic mail followed by delivery via either of the methods set forth in clauses (a) and (b) of this Section 11.4, in each case, addressed as set forth below unless changed by notice so given:</w:t>
      </w:r>
    </w:p>
    <w:p>
      <w:pPr>
        <w:spacing w:after="0" w:line="228" w:lineRule="exact"/>
        <w:rPr>
          <w:sz w:val="20"/>
          <w:szCs w:val="20"/>
          <w:color w:val="auto"/>
        </w:rPr>
      </w:pPr>
    </w:p>
    <w:p>
      <w:pPr>
        <w:ind w:left="749"/>
        <w:spacing w:after="0"/>
        <w:rPr>
          <w:sz w:val="20"/>
          <w:szCs w:val="20"/>
          <w:color w:val="auto"/>
        </w:rPr>
      </w:pPr>
      <w:r>
        <w:rPr>
          <w:rFonts w:ascii="Arial" w:cs="Arial" w:eastAsia="Arial" w:hAnsi="Arial"/>
          <w:sz w:val="22"/>
          <w:szCs w:val="22"/>
          <w:color w:val="auto"/>
        </w:rPr>
        <w:t>If to CAMP4: CAMP4 Therapeutics Corp.</w:t>
      </w:r>
    </w:p>
    <w:p>
      <w:pPr>
        <w:spacing w:after="0" w:line="8" w:lineRule="exact"/>
        <w:rPr>
          <w:sz w:val="20"/>
          <w:szCs w:val="20"/>
          <w:color w:val="auto"/>
        </w:rPr>
      </w:pPr>
    </w:p>
    <w:p>
      <w:pPr>
        <w:ind w:left="3749"/>
        <w:spacing w:after="0"/>
        <w:rPr>
          <w:sz w:val="20"/>
          <w:szCs w:val="20"/>
          <w:color w:val="auto"/>
        </w:rPr>
      </w:pPr>
      <w:r>
        <w:rPr>
          <w:rFonts w:ascii="Arial" w:cs="Arial" w:eastAsia="Arial" w:hAnsi="Arial"/>
          <w:sz w:val="22"/>
          <w:szCs w:val="22"/>
          <w:color w:val="auto"/>
        </w:rPr>
        <w:t>Attn: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360045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9"/>
          </w:cols>
          <w:pgMar w:left="431" w:top="436" w:right="1039" w:bottom="1440" w:gutter="0" w:footer="0" w:header="0"/>
        </w:sectPr>
      </w:pPr>
    </w:p>
    <w:bookmarkStart w:id="115" w:name="page116"/>
    <w:bookmarkEnd w:id="115"/>
    <w:p>
      <w:pPr>
        <w:ind w:left="3740"/>
        <w:spacing w:after="0"/>
        <w:rPr>
          <w:sz w:val="20"/>
          <w:szCs w:val="20"/>
          <w:color w:val="auto"/>
        </w:rPr>
      </w:pPr>
      <w:r>
        <w:rPr>
          <w:rFonts w:ascii="Arial" w:cs="Arial" w:eastAsia="Arial" w:hAnsi="Arial"/>
          <w:sz w:val="22"/>
          <w:szCs w:val="22"/>
          <w:color w:val="auto"/>
        </w:rPr>
        <w:t>One Kendall Square</w:t>
      </w:r>
    </w:p>
    <w:p>
      <w:pPr>
        <w:ind w:left="3740"/>
        <w:spacing w:after="0" w:line="238" w:lineRule="auto"/>
        <w:rPr>
          <w:sz w:val="20"/>
          <w:szCs w:val="20"/>
          <w:color w:val="auto"/>
        </w:rPr>
      </w:pPr>
      <w:r>
        <w:rPr>
          <w:rFonts w:ascii="Arial" w:cs="Arial" w:eastAsia="Arial" w:hAnsi="Arial"/>
          <w:sz w:val="22"/>
          <w:szCs w:val="22"/>
          <w:color w:val="auto"/>
        </w:rPr>
        <w:t>Building 1400 West, 3rd Floor Cambridge, MA</w:t>
      </w:r>
    </w:p>
    <w:p>
      <w:pPr>
        <w:ind w:left="3740"/>
        <w:spacing w:after="0" w:line="230" w:lineRule="auto"/>
        <w:rPr>
          <w:sz w:val="20"/>
          <w:szCs w:val="20"/>
          <w:color w:val="auto"/>
        </w:rPr>
      </w:pPr>
      <w:r>
        <w:rPr>
          <w:rFonts w:ascii="Arial" w:cs="Arial" w:eastAsia="Arial" w:hAnsi="Arial"/>
          <w:sz w:val="22"/>
          <w:szCs w:val="22"/>
          <w:color w:val="auto"/>
        </w:rPr>
        <w:t>02139</w:t>
      </w:r>
    </w:p>
    <w:p>
      <w:pPr>
        <w:spacing w:after="0" w:line="1"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with a copy (which shall not constitute notice) to: Ropes &amp; Gray LLP</w:t>
      </w:r>
    </w:p>
    <w:p>
      <w:pPr>
        <w:ind w:left="3740"/>
        <w:spacing w:after="0" w:line="233" w:lineRule="auto"/>
        <w:rPr>
          <w:sz w:val="20"/>
          <w:szCs w:val="20"/>
          <w:color w:val="auto"/>
        </w:rPr>
      </w:pPr>
      <w:r>
        <w:rPr>
          <w:rFonts w:ascii="Arial" w:cs="Arial" w:eastAsia="Arial" w:hAnsi="Arial"/>
          <w:sz w:val="22"/>
          <w:szCs w:val="22"/>
          <w:color w:val="auto"/>
        </w:rPr>
        <w:t>Attn: Marc A. Rubenstein Prudential Tower</w:t>
      </w:r>
    </w:p>
    <w:p>
      <w:pPr>
        <w:ind w:left="3740"/>
        <w:spacing w:after="0" w:line="231" w:lineRule="auto"/>
        <w:rPr>
          <w:sz w:val="20"/>
          <w:szCs w:val="20"/>
          <w:color w:val="auto"/>
        </w:rPr>
      </w:pPr>
      <w:r>
        <w:rPr>
          <w:rFonts w:ascii="Arial" w:cs="Arial" w:eastAsia="Arial" w:hAnsi="Arial"/>
          <w:sz w:val="22"/>
          <w:szCs w:val="22"/>
          <w:color w:val="auto"/>
        </w:rPr>
        <w:t>800 Boylston Street</w:t>
      </w:r>
    </w:p>
    <w:p>
      <w:pPr>
        <w:ind w:left="3740"/>
        <w:spacing w:after="0"/>
        <w:rPr>
          <w:sz w:val="20"/>
          <w:szCs w:val="20"/>
          <w:color w:val="auto"/>
        </w:rPr>
      </w:pPr>
      <w:r>
        <w:rPr>
          <w:rFonts w:ascii="Arial" w:cs="Arial" w:eastAsia="Arial" w:hAnsi="Arial"/>
          <w:sz w:val="22"/>
          <w:szCs w:val="22"/>
          <w:color w:val="auto"/>
        </w:rPr>
        <w:t>Boston, MA 02199</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If to Fulcrum: Fulcrum Therapeutics, Inc.</w:t>
      </w:r>
    </w:p>
    <w:p>
      <w:pPr>
        <w:ind w:left="3740"/>
        <w:spacing w:after="0" w:line="238" w:lineRule="auto"/>
        <w:rPr>
          <w:sz w:val="20"/>
          <w:szCs w:val="20"/>
          <w:color w:val="auto"/>
        </w:rPr>
      </w:pPr>
      <w:r>
        <w:rPr>
          <w:rFonts w:ascii="Arial" w:cs="Arial" w:eastAsia="Arial" w:hAnsi="Arial"/>
          <w:sz w:val="22"/>
          <w:szCs w:val="22"/>
          <w:color w:val="auto"/>
        </w:rPr>
        <w:t>26 Landsdowne St</w:t>
      </w:r>
    </w:p>
    <w:p>
      <w:pPr>
        <w:ind w:left="3740"/>
        <w:spacing w:after="0" w:line="230" w:lineRule="auto"/>
        <w:rPr>
          <w:sz w:val="20"/>
          <w:szCs w:val="20"/>
          <w:color w:val="auto"/>
        </w:rPr>
      </w:pPr>
      <w:r>
        <w:rPr>
          <w:rFonts w:ascii="Arial" w:cs="Arial" w:eastAsia="Arial" w:hAnsi="Arial"/>
          <w:sz w:val="22"/>
          <w:szCs w:val="22"/>
          <w:color w:val="auto"/>
        </w:rPr>
        <w:t>Cambridge, MA 02139 Attn:</w:t>
      </w:r>
    </w:p>
    <w:p>
      <w:pPr>
        <w:spacing w:after="0" w:line="1"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General Counsel</w:t>
      </w:r>
    </w:p>
    <w:p>
      <w:pPr>
        <w:spacing w:after="0" w:line="3" w:lineRule="exact"/>
        <w:rPr>
          <w:sz w:val="20"/>
          <w:szCs w:val="20"/>
          <w:color w:val="auto"/>
        </w:rPr>
      </w:pPr>
    </w:p>
    <w:p>
      <w:pPr>
        <w:ind w:left="3740" w:right="820"/>
        <w:spacing w:after="0" w:line="243" w:lineRule="auto"/>
        <w:rPr>
          <w:sz w:val="20"/>
          <w:szCs w:val="20"/>
          <w:color w:val="auto"/>
        </w:rPr>
      </w:pPr>
      <w:r>
        <w:rPr>
          <w:rFonts w:ascii="Arial" w:cs="Arial" w:eastAsia="Arial" w:hAnsi="Arial"/>
          <w:sz w:val="22"/>
          <w:szCs w:val="22"/>
          <w:color w:val="auto"/>
        </w:rPr>
        <w:t>with a copy (which shall not constitute notice) to: Goodwin Procter, LLP</w:t>
      </w:r>
    </w:p>
    <w:p>
      <w:pPr>
        <w:ind w:left="3740"/>
        <w:spacing w:after="0" w:line="231" w:lineRule="auto"/>
        <w:rPr>
          <w:sz w:val="20"/>
          <w:szCs w:val="20"/>
          <w:color w:val="auto"/>
        </w:rPr>
      </w:pPr>
      <w:r>
        <w:rPr>
          <w:rFonts w:ascii="Arial" w:cs="Arial" w:eastAsia="Arial" w:hAnsi="Arial"/>
          <w:sz w:val="22"/>
          <w:szCs w:val="22"/>
          <w:color w:val="auto"/>
        </w:rPr>
        <w:t>Attn: Morag Peberdy 100</w:t>
      </w:r>
    </w:p>
    <w:p>
      <w:pPr>
        <w:ind w:left="3740"/>
        <w:spacing w:after="0" w:line="230" w:lineRule="auto"/>
        <w:rPr>
          <w:sz w:val="20"/>
          <w:szCs w:val="20"/>
          <w:color w:val="auto"/>
        </w:rPr>
      </w:pPr>
      <w:r>
        <w:rPr>
          <w:rFonts w:ascii="Arial" w:cs="Arial" w:eastAsia="Arial" w:hAnsi="Arial"/>
          <w:sz w:val="22"/>
          <w:szCs w:val="22"/>
          <w:color w:val="auto"/>
        </w:rPr>
        <w:t>Cheapside</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London, England EC2V 6DY</w:t>
      </w:r>
    </w:p>
    <w:p>
      <w:pPr>
        <w:spacing w:after="0" w:line="215" w:lineRule="exact"/>
        <w:rPr>
          <w:sz w:val="20"/>
          <w:szCs w:val="20"/>
          <w:color w:val="auto"/>
        </w:rPr>
      </w:pPr>
    </w:p>
    <w:p>
      <w:pPr>
        <w:ind w:right="220" w:firstLine="747"/>
        <w:spacing w:after="0" w:line="250" w:lineRule="auto"/>
        <w:rPr>
          <w:sz w:val="20"/>
          <w:szCs w:val="20"/>
          <w:color w:val="auto"/>
        </w:rPr>
      </w:pPr>
      <w:r>
        <w:rPr>
          <w:rFonts w:ascii="Arial" w:cs="Arial" w:eastAsia="Arial" w:hAnsi="Arial"/>
          <w:sz w:val="22"/>
          <w:szCs w:val="22"/>
          <w:color w:val="auto"/>
        </w:rPr>
        <w:t>CAMP4 shall also provide a copy of any notice (via e-mail if available) to Fulcrum’s Chief Legal Officer and to Fulcrum’s Senior Vice President, Business and Corporate Development.</w:t>
      </w:r>
    </w:p>
    <w:p>
      <w:pPr>
        <w:spacing w:after="0" w:line="20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11.5</w:t>
      </w:r>
      <w:r>
        <w:rPr>
          <w:rFonts w:ascii="Arial" w:cs="Arial" w:eastAsia="Arial" w:hAnsi="Arial"/>
          <w:sz w:val="22"/>
          <w:szCs w:val="22"/>
          <w:b w:val="1"/>
          <w:bCs w:val="1"/>
          <w:color w:val="auto"/>
        </w:rPr>
        <w:t>Severability</w:t>
      </w:r>
      <w:r>
        <w:rPr>
          <w:rFonts w:ascii="Arial" w:cs="Arial" w:eastAsia="Arial" w:hAnsi="Arial"/>
          <w:sz w:val="22"/>
          <w:szCs w:val="22"/>
          <w:color w:val="auto"/>
        </w:rPr>
        <w:t>. If, for any reason, any part of this Agreement is adjudicated invalid, unenforceable, or illegal by a court of competent jurisdiction, such adjudication shall not, to the extent feasible, affect or impair, in whole or in part, the validity, enforceability, or legality of any remaining portions of this Agreement. All remaining portions will remain in full force and effect.</w:t>
      </w:r>
    </w:p>
    <w:p>
      <w:pPr>
        <w:spacing w:after="0" w:line="22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11.6</w:t>
      </w:r>
      <w:r>
        <w:rPr>
          <w:rFonts w:ascii="Arial" w:cs="Arial" w:eastAsia="Arial" w:hAnsi="Arial"/>
          <w:sz w:val="21"/>
          <w:szCs w:val="21"/>
          <w:b w:val="1"/>
          <w:bCs w:val="1"/>
          <w:color w:val="auto"/>
        </w:rPr>
        <w:t>Non-Use of Names</w:t>
      </w:r>
      <w:r>
        <w:rPr>
          <w:rFonts w:ascii="Arial" w:cs="Arial" w:eastAsia="Arial" w:hAnsi="Arial"/>
          <w:sz w:val="21"/>
          <w:szCs w:val="21"/>
          <w:color w:val="auto"/>
        </w:rPr>
        <w:t>. Neither Party will use the name, names, logos or trademarks of [CMCC, Harvard, DFCI or of their respective Affiliates, or HHMI, nor the name or photograph or other depiction of any employee or member of the staff of CMCC, Harvard, DFCI or their respective Affiliates or of HHMI [***] nor any adaptation of any of the foregoing, in any advertising, promotional, or sales literature without, in each case, prior written consent from CMCC, Harvard, DFCI or HHMI, as applicable, and from the individual staff member, employee, or student if such individual’s name, photograph or depiction is used. Notwithstanding the above, a Party may state, including on its website, that it is licensed (or sub-licensed, as applicable) by CMCC, Harvard or DFCI under one or more patents or applications consistent with this Agreement, and a Party may comply with disclosure requirements of all Applicable Laws relating to its business, including United States and state securities laws. In addition, a Party may refer to publications by staff of BCH, Harvard or DFCI in the scientific literature. Neither Party shall use the name, trademark, logo, or physical likeness of the other Party, its Affiliates or their respective officers, directors or employees, or any adaptation of any of them, in any advertising, promotional or sales literature, without Fulcrum’s prior written consent. In addition to the foregoing, neither Party shall, and shall ensure that its Affiliates and Sublicensees shall not, use or register the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359410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sectPr>
      </w:pPr>
    </w:p>
    <w:bookmarkStart w:id="116" w:name="page117"/>
    <w:bookmarkEnd w:id="116"/>
    <w:p>
      <w:pPr>
        <w:jc w:val="both"/>
        <w:spacing w:after="0" w:line="246" w:lineRule="auto"/>
        <w:rPr>
          <w:sz w:val="20"/>
          <w:szCs w:val="20"/>
          <w:color w:val="auto"/>
        </w:rPr>
      </w:pPr>
      <w:r>
        <w:rPr>
          <w:rFonts w:ascii="Arial" w:cs="Arial" w:eastAsia="Arial" w:hAnsi="Arial"/>
          <w:sz w:val="21"/>
          <w:szCs w:val="21"/>
          <w:color w:val="auto"/>
        </w:rPr>
        <w:t>“Harvard” (alone or as part of another name) or any logos, seals, insignia or other words, names, symbols or devices that identify Harvard or any Harvard school, unit, division or affiliate (“Harvard Names”) for any purpose except with the prior written approval of, and in accordance with restrictions required by, Harvard. Without limiting the foregoing, each Party shall, and shall ensure that its Affiliates and Sublicensees shall, cease all use of Harvard Names on the termination or expiration of this Agreement except as otherwise approved by Harvard. This restriction shall not apply to any information required by law to be disclosed to any governmental entity. Each Party shall require its Affiliates and Sublicensees to comply with the foregoing.</w:t>
      </w:r>
    </w:p>
    <w:p>
      <w:pPr>
        <w:spacing w:after="0" w:line="21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11.7</w:t>
      </w:r>
      <w:r>
        <w:rPr>
          <w:rFonts w:ascii="Arial" w:cs="Arial" w:eastAsia="Arial" w:hAnsi="Arial"/>
          <w:sz w:val="19"/>
          <w:szCs w:val="19"/>
          <w:b w:val="1"/>
          <w:bCs w:val="1"/>
          <w:color w:val="auto"/>
        </w:rPr>
        <w:t>Assignment</w:t>
      </w:r>
      <w:r>
        <w:rPr>
          <w:rFonts w:ascii="Arial" w:cs="Arial" w:eastAsia="Arial" w:hAnsi="Arial"/>
          <w:sz w:val="19"/>
          <w:szCs w:val="19"/>
          <w:color w:val="auto"/>
        </w:rPr>
        <w:t>. Except as provided in this Section 11.7, this Agreement may not be assigned or otherwise transferred, nor may any right or obligation hereunder be assigned or transferred, by either Party without the consent of the other Party; provided, however, that (and notwithstanding anything elsewhere in this Agreement to the contrary) either Party may, without such consent, assign this Agreement and its rights and obligations hereunder in whole: (a) to an Affiliate of such Party for such long as any such Affiliate remains an Affiliate; (b) in connection with the transfer or sale of all or substantially all of its assets or business related to the subject matter of this Agreement; or (c) pursuant to a merger or consolidation (or similar transaction) of the assigning Party. Any attempted assignment not in accordance with this Section 11.7 will be null, void, and of no legal effect. Any and all rights of Fulcrum hereunder may be exercised by one or more Affiliates of Fulcrum, without the need to sublicense, provided, however, that it is understood that all activities of such Affiliates are subject to the terms of this Agreement and that Fulcrum will remain obligated to CAMP4, and as applicable to HHMI, for the compliance by Fulcrum and its Affiliates with the terms of this Agreement.</w:t>
      </w:r>
    </w:p>
    <w:p>
      <w:pPr>
        <w:spacing w:after="0" w:line="18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11.8</w:t>
      </w:r>
      <w:r>
        <w:rPr>
          <w:rFonts w:ascii="Arial" w:cs="Arial" w:eastAsia="Arial" w:hAnsi="Arial"/>
          <w:sz w:val="22"/>
          <w:szCs w:val="22"/>
          <w:b w:val="1"/>
          <w:bCs w:val="1"/>
          <w:color w:val="auto"/>
        </w:rPr>
        <w:t>Waivers</w:t>
      </w:r>
      <w:r>
        <w:rPr>
          <w:rFonts w:ascii="Arial" w:cs="Arial" w:eastAsia="Arial" w:hAnsi="Arial"/>
          <w:sz w:val="22"/>
          <w:szCs w:val="22"/>
          <w:color w:val="auto"/>
        </w:rPr>
        <w:t>.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22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11.9</w:t>
      </w:r>
      <w:r>
        <w:rPr>
          <w:rFonts w:ascii="Arial" w:cs="Arial" w:eastAsia="Arial" w:hAnsi="Arial"/>
          <w:sz w:val="19"/>
          <w:szCs w:val="19"/>
          <w:b w:val="1"/>
          <w:bCs w:val="1"/>
          <w:color w:val="auto"/>
        </w:rPr>
        <w:t>Force Majeure</w:t>
      </w:r>
      <w:r>
        <w:rPr>
          <w:rFonts w:ascii="Arial" w:cs="Arial" w:eastAsia="Arial" w:hAnsi="Arial"/>
          <w:sz w:val="19"/>
          <w:szCs w:val="19"/>
          <w:color w:val="auto"/>
        </w:rPr>
        <w:t>. Each Party shall be excused from liability for the failure or delay in performance of any obligation under this Agreement by reason of any event beyond such Party’s reasonable control, including, but not limited to, acts of God, fire, flood, explosion, earthquake, or other natural forces, war, civil unrest, terrorism, accident, destruction or other casualty, any lack or failure of transportation facilities, any lack or failure of supply of raw materials, any strike or labor disturbance, or any other event similar to those enumerated above. Such excuse from liability shall be effective only to the extent and duration of the event(s) causing the failure or delay in performance, provided that the Party has not caused such event(s) to occur. All delivery dates under this Agreement that have been affected by force majeure shall be tolled for the duration of such force majeure.</w:t>
      </w:r>
    </w:p>
    <w:p>
      <w:pPr>
        <w:spacing w:after="0" w:line="190"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9"/>
          <w:szCs w:val="19"/>
          <w:color w:val="auto"/>
        </w:rPr>
        <w:t>11.10</w:t>
      </w:r>
      <w:r>
        <w:rPr>
          <w:rFonts w:ascii="Arial" w:cs="Arial" w:eastAsia="Arial" w:hAnsi="Arial"/>
          <w:sz w:val="19"/>
          <w:szCs w:val="19"/>
          <w:b w:val="1"/>
          <w:bCs w:val="1"/>
          <w:color w:val="auto"/>
        </w:rPr>
        <w:t>Interpretation</w:t>
      </w:r>
      <w:r>
        <w:rPr>
          <w:rFonts w:ascii="Arial" w:cs="Arial" w:eastAsia="Arial" w:hAnsi="Arial"/>
          <w:sz w:val="19"/>
          <w:szCs w:val="19"/>
          <w:color w:val="auto"/>
        </w:rPr>
        <w:t>. The captions and headings to this Agreement are for convenience only, and are to be of no force or effect in construing or interpreting any of the provisions of this Agreement. Unless specified to the contrary, references to Articles, Sections, Schedules or Exhibits mean the particular Articles, Sections, Schedules or Exhibits to this Agreement and references to this Agreement include all Exhibits hereto. In the event of any conflict between the main body of this Agreement and any Exhibit hereto, the main body of this Agreement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335280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440" w:top="361" w:right="1039" w:bottom="1440" w:gutter="0" w:footer="0" w:header="0"/>
        </w:sectPr>
      </w:pPr>
    </w:p>
    <w:bookmarkStart w:id="117" w:name="page118"/>
    <w:bookmarkEnd w:id="117"/>
    <w:p>
      <w:pPr>
        <w:jc w:val="both"/>
        <w:ind w:left="9"/>
        <w:spacing w:after="0" w:line="236" w:lineRule="auto"/>
        <w:rPr>
          <w:sz w:val="20"/>
          <w:szCs w:val="20"/>
          <w:color w:val="auto"/>
        </w:rPr>
      </w:pPr>
      <w:r>
        <w:rPr>
          <w:rFonts w:ascii="Arial" w:cs="Arial" w:eastAsia="Arial" w:hAnsi="Arial"/>
          <w:sz w:val="22"/>
          <w:szCs w:val="22"/>
          <w:color w:val="auto"/>
        </w:rPr>
        <w:t>prevail. Unless context otherwise clearly requires, whenever used in this Agreement: (a) the words “include” or “including” shall be construed as incorporating, also, “but not limited to” or “without limitation”; (b) the word “day” or “year” means a calendar day or year unless otherwise specified;</w:t>
      </w:r>
    </w:p>
    <w:p>
      <w:pPr>
        <w:spacing w:after="0" w:line="1" w:lineRule="exact"/>
        <w:rPr>
          <w:sz w:val="20"/>
          <w:szCs w:val="20"/>
          <w:color w:val="auto"/>
        </w:rPr>
      </w:pPr>
    </w:p>
    <w:p>
      <w:pPr>
        <w:jc w:val="both"/>
        <w:ind w:left="9" w:hanging="9"/>
        <w:spacing w:after="0" w:line="273" w:lineRule="auto"/>
        <w:tabs>
          <w:tab w:leader="none" w:pos="323"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word “notice” means notice in writing (whether or not specifically stated) and shall include notices, consents, approvals and other written communications contemplated under this Agreement; (d) the words “shall” and “will” have interchangeable meanings for purposes of this Agreement; (e) words of any gender include the other gender; (f) references to any specific law, rule or regulation, or article, Section or other division thereof, shall be deemed to include the then- current amendments thereto or any replacement law, rule or regulation thereof; and (g) the term “or” will be interpreted in the inclusive sense commonly associated with the term “and/or” unless preceded by the word “either” or other language indicating the subjects of the conjunction are, or are intended to be, mutually exclusive.</w:t>
      </w:r>
    </w:p>
    <w:p>
      <w:pPr>
        <w:spacing w:after="0" w:line="194" w:lineRule="exact"/>
        <w:rPr>
          <w:sz w:val="20"/>
          <w:szCs w:val="20"/>
          <w:color w:val="auto"/>
        </w:rPr>
      </w:pPr>
    </w:p>
    <w:p>
      <w:pPr>
        <w:jc w:val="both"/>
        <w:ind w:left="9" w:right="20" w:firstLine="749"/>
        <w:spacing w:after="0" w:line="239" w:lineRule="auto"/>
        <w:rPr>
          <w:sz w:val="20"/>
          <w:szCs w:val="20"/>
          <w:color w:val="auto"/>
        </w:rPr>
      </w:pPr>
      <w:r>
        <w:rPr>
          <w:rFonts w:ascii="Arial" w:cs="Arial" w:eastAsia="Arial" w:hAnsi="Arial"/>
          <w:sz w:val="22"/>
          <w:szCs w:val="22"/>
          <w:color w:val="auto"/>
        </w:rPr>
        <w:t>11.11</w:t>
      </w:r>
      <w:r>
        <w:rPr>
          <w:rFonts w:ascii="Arial" w:cs="Arial" w:eastAsia="Arial" w:hAnsi="Arial"/>
          <w:sz w:val="22"/>
          <w:szCs w:val="22"/>
          <w:b w:val="1"/>
          <w:bCs w:val="1"/>
          <w:color w:val="auto"/>
        </w:rPr>
        <w:t>Counterparts; Electronic Signatures</w:t>
      </w:r>
      <w:r>
        <w:rPr>
          <w:rFonts w:ascii="Arial" w:cs="Arial" w:eastAsia="Arial" w:hAnsi="Arial"/>
          <w:sz w:val="22"/>
          <w:szCs w:val="22"/>
          <w:color w:val="auto"/>
        </w:rPr>
        <w:t>. This Agreement may be executed in any number of counterparts, each of which is deemed an original, but all of which together constitute one instrument. This Agreement may be executed and delivered electronically and upon such delivery such electronic signature will be deemed to have the same effect as if the original signature had been delivered to the other Party.</w:t>
      </w:r>
    </w:p>
    <w:p>
      <w:pPr>
        <w:spacing w:after="0" w:line="207" w:lineRule="exact"/>
        <w:rPr>
          <w:sz w:val="20"/>
          <w:szCs w:val="20"/>
          <w:color w:val="auto"/>
        </w:rPr>
      </w:pPr>
    </w:p>
    <w:p>
      <w:pPr>
        <w:jc w:val="both"/>
        <w:ind w:left="9" w:right="40" w:firstLine="749"/>
        <w:spacing w:after="0" w:line="256" w:lineRule="auto"/>
        <w:rPr>
          <w:sz w:val="20"/>
          <w:szCs w:val="20"/>
          <w:color w:val="auto"/>
        </w:rPr>
      </w:pPr>
      <w:r>
        <w:rPr>
          <w:rFonts w:ascii="Arial" w:cs="Arial" w:eastAsia="Arial" w:hAnsi="Arial"/>
          <w:sz w:val="22"/>
          <w:szCs w:val="22"/>
          <w:color w:val="auto"/>
        </w:rPr>
        <w:t>11.12</w:t>
      </w:r>
      <w:r>
        <w:rPr>
          <w:rFonts w:ascii="Arial" w:cs="Arial" w:eastAsia="Arial" w:hAnsi="Arial"/>
          <w:sz w:val="22"/>
          <w:szCs w:val="22"/>
          <w:b w:val="1"/>
          <w:bCs w:val="1"/>
          <w:color w:val="auto"/>
        </w:rPr>
        <w:t>Expenses</w:t>
      </w:r>
      <w:r>
        <w:rPr>
          <w:rFonts w:ascii="Arial" w:cs="Arial" w:eastAsia="Arial" w:hAnsi="Arial"/>
          <w:sz w:val="22"/>
          <w:szCs w:val="22"/>
          <w:color w:val="auto"/>
        </w:rPr>
        <w:t>. Each Party shall pay its own costs, charges and expenses incurred in connection with the negotiation, preparation and execution of this Agreement.</w:t>
      </w:r>
    </w:p>
    <w:p>
      <w:pPr>
        <w:spacing w:after="0" w:line="203" w:lineRule="exact"/>
        <w:rPr>
          <w:sz w:val="20"/>
          <w:szCs w:val="20"/>
          <w:color w:val="auto"/>
        </w:rPr>
      </w:pPr>
    </w:p>
    <w:p>
      <w:pPr>
        <w:jc w:val="both"/>
        <w:ind w:left="9" w:right="20" w:firstLine="749"/>
        <w:spacing w:after="0" w:line="243" w:lineRule="auto"/>
        <w:rPr>
          <w:sz w:val="20"/>
          <w:szCs w:val="20"/>
          <w:color w:val="auto"/>
        </w:rPr>
      </w:pPr>
      <w:r>
        <w:rPr>
          <w:rFonts w:ascii="Arial" w:cs="Arial" w:eastAsia="Arial" w:hAnsi="Arial"/>
          <w:sz w:val="22"/>
          <w:szCs w:val="22"/>
          <w:color w:val="auto"/>
        </w:rPr>
        <w:t>11.13</w:t>
      </w:r>
      <w:r>
        <w:rPr>
          <w:rFonts w:ascii="Arial" w:cs="Arial" w:eastAsia="Arial" w:hAnsi="Arial"/>
          <w:sz w:val="22"/>
          <w:szCs w:val="22"/>
          <w:b w:val="1"/>
          <w:bCs w:val="1"/>
          <w:color w:val="auto"/>
        </w:rPr>
        <w:t>Further Assurances</w:t>
      </w:r>
      <w:r>
        <w:rPr>
          <w:rFonts w:ascii="Arial" w:cs="Arial" w:eastAsia="Arial" w:hAnsi="Arial"/>
          <w:sz w:val="22"/>
          <w:szCs w:val="22"/>
          <w:color w:val="auto"/>
        </w:rPr>
        <w:t>. Fulcrum and CAMP4 hereby covenant and agree without the necessity of any further consideration, to execute, acknowledge and deliver any and all documents and take any action as may be reasonably necessary to carry out the intent and purposes of this Agreement.</w:t>
      </w:r>
    </w:p>
    <w:p>
      <w:pPr>
        <w:spacing w:after="0" w:line="217" w:lineRule="exact"/>
        <w:rPr>
          <w:sz w:val="20"/>
          <w:szCs w:val="20"/>
          <w:color w:val="auto"/>
        </w:rPr>
      </w:pPr>
    </w:p>
    <w:p>
      <w:pPr>
        <w:jc w:val="both"/>
        <w:ind w:left="9" w:firstLine="749"/>
        <w:spacing w:after="0" w:line="247" w:lineRule="auto"/>
        <w:rPr>
          <w:sz w:val="20"/>
          <w:szCs w:val="20"/>
          <w:color w:val="auto"/>
        </w:rPr>
      </w:pPr>
      <w:r>
        <w:rPr>
          <w:rFonts w:ascii="Arial" w:cs="Arial" w:eastAsia="Arial" w:hAnsi="Arial"/>
          <w:sz w:val="21"/>
          <w:szCs w:val="21"/>
          <w:color w:val="auto"/>
        </w:rPr>
        <w:t>11.14</w:t>
      </w:r>
      <w:r>
        <w:rPr>
          <w:rFonts w:ascii="Arial" w:cs="Arial" w:eastAsia="Arial" w:hAnsi="Arial"/>
          <w:sz w:val="21"/>
          <w:szCs w:val="21"/>
          <w:b w:val="1"/>
          <w:bCs w:val="1"/>
          <w:color w:val="auto"/>
        </w:rPr>
        <w:t>Third Party Beneficiary Rights</w:t>
      </w:r>
      <w:r>
        <w:rPr>
          <w:rFonts w:ascii="Arial" w:cs="Arial" w:eastAsia="Arial" w:hAnsi="Arial"/>
          <w:sz w:val="21"/>
          <w:szCs w:val="21"/>
          <w:color w:val="auto"/>
        </w:rPr>
        <w:t>. HHMI is not a party to this Agreement and has no liability under or due to this Agreement to Fulcrum, any Sublicensee, or any user of anything covered by this Agreement, but HHMI is an intended third-party beneficiary of this Agreement and certain of its provisions are for the benefit of HHMI and are enforceable by HHMI in its own name. Notwithstanding the foregoing, this Agreement is otherwise not intended to and shall not be construed to give any other Third Party any interest or rights (including any Third Party beneficiary rights) with respect to or in connection with any agreement or provision contained herein or contemplated hereby, except as otherwise provided for in this Agreement.</w:t>
      </w:r>
    </w:p>
    <w:p>
      <w:pPr>
        <w:spacing w:after="0" w:line="29" w:lineRule="exact"/>
        <w:rPr>
          <w:sz w:val="20"/>
          <w:szCs w:val="20"/>
          <w:color w:val="auto"/>
        </w:rPr>
      </w:pPr>
    </w:p>
    <w:p>
      <w:pPr>
        <w:jc w:val="both"/>
        <w:ind w:left="9" w:firstLine="749"/>
        <w:spacing w:after="0" w:line="243" w:lineRule="auto"/>
        <w:rPr>
          <w:sz w:val="20"/>
          <w:szCs w:val="20"/>
          <w:color w:val="auto"/>
        </w:rPr>
      </w:pPr>
      <w:r>
        <w:rPr>
          <w:rFonts w:ascii="Arial" w:cs="Arial" w:eastAsia="Arial" w:hAnsi="Arial"/>
          <w:sz w:val="22"/>
          <w:szCs w:val="22"/>
          <w:color w:val="auto"/>
        </w:rPr>
        <w:t>11.15</w:t>
      </w:r>
      <w:r>
        <w:rPr>
          <w:rFonts w:ascii="Arial" w:cs="Arial" w:eastAsia="Arial" w:hAnsi="Arial"/>
          <w:sz w:val="22"/>
          <w:szCs w:val="22"/>
          <w:b w:val="1"/>
          <w:bCs w:val="1"/>
          <w:color w:val="auto"/>
        </w:rPr>
        <w:t>Cumulative Remedies</w:t>
      </w:r>
      <w:r>
        <w:rPr>
          <w:rFonts w:ascii="Arial" w:cs="Arial" w:eastAsia="Arial" w:hAnsi="Arial"/>
          <w:sz w:val="22"/>
          <w:szCs w:val="22"/>
          <w:color w:val="auto"/>
        </w:rPr>
        <w:t>. No remedy referred to in this Agreement is intended to be exclusive unless explicitly stated to be so, but each shall be cumulative and in addition to any other remedy referred to in this Agreement or otherwise available under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494030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9"/>
          </w:cols>
          <w:pgMar w:left="431" w:top="361" w:right="1039" w:bottom="1440" w:gutter="0" w:footer="0" w:header="0"/>
        </w:sectPr>
      </w:pPr>
    </w:p>
    <w:bookmarkStart w:id="118" w:name="page119"/>
    <w:bookmarkEnd w:id="118"/>
    <w:p>
      <w:pPr>
        <w:ind w:firstLine="747"/>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color w:val="auto"/>
        </w:rPr>
        <w:t>, the Parties have caused this Agreement to be executed as of the Effective Date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representatives.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ulcrum</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 /s/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11391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40"/>
        <w:spacing w:after="0" w:line="238" w:lineRule="auto"/>
        <w:rPr>
          <w:sz w:val="20"/>
          <w:szCs w:val="20"/>
          <w:color w:val="auto"/>
        </w:rPr>
      </w:pPr>
      <w:r>
        <w:rPr>
          <w:rFonts w:ascii="Arial" w:cs="Arial" w:eastAsia="Arial" w:hAnsi="Arial"/>
          <w:sz w:val="22"/>
          <w:szCs w:val="22"/>
          <w:color w:val="auto"/>
        </w:rPr>
        <w:t>Name: Robert J. Gould</w:t>
      </w:r>
    </w:p>
    <w:p>
      <w:pPr>
        <w:spacing w:after="0"/>
        <w:rPr>
          <w:sz w:val="20"/>
          <w:szCs w:val="20"/>
          <w:color w:val="auto"/>
        </w:rPr>
      </w:pPr>
      <w:r>
        <w:rPr>
          <w:rFonts w:ascii="Arial" w:cs="Arial" w:eastAsia="Arial" w:hAnsi="Arial"/>
          <w:sz w:val="22"/>
          <w:szCs w:val="22"/>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CAMP4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orp</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By: /s/ Josh Mandel-Brehm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-17780</wp:posOffset>
            </wp:positionV>
            <wp:extent cx="14135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2"/>
          <w:szCs w:val="22"/>
          <w:color w:val="auto"/>
        </w:rPr>
        <w:t>Name: Josh Mandel-Brehm</w:t>
      </w:r>
    </w:p>
    <w:p>
      <w:pPr>
        <w:spacing w:after="0"/>
        <w:rPr>
          <w:sz w:val="20"/>
          <w:szCs w:val="20"/>
          <w:color w:val="auto"/>
        </w:rPr>
      </w:pPr>
      <w:r>
        <w:rPr>
          <w:rFonts w:ascii="Arial" w:cs="Arial" w:eastAsia="Arial" w:hAnsi="Arial"/>
          <w:sz w:val="22"/>
          <w:szCs w:val="22"/>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360045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440" w:top="423" w:right="1219" w:bottom="1440" w:gutter="0" w:footer="0" w:header="0"/>
        </w:sectPr>
      </w:pPr>
    </w:p>
    <w:bookmarkStart w:id="119" w:name="page120"/>
    <w:bookmarkEnd w:id="119"/>
    <w:p>
      <w:pPr>
        <w:jc w:val="center"/>
        <w:ind w:right="-520"/>
        <w:spacing w:after="0"/>
        <w:rPr>
          <w:sz w:val="20"/>
          <w:szCs w:val="20"/>
          <w:color w:val="auto"/>
        </w:rPr>
      </w:pPr>
      <w:r>
        <w:rPr>
          <w:rFonts w:ascii="Arial" w:cs="Arial" w:eastAsia="Arial" w:hAnsi="Arial"/>
          <w:sz w:val="22"/>
          <w:szCs w:val="22"/>
          <w:b w:val="1"/>
          <w:bCs w:val="1"/>
          <w:u w:val="single" w:color="auto"/>
          <w:color w:val="auto"/>
        </w:rPr>
        <w:t>EXHIBIT A</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i w:val="1"/>
          <w:iCs w:val="1"/>
          <w:color w:val="auto"/>
        </w:rPr>
        <w:t>Licensed Patents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36" w:right="1440" w:bottom="1440" w:gutter="0" w:footer="0" w:header="0"/>
        </w:sectPr>
      </w:pPr>
    </w:p>
    <w:bookmarkStart w:id="120" w:name="page121"/>
    <w:bookmarkEnd w:id="120"/>
    <w:p>
      <w:pPr>
        <w:jc w:val="center"/>
        <w:ind w:right="-500"/>
        <w:spacing w:after="0"/>
        <w:rPr>
          <w:sz w:val="20"/>
          <w:szCs w:val="20"/>
          <w:color w:val="auto"/>
        </w:rPr>
      </w:pPr>
      <w:r>
        <w:rPr>
          <w:rFonts w:ascii="Arial" w:cs="Arial" w:eastAsia="Arial" w:hAnsi="Arial"/>
          <w:sz w:val="22"/>
          <w:szCs w:val="22"/>
          <w:b w:val="1"/>
          <w:bCs w:val="1"/>
          <w:u w:val="single" w:color="auto"/>
          <w:color w:val="auto"/>
        </w:rPr>
        <w:t>EXHIBIT B</w:t>
      </w:r>
    </w:p>
    <w:p>
      <w:pPr>
        <w:spacing w:after="0" w:line="131" w:lineRule="exact"/>
        <w:rPr>
          <w:sz w:val="20"/>
          <w:szCs w:val="20"/>
          <w:color w:val="auto"/>
        </w:rPr>
      </w:pPr>
    </w:p>
    <w:p>
      <w:pPr>
        <w:jc w:val="center"/>
        <w:ind w:right="-500"/>
        <w:spacing w:after="0"/>
        <w:rPr>
          <w:sz w:val="20"/>
          <w:szCs w:val="20"/>
          <w:color w:val="auto"/>
        </w:rPr>
      </w:pPr>
      <w:r>
        <w:rPr>
          <w:rFonts w:ascii="Arial" w:cs="Arial" w:eastAsia="Arial" w:hAnsi="Arial"/>
          <w:sz w:val="19"/>
          <w:szCs w:val="19"/>
          <w:b w:val="1"/>
          <w:bCs w:val="1"/>
          <w:i w:val="1"/>
          <w:iCs w:val="1"/>
          <w:color w:val="auto"/>
        </w:rPr>
        <w:t>CAMP4 Know-How and Materials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36" w:right="1440"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22"/>
          <w:szCs w:val="22"/>
          <w:b w:val="1"/>
          <w:bCs w:val="1"/>
          <w:u w:val="single" w:color="auto"/>
          <w:color w:val="auto"/>
        </w:rPr>
        <w:t>EXHIBIT 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Agreed form Press Release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Fulcrum Therapeutcs Signs Exclusive Global License Agreement in Rare Hematology</w:t>
      </w:r>
    </w:p>
    <w:p>
      <w:pPr>
        <w:spacing w:after="0" w:line="303" w:lineRule="exact"/>
        <w:rPr>
          <w:sz w:val="20"/>
          <w:szCs w:val="20"/>
          <w:color w:val="auto"/>
        </w:rPr>
      </w:pPr>
    </w:p>
    <w:p>
      <w:pPr>
        <w:ind w:left="740"/>
        <w:spacing w:after="0"/>
        <w:rPr>
          <w:sz w:val="20"/>
          <w:szCs w:val="20"/>
          <w:color w:val="auto"/>
        </w:rPr>
      </w:pPr>
      <w:r>
        <w:rPr>
          <w:rFonts w:ascii="Arial" w:cs="Arial" w:eastAsia="Arial" w:hAnsi="Arial"/>
          <w:sz w:val="19"/>
          <w:szCs w:val="19"/>
          <w:i w:val="1"/>
          <w:iCs w:val="1"/>
          <w:color w:val="auto"/>
        </w:rPr>
        <w:t>— CAMP4 Therapeutcs grants exclusive rights to advance novel therapies for Diamond-Blackfan Anemia</w:t>
      </w:r>
    </w:p>
    <w:p>
      <w:pPr>
        <w:spacing w:after="0" w:line="53" w:lineRule="exact"/>
        <w:rPr>
          <w:sz w:val="20"/>
          <w:szCs w:val="20"/>
          <w:color w:val="auto"/>
        </w:rPr>
      </w:pPr>
    </w:p>
    <w:p>
      <w:pPr>
        <w:ind w:left="740"/>
        <w:spacing w:after="0"/>
        <w:rPr>
          <w:sz w:val="20"/>
          <w:szCs w:val="20"/>
          <w:color w:val="auto"/>
        </w:rPr>
      </w:pPr>
      <w:r>
        <w:rPr>
          <w:rFonts w:ascii="Arial" w:cs="Arial" w:eastAsia="Arial" w:hAnsi="Arial"/>
          <w:sz w:val="22"/>
          <w:szCs w:val="22"/>
          <w:i w:val="1"/>
          <w:iCs w:val="1"/>
          <w:color w:val="auto"/>
        </w:rPr>
        <w:t>—</w:t>
      </w:r>
    </w:p>
    <w:p>
      <w:pPr>
        <w:spacing w:after="0" w:line="200" w:lineRule="exact"/>
        <w:rPr>
          <w:sz w:val="20"/>
          <w:szCs w:val="20"/>
          <w:color w:val="auto"/>
        </w:rPr>
      </w:pPr>
    </w:p>
    <w:p>
      <w:pPr>
        <w:spacing w:after="0" w:line="353" w:lineRule="exact"/>
        <w:rPr>
          <w:sz w:val="20"/>
          <w:szCs w:val="20"/>
          <w:color w:val="auto"/>
        </w:rPr>
      </w:pPr>
    </w:p>
    <w:p>
      <w:pPr>
        <w:ind w:right="60"/>
        <w:spacing w:after="0" w:line="276" w:lineRule="auto"/>
        <w:rPr>
          <w:sz w:val="20"/>
          <w:szCs w:val="20"/>
          <w:color w:val="auto"/>
        </w:rPr>
      </w:pPr>
      <w:r>
        <w:rPr>
          <w:rFonts w:ascii="Arial" w:cs="Arial" w:eastAsia="Arial" w:hAnsi="Arial"/>
          <w:sz w:val="21"/>
          <w:szCs w:val="21"/>
          <w:b w:val="1"/>
          <w:bCs w:val="1"/>
          <w:color w:val="auto"/>
        </w:rPr>
        <w:t xml:space="preserve">CAMBRIDGE, Mass. – July 10, 2023 </w:t>
      </w:r>
      <w:r>
        <w:rPr>
          <w:rFonts w:ascii="Arial" w:cs="Arial" w:eastAsia="Arial" w:hAnsi="Arial"/>
          <w:sz w:val="21"/>
          <w:szCs w:val="21"/>
          <w:color w:val="auto"/>
        </w:rPr>
        <w:t>–</w:t>
      </w:r>
      <w:r>
        <w:rPr>
          <w:rFonts w:ascii="Arial" w:cs="Arial" w:eastAsia="Arial" w:hAnsi="Arial"/>
          <w:sz w:val="21"/>
          <w:szCs w:val="21"/>
          <w:b w:val="1"/>
          <w:bCs w:val="1"/>
          <w:color w:val="auto"/>
        </w:rPr>
        <w:t xml:space="preserve"> Fulcrum Therapeutcs, Inc.® </w:t>
      </w:r>
      <w:r>
        <w:rPr>
          <w:rFonts w:ascii="Arial" w:cs="Arial" w:eastAsia="Arial" w:hAnsi="Arial"/>
          <w:sz w:val="21"/>
          <w:szCs w:val="21"/>
          <w:color w:val="2D2D2D"/>
        </w:rPr>
        <w:t>(NASDAQ: FULC)</w:t>
      </w:r>
      <w:r>
        <w:rPr>
          <w:rFonts w:ascii="Arial" w:cs="Arial" w:eastAsia="Arial" w:hAnsi="Arial"/>
          <w:sz w:val="21"/>
          <w:szCs w:val="21"/>
          <w:color w:val="auto"/>
        </w:rPr>
        <w:t>, a clinical-stage biopharmaceutcal</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focused on improving the lives of patents with genetcally defned rare diseases, today announced that it has entered into a worldwide, exclusive license agreement with CAMP4 Therapeutcs Corp., whereby Fulcrum will advance the discovery, development, and commercializaton of novel therapeutc agents against an undisclosed target for the potental treatment of Diamond-Blackfan Anemia (DBA).</w:t>
      </w:r>
    </w:p>
    <w:p>
      <w:pPr>
        <w:spacing w:after="0" w:line="98" w:lineRule="exact"/>
        <w:rPr>
          <w:sz w:val="20"/>
          <w:szCs w:val="20"/>
          <w:color w:val="auto"/>
        </w:rPr>
      </w:pPr>
    </w:p>
    <w:p>
      <w:pPr>
        <w:ind w:right="20"/>
        <w:spacing w:after="0" w:line="260" w:lineRule="auto"/>
        <w:rPr>
          <w:sz w:val="20"/>
          <w:szCs w:val="20"/>
          <w:color w:val="auto"/>
        </w:rPr>
      </w:pPr>
      <w:r>
        <w:rPr>
          <w:rFonts w:ascii="Arial" w:cs="Arial" w:eastAsia="Arial" w:hAnsi="Arial"/>
          <w:sz w:val="22"/>
          <w:szCs w:val="22"/>
          <w:color w:val="auto"/>
        </w:rPr>
        <w:t>DBA is a congenital, rare blood disorder that afects an estmated 5,000 individuals worldwide. DBA is caused by genetc mutatons in ribosomal subunits that halt red blood cell maturaton and lead to anemia. Patents are usually diagnosed in infancy with the presentaton of severe anemia and potental developmental abnormalites. Patents with DBA require lifelong management with cortcosteroids and blood transfusions that are known for their toxicites and long-term complicatons.</w:t>
      </w:r>
    </w:p>
    <w:p>
      <w:pPr>
        <w:spacing w:after="0" w:line="250" w:lineRule="exact"/>
        <w:rPr>
          <w:sz w:val="20"/>
          <w:szCs w:val="20"/>
          <w:color w:val="auto"/>
        </w:rPr>
      </w:pPr>
    </w:p>
    <w:p>
      <w:pPr>
        <w:ind w:right="40"/>
        <w:spacing w:after="0" w:line="269" w:lineRule="auto"/>
        <w:rPr>
          <w:sz w:val="20"/>
          <w:szCs w:val="20"/>
          <w:color w:val="auto"/>
        </w:rPr>
      </w:pPr>
      <w:r>
        <w:rPr>
          <w:rFonts w:ascii="Arial" w:cs="Arial" w:eastAsia="Arial" w:hAnsi="Arial"/>
          <w:sz w:val="21"/>
          <w:szCs w:val="21"/>
          <w:color w:val="auto"/>
        </w:rPr>
        <w:t>“We are deeply commited to bringing hope and new optons to patents sufering from rare hematologic diseases and are excited to expand on the work of CAMP4’s pre-clinical DBA program,” said Jef Jacobs, Chief Scientfc</w:t>
      </w:r>
    </w:p>
    <w:p>
      <w:pPr>
        <w:spacing w:after="0" w:line="1" w:lineRule="exact"/>
        <w:rPr>
          <w:sz w:val="20"/>
          <w:szCs w:val="20"/>
          <w:color w:val="auto"/>
        </w:rPr>
      </w:pPr>
    </w:p>
    <w:p>
      <w:pPr>
        <w:ind w:right="120"/>
        <w:spacing w:after="0" w:line="272" w:lineRule="auto"/>
        <w:rPr>
          <w:sz w:val="20"/>
          <w:szCs w:val="20"/>
          <w:color w:val="auto"/>
        </w:rPr>
      </w:pPr>
      <w:r>
        <w:rPr>
          <w:rFonts w:ascii="Arial" w:cs="Arial" w:eastAsia="Arial" w:hAnsi="Arial"/>
          <w:sz w:val="22"/>
          <w:szCs w:val="22"/>
          <w:color w:val="auto"/>
        </w:rPr>
        <w:t>Ofcer, Fulcrum Therapeutcs. “This agreement further strengthens our discovery pipeline and reinforces our strategy of addressing rare genetc conditons through small molecules.”</w:t>
      </w:r>
    </w:p>
    <w:p>
      <w:pPr>
        <w:spacing w:after="0" w:line="113" w:lineRule="exact"/>
        <w:rPr>
          <w:sz w:val="20"/>
          <w:szCs w:val="20"/>
          <w:color w:val="auto"/>
        </w:rPr>
      </w:pPr>
    </w:p>
    <w:p>
      <w:pPr>
        <w:spacing w:after="0" w:line="308" w:lineRule="auto"/>
        <w:rPr>
          <w:sz w:val="20"/>
          <w:szCs w:val="20"/>
          <w:color w:val="auto"/>
        </w:rPr>
      </w:pPr>
      <w:r>
        <w:rPr>
          <w:rFonts w:ascii="Arial" w:cs="Arial" w:eastAsia="Arial" w:hAnsi="Arial"/>
          <w:sz w:val="19"/>
          <w:szCs w:val="19"/>
          <w:color w:val="auto"/>
        </w:rPr>
        <w:t>Under the terms of the agreement, Fulcrum has been granted an exclusive, worldwide license to intellectual property arising from CAMP4’s DBA program, including the right to research, develop, manufacture, and commercialize investgatonal compounds against an undisclosed target. In exchange, CAMP4 Therapeutcs will receive an undisclosed upfront payment and up to $70 million in additonal payments, upon the achievement of certain development, regulatory, and commercial milestones. Fulcrum will assume sole responsibility for research, development, manufacturing and commercializaton costs and actvites, and will pay tered royaltes on future commercial sales.</w:t>
      </w:r>
    </w:p>
    <w:p>
      <w:pPr>
        <w:spacing w:after="0" w:line="86" w:lineRule="exact"/>
        <w:rPr>
          <w:sz w:val="20"/>
          <w:szCs w:val="20"/>
          <w:color w:val="auto"/>
        </w:rPr>
      </w:pPr>
    </w:p>
    <w:p>
      <w:pPr>
        <w:ind w:right="20"/>
        <w:spacing w:after="0" w:line="265" w:lineRule="auto"/>
        <w:rPr>
          <w:sz w:val="20"/>
          <w:szCs w:val="20"/>
          <w:color w:val="auto"/>
        </w:rPr>
      </w:pPr>
      <w:r>
        <w:rPr>
          <w:rFonts w:ascii="Arial" w:cs="Arial" w:eastAsia="Arial" w:hAnsi="Arial"/>
          <w:sz w:val="22"/>
          <w:szCs w:val="22"/>
          <w:color w:val="auto"/>
        </w:rPr>
        <w:t>“Our mission is to harness the power of the cell’s transcriptonal regulators to unlock new optons for people living with genetc diseases like DBA,” said Josh Mandel-Brehm, Chief Executve Ofcer, CAMP4 Therapeutcs. “By unitng our scientfc insights with Fulcrum’s deep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365125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440" w:top="436" w:right="1079" w:bottom="1440" w:gutter="0" w:footer="0" w:header="0"/>
        </w:sectPr>
      </w:pPr>
    </w:p>
    <w:bookmarkStart w:id="122" w:name="page123"/>
    <w:bookmarkEnd w:id="122"/>
    <w:p>
      <w:pPr>
        <w:ind w:right="1280"/>
        <w:spacing w:after="0" w:line="273" w:lineRule="auto"/>
        <w:rPr>
          <w:sz w:val="20"/>
          <w:szCs w:val="20"/>
          <w:color w:val="auto"/>
        </w:rPr>
      </w:pPr>
      <w:r>
        <w:rPr>
          <w:rFonts w:ascii="Arial" w:cs="Arial" w:eastAsia="Arial" w:hAnsi="Arial"/>
          <w:sz w:val="22"/>
          <w:szCs w:val="22"/>
          <w:color w:val="auto"/>
        </w:rPr>
        <w:t>expertse in hematology and small molecule development, this agreement will help accelerate the discovery and delivery of ground-breaking therapies for this underserved community.”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Fulcrum Therapeutcs</w:t>
      </w:r>
    </w:p>
    <w:p>
      <w:pPr>
        <w:spacing w:after="0" w:line="33" w:lineRule="exact"/>
        <w:rPr>
          <w:sz w:val="20"/>
          <w:szCs w:val="20"/>
          <w:color w:val="auto"/>
        </w:rPr>
      </w:pPr>
    </w:p>
    <w:p>
      <w:pPr>
        <w:ind w:left="40"/>
        <w:spacing w:after="0" w:line="273" w:lineRule="auto"/>
        <w:rPr>
          <w:sz w:val="20"/>
          <w:szCs w:val="20"/>
          <w:color w:val="auto"/>
        </w:rPr>
      </w:pPr>
      <w:r>
        <w:rPr>
          <w:rFonts w:ascii="Arial" w:cs="Arial" w:eastAsia="Arial" w:hAnsi="Arial"/>
          <w:sz w:val="21"/>
          <w:szCs w:val="21"/>
          <w:color w:val="auto"/>
        </w:rPr>
        <w:t>Fulcrum Therapeutcs is a clinical-stage biopharmaceutcal company focused on improving the lives of patents with genetcally defned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(SCD) and other hemoglobinopathies, which is currently under a full clinical hold issued by the</w:t>
      </w:r>
    </w:p>
    <w:p>
      <w:pPr>
        <w:spacing w:after="0" w:line="4" w:lineRule="exact"/>
        <w:rPr>
          <w:sz w:val="20"/>
          <w:szCs w:val="20"/>
          <w:color w:val="auto"/>
        </w:rPr>
      </w:pPr>
    </w:p>
    <w:p>
      <w:pPr>
        <w:jc w:val="both"/>
        <w:ind w:left="40" w:right="40"/>
        <w:spacing w:after="0" w:line="267" w:lineRule="auto"/>
        <w:rPr>
          <w:sz w:val="20"/>
          <w:szCs w:val="20"/>
          <w:color w:val="auto"/>
        </w:rPr>
      </w:pPr>
      <w:r>
        <w:rPr>
          <w:rFonts w:ascii="Arial" w:cs="Arial" w:eastAsia="Arial" w:hAnsi="Arial"/>
          <w:sz w:val="22"/>
          <w:szCs w:val="22"/>
          <w:color w:val="auto"/>
        </w:rPr>
        <w:t xml:space="preserve">U.S. Food and Drug Administraton. The company’s proprietary product engine, FulcrumSeek™, identfes drug targets that can modulate gene expression to treat the known root cause or consequences of gene mis-expression. For more informaton, visit </w:t>
      </w:r>
      <w:r>
        <w:rPr>
          <w:rFonts w:ascii="Arial" w:cs="Arial" w:eastAsia="Arial" w:hAnsi="Arial"/>
          <w:sz w:val="22"/>
          <w:szCs w:val="22"/>
          <w:b w:val="1"/>
          <w:bCs w:val="1"/>
          <w:color w:val="auto"/>
        </w:rPr>
        <w:t>www.fulcrumtx.com</w:t>
      </w:r>
      <w:r>
        <w:rPr>
          <w:rFonts w:ascii="Arial" w:cs="Arial" w:eastAsia="Arial" w:hAnsi="Arial"/>
          <w:sz w:val="22"/>
          <w:szCs w:val="22"/>
          <w:b w:val="1"/>
          <w:bCs w:val="1"/>
          <w:color w:val="0462C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361315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40" w:top="502" w:right="35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b w:val="1"/>
          <w:bCs w:val="1"/>
          <w:color w:val="auto"/>
        </w:rPr>
        <w:t>Forward-Looking Statements</w:t>
      </w:r>
    </w:p>
    <w:p>
      <w:pPr>
        <w:spacing w:after="0" w:line="33"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This press release contains “forward-looking statements” within the meaning of the Private Securites Litgaton Reform Act of 1995 that involve substantal risks and uncertaintes. All statements, other than statements of historical facts, contained in this press release are forward-looking statements, including express or implied statements regarding Fulcrum’s exclusive license agreement with CAMP4 Therapeutcs, and the milestone and royalty payments thereunder; Fulcrum’s ability to develop a therapy for DBA; and the potental efect of this</w:t>
      </w:r>
    </w:p>
    <w:p>
      <w:pPr>
        <w:ind w:right="20"/>
        <w:spacing w:after="0" w:line="301" w:lineRule="auto"/>
        <w:rPr>
          <w:sz w:val="20"/>
          <w:szCs w:val="20"/>
          <w:color w:val="auto"/>
        </w:rPr>
      </w:pPr>
      <w:r>
        <w:rPr>
          <w:rFonts w:ascii="Arial" w:cs="Arial" w:eastAsia="Arial" w:hAnsi="Arial"/>
          <w:sz w:val="19"/>
          <w:szCs w:val="19"/>
          <w:color w:val="auto"/>
        </w:rPr>
        <w:t>agreement on Fulcrum’s discovery pipeline; among others. The words “antcipate,” “believe,” “contnue,” “could,” “estmate,” “expect,” “intend,” “may,” “plan,” “potental,” “predict,” “project,” “should,” “target,” “will,” “would” and similar expressions are intended to identfy forward-looking statements, although not all forward-looking statements contain these identfying words. Any forward-looking statements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risks associated with biopharmaceutcal development, Fulcrum’s ability to contnue to advance its product candidates into and through clinical trials; initate and enroll clinical trials on the tmeline expected or at all; obtain and maintain necessary approvals from the FDA and other regulatory authorites; replicate in clinical trials positve results found in preclinical studies and/or earlier-stage clinical trials; obtain, maintain or protect intellectual property rights related to its product candidates; manage expenses; realize the antcipated benefts of the strategic realignment; manage executve and employee turnover; and raise the substantal additonal capital needed to achieve its business objectves, among others. For a</w:t>
      </w:r>
    </w:p>
    <w:p>
      <w:pPr>
        <w:spacing w:after="0" w:line="249" w:lineRule="exact"/>
        <w:rPr>
          <w:sz w:val="20"/>
          <w:szCs w:val="20"/>
          <w:color w:val="auto"/>
        </w:rPr>
      </w:pPr>
    </w:p>
    <w:p>
      <w:pPr>
        <w:ind w:right="280"/>
        <w:spacing w:after="0" w:line="304" w:lineRule="auto"/>
        <w:rPr>
          <w:sz w:val="20"/>
          <w:szCs w:val="20"/>
          <w:color w:val="auto"/>
        </w:rPr>
      </w:pPr>
      <w:r>
        <w:rPr>
          <w:rFonts w:ascii="Arial" w:cs="Arial" w:eastAsia="Arial" w:hAnsi="Arial"/>
          <w:sz w:val="19"/>
          <w:szCs w:val="19"/>
          <w:color w:val="auto"/>
        </w:rPr>
        <w:t>discussion of other risks and uncertaintes, and other important factors, any of which could cause Fulcrum’s actual results to difer from those contained in the forward-looking statements, see the “Risk Factors” secton, as well as discussions of potental risks, uncertaintes, and other important factors, in Fulcrum’s most recent flings with the Securites and Exchange Commission. In additon, the forward-looking statements included in this press release represent Fulcrum’s views as of the date hereof and should not be relied upon as representng Fulcrum’s views as of any date subsequent to the date hereof. Fulcrum antcipates that subsequent events and developments will cause Fulcrum’s views to change. However, while Fulcrum may elect to update these forward-looking statements at some point in the future, Fulcrum specifcally disclaims any obligaton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348615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440" w:top="702" w:right="105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b w:val="1"/>
          <w:bCs w:val="1"/>
          <w:color w:val="auto"/>
        </w:rPr>
        <w:t>Contact Informaton: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Investors: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Chris Calabrese LifeSci</w:t>
      </w:r>
    </w:p>
    <w:p>
      <w:pPr>
        <w:spacing w:after="0" w:line="1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Advisors,</w:t>
      </w:r>
      <w:r>
        <w:rPr>
          <w:sz w:val="20"/>
          <w:szCs w:val="20"/>
          <w:color w:val="auto"/>
        </w:rPr>
        <w:tab/>
      </w:r>
      <w:r>
        <w:rPr>
          <w:rFonts w:ascii="Arial" w:cs="Arial" w:eastAsia="Arial" w:hAnsi="Arial"/>
          <w:sz w:val="16"/>
          <w:szCs w:val="16"/>
          <w:color w:val="auto"/>
        </w:rPr>
        <w:t>LLC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ccalabrese@lifesciadvisors.com 917-</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680-5608</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Media: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Dee Smith</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Executve Director, Corporate Communicatons Fulcrum</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Therapeutcs, Inc.</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dsmith@fulcrumtx.com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202-746-1324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392430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959" w:right="1440" w:bottom="1440" w:gutter="0" w:footer="0" w:header="0"/>
        </w:sectPr>
      </w:pPr>
    </w:p>
    <w:bookmarkStart w:id="125" w:name="page126"/>
    <w:bookmarkEnd w:id="125"/>
    <w:p>
      <w:pPr>
        <w:jc w:val="center"/>
        <w:ind w:right="-500"/>
        <w:spacing w:after="0"/>
        <w:rPr>
          <w:sz w:val="20"/>
          <w:szCs w:val="20"/>
          <w:color w:val="auto"/>
        </w:rPr>
      </w:pPr>
      <w:r>
        <w:rPr>
          <w:rFonts w:ascii="Arial" w:cs="Arial" w:eastAsia="Arial" w:hAnsi="Arial"/>
          <w:sz w:val="22"/>
          <w:szCs w:val="22"/>
          <w:b w:val="1"/>
          <w:bCs w:val="1"/>
          <w:u w:val="single" w:color="auto"/>
          <w:color w:val="auto"/>
        </w:rPr>
        <w:t>EXHIBIT D</w:t>
      </w:r>
    </w:p>
    <w:p>
      <w:pPr>
        <w:spacing w:after="0" w:line="131"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i w:val="1"/>
          <w:iCs w:val="1"/>
          <w:color w:val="auto"/>
        </w:rPr>
        <w:t>Development Plan</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517525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36"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10.2</w:t>
      </w:r>
    </w:p>
    <w:p>
      <w:pPr>
        <w:spacing w:after="0" w:line="5"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FULCRUM THERAPEUTICS, INC.</w:t>
      </w:r>
    </w:p>
    <w:p>
      <w:pPr>
        <w:ind w:left="3440"/>
        <w:spacing w:after="0"/>
        <w:rPr>
          <w:sz w:val="20"/>
          <w:szCs w:val="20"/>
          <w:color w:val="auto"/>
        </w:rPr>
      </w:pPr>
      <w:r>
        <w:rPr>
          <w:rFonts w:ascii="Arial" w:cs="Arial" w:eastAsia="Arial" w:hAnsi="Arial"/>
          <w:sz w:val="22"/>
          <w:szCs w:val="22"/>
          <w:b w:val="1"/>
          <w:bCs w:val="1"/>
          <w:color w:val="auto"/>
        </w:rPr>
        <w:t>EXECUTIVEEMPLOYMENT AGREEMENT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August 7, 2023 (the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Fulcrum Therapeutics,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Alan Musso (the “</w:t>
      </w:r>
      <w:r>
        <w:rPr>
          <w:rFonts w:ascii="Arial" w:cs="Arial" w:eastAsia="Arial" w:hAnsi="Arial"/>
          <w:sz w:val="21"/>
          <w:szCs w:val="21"/>
          <w:u w:val="single" w:color="auto"/>
          <w:color w:val="auto"/>
        </w:rPr>
        <w:t>Executive</w:t>
      </w:r>
      <w:r>
        <w:rPr>
          <w:rFonts w:ascii="Arial" w:cs="Arial" w:eastAsia="Arial" w:hAnsi="Arial"/>
          <w:sz w:val="21"/>
          <w:szCs w:val="21"/>
          <w:color w:val="auto"/>
        </w:rPr>
        <w:t>”) (the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Company and the Executive each a “</w:t>
      </w:r>
      <w:r>
        <w:rPr>
          <w:rFonts w:ascii="Arial" w:cs="Arial" w:eastAsia="Arial" w:hAnsi="Arial"/>
          <w:sz w:val="22"/>
          <w:szCs w:val="22"/>
          <w:u w:val="single" w:color="auto"/>
          <w:color w:val="auto"/>
        </w:rPr>
        <w:t>Party</w:t>
      </w:r>
      <w:r>
        <w:rPr>
          <w:rFonts w:ascii="Arial" w:cs="Arial" w:eastAsia="Arial" w:hAnsi="Arial"/>
          <w:sz w:val="22"/>
          <w:szCs w:val="22"/>
          <w:color w:val="auto"/>
        </w:rPr>
        <w:t>” and together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32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left="900"/>
        <w:spacing w:after="0"/>
        <w:rPr>
          <w:sz w:val="20"/>
          <w:szCs w:val="20"/>
          <w:color w:val="auto"/>
        </w:rPr>
      </w:pPr>
      <w:r>
        <w:rPr>
          <w:rFonts w:ascii="Arial" w:cs="Arial" w:eastAsia="Arial" w:hAnsi="Arial"/>
          <w:sz w:val="22"/>
          <w:szCs w:val="22"/>
          <w:color w:val="auto"/>
        </w:rPr>
        <w:t>WHEREAS, the Company desires to employ the Executive as its Chief Financial Officer; and</w:t>
      </w:r>
    </w:p>
    <w:p>
      <w:pPr>
        <w:spacing w:after="0" w:line="260" w:lineRule="exact"/>
        <w:rPr>
          <w:sz w:val="20"/>
          <w:szCs w:val="20"/>
          <w:color w:val="auto"/>
        </w:rPr>
      </w:pPr>
    </w:p>
    <w:p>
      <w:pPr>
        <w:ind w:right="3140" w:firstLine="892"/>
        <w:spacing w:after="0" w:line="250" w:lineRule="auto"/>
        <w:rPr>
          <w:sz w:val="20"/>
          <w:szCs w:val="20"/>
          <w:color w:val="auto"/>
        </w:rPr>
      </w:pPr>
      <w:r>
        <w:rPr>
          <w:rFonts w:ascii="Arial" w:cs="Arial" w:eastAsia="Arial" w:hAnsi="Arial"/>
          <w:sz w:val="22"/>
          <w:szCs w:val="22"/>
          <w:color w:val="auto"/>
        </w:rPr>
        <w:t>WHEREAS, the Executive has agreed to accept such employment on the terms and conditions set forth in this Agreement.</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21"/>
          <w:szCs w:val="21"/>
          <w:color w:val="auto"/>
        </w:rPr>
        <w:t>NOW, THEREFORE, in consideration of the foregoing and of the respective covenants and agreements of the</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Parties herein contained, the Parties hereto agree as follows:</w:t>
      </w:r>
    </w:p>
    <w:p>
      <w:pPr>
        <w:spacing w:after="0" w:line="188" w:lineRule="exact"/>
        <w:rPr>
          <w:sz w:val="20"/>
          <w:szCs w:val="20"/>
          <w:color w:val="auto"/>
        </w:rPr>
      </w:pPr>
    </w:p>
    <w:p>
      <w:pPr>
        <w:jc w:val="both"/>
        <w:ind w:left="160" w:right="120" w:firstLine="749"/>
        <w:spacing w:after="0" w:line="245" w:lineRule="auto"/>
        <w:rPr>
          <w:sz w:val="20"/>
          <w:szCs w:val="20"/>
          <w:color w:val="auto"/>
        </w:rPr>
      </w:pPr>
      <w:r>
        <w:rPr>
          <w:rFonts w:ascii="Arial" w:cs="Arial" w:eastAsia="Arial" w:hAnsi="Arial"/>
          <w:sz w:val="21"/>
          <w:szCs w:val="21"/>
          <w:color w:val="auto"/>
        </w:rPr>
        <w:t>1.</w:t>
      </w:r>
      <w:r>
        <w:rPr>
          <w:rFonts w:ascii="Arial" w:cs="Arial" w:eastAsia="Arial" w:hAnsi="Arial"/>
          <w:sz w:val="21"/>
          <w:szCs w:val="21"/>
          <w:i w:val="1"/>
          <w:iCs w:val="1"/>
          <w:color w:val="auto"/>
        </w:rPr>
        <w:t>Start Date; Term of Employment</w:t>
      </w:r>
      <w:r>
        <w:rPr>
          <w:rFonts w:ascii="Arial" w:cs="Arial" w:eastAsia="Arial" w:hAnsi="Arial"/>
          <w:sz w:val="21"/>
          <w:szCs w:val="21"/>
          <w:color w:val="auto"/>
        </w:rPr>
        <w:t>. The Executive’s employment under this Agreement will commence on August 7, 2023 (the “</w:t>
      </w:r>
      <w:r>
        <w:rPr>
          <w:rFonts w:ascii="Arial" w:cs="Arial" w:eastAsia="Arial" w:hAnsi="Arial"/>
          <w:sz w:val="21"/>
          <w:szCs w:val="21"/>
          <w:u w:val="single" w:color="auto"/>
          <w:color w:val="auto"/>
        </w:rPr>
        <w:t>Start Date</w:t>
      </w:r>
      <w:r>
        <w:rPr>
          <w:rFonts w:ascii="Arial" w:cs="Arial" w:eastAsia="Arial" w:hAnsi="Arial"/>
          <w:sz w:val="21"/>
          <w:szCs w:val="21"/>
          <w:color w:val="auto"/>
        </w:rPr>
        <w:t>”) and will continue until terminated by either Party. The effective date of any termination of the Executive’s employment hereunder is hereinafter referred to as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 and the period of time between the Start Date and the Termination Date is hereinafter referred to as the “</w:t>
      </w:r>
      <w:r>
        <w:rPr>
          <w:rFonts w:ascii="Arial" w:cs="Arial" w:eastAsia="Arial" w:hAnsi="Arial"/>
          <w:sz w:val="21"/>
          <w:szCs w:val="21"/>
          <w:u w:val="single" w:color="auto"/>
          <w:color w:val="auto"/>
        </w:rPr>
        <w:t>Term of Employment</w:t>
      </w:r>
      <w:r>
        <w:rPr>
          <w:rFonts w:ascii="Arial" w:cs="Arial" w:eastAsia="Arial" w:hAnsi="Arial"/>
          <w:sz w:val="21"/>
          <w:szCs w:val="21"/>
          <w:color w:val="auto"/>
        </w:rPr>
        <w:t>”. Effective upon any Termination Date, this Agreement will automatically terminate and will be of no further force or effect, except as otherwise provided in Section 14 hereof, and the Executive shall immediately resign, in writing, from all positions then held by the Executive with the Company and its affiliates, unless otherwise expressly agreed to by the Company and the Executive. For the avoidance of doubt, the Executive’s employment is at-will, and either the Executive or the Company may terminate the Executive’s employment hereunder any time, for any or no reason, without advance notice (except for any notice expressly required under Section 6 below).</w:t>
      </w:r>
    </w:p>
    <w:p>
      <w:pPr>
        <w:spacing w:after="0" w:line="181" w:lineRule="exact"/>
        <w:rPr>
          <w:sz w:val="20"/>
          <w:szCs w:val="20"/>
          <w:color w:val="auto"/>
        </w:rPr>
      </w:pPr>
    </w:p>
    <w:p>
      <w:pPr>
        <w:jc w:val="both"/>
        <w:ind w:left="160" w:right="120" w:firstLine="749"/>
        <w:spacing w:after="0" w:line="248" w:lineRule="auto"/>
        <w:rPr>
          <w:sz w:val="20"/>
          <w:szCs w:val="20"/>
          <w:color w:val="auto"/>
        </w:rPr>
      </w:pPr>
      <w:r>
        <w:rPr>
          <w:rFonts w:ascii="Arial" w:cs="Arial" w:eastAsia="Arial" w:hAnsi="Arial"/>
          <w:sz w:val="21"/>
          <w:szCs w:val="21"/>
          <w:color w:val="auto"/>
        </w:rPr>
        <w:t>2.</w:t>
      </w:r>
      <w:r>
        <w:rPr>
          <w:rFonts w:ascii="Arial" w:cs="Arial" w:eastAsia="Arial" w:hAnsi="Arial"/>
          <w:sz w:val="21"/>
          <w:szCs w:val="21"/>
          <w:i w:val="1"/>
          <w:iCs w:val="1"/>
          <w:color w:val="auto"/>
        </w:rPr>
        <w:t>Position; Location.</w:t>
      </w:r>
      <w:r>
        <w:rPr>
          <w:rFonts w:ascii="Arial" w:cs="Arial" w:eastAsia="Arial" w:hAnsi="Arial"/>
          <w:sz w:val="21"/>
          <w:szCs w:val="21"/>
          <w:color w:val="auto"/>
        </w:rPr>
        <w:t xml:space="preserve"> During the Term of Employment, the Executive shall serve as the Chief Financial Officer of the Company (the “</w:t>
      </w:r>
      <w:r>
        <w:rPr>
          <w:rFonts w:ascii="Arial" w:cs="Arial" w:eastAsia="Arial" w:hAnsi="Arial"/>
          <w:sz w:val="21"/>
          <w:szCs w:val="21"/>
          <w:u w:val="single" w:color="auto"/>
          <w:color w:val="auto"/>
        </w:rPr>
        <w:t>Position</w:t>
      </w:r>
      <w:r>
        <w:rPr>
          <w:rFonts w:ascii="Arial" w:cs="Arial" w:eastAsia="Arial" w:hAnsi="Arial"/>
          <w:sz w:val="21"/>
          <w:szCs w:val="21"/>
          <w:color w:val="auto"/>
        </w:rPr>
        <w:t>”). Executive will spend on average at least 40% of his work time either in the Company’s office in Cambridge, Massachusetts, or in business travel as reasonably required by the Executive’s job duties, and shall otherwise work remotely from Executive’s home office in Executive’s principal state of residence in the State of North Carolina, or such other state; provided that Executive agrees not to relocate outside of the State of North Carolina without prior written notice to the President and Chief Executive Officer.</w:t>
      </w:r>
    </w:p>
    <w:p>
      <w:pPr>
        <w:spacing w:after="0" w:line="177" w:lineRule="exact"/>
        <w:rPr>
          <w:sz w:val="20"/>
          <w:szCs w:val="20"/>
          <w:color w:val="auto"/>
        </w:rPr>
      </w:pPr>
    </w:p>
    <w:p>
      <w:pPr>
        <w:jc w:val="both"/>
        <w:ind w:left="160" w:right="120" w:firstLine="749"/>
        <w:spacing w:after="0" w:line="234" w:lineRule="auto"/>
        <w:rPr>
          <w:sz w:val="20"/>
          <w:szCs w:val="20"/>
          <w:color w:val="auto"/>
        </w:rPr>
      </w:pPr>
      <w:r>
        <w:rPr>
          <w:rFonts w:ascii="Arial" w:cs="Arial" w:eastAsia="Arial" w:hAnsi="Arial"/>
          <w:sz w:val="22"/>
          <w:szCs w:val="22"/>
          <w:color w:val="auto"/>
        </w:rPr>
        <w:t>3.</w:t>
      </w:r>
      <w:r>
        <w:rPr>
          <w:rFonts w:ascii="Arial" w:cs="Arial" w:eastAsia="Arial" w:hAnsi="Arial"/>
          <w:sz w:val="22"/>
          <w:szCs w:val="22"/>
          <w:i w:val="1"/>
          <w:iCs w:val="1"/>
          <w:color w:val="auto"/>
        </w:rPr>
        <w:t>Duties</w:t>
      </w:r>
      <w:r>
        <w:rPr>
          <w:rFonts w:ascii="Arial" w:cs="Arial" w:eastAsia="Arial" w:hAnsi="Arial"/>
          <w:sz w:val="22"/>
          <w:szCs w:val="22"/>
          <w:color w:val="auto"/>
        </w:rPr>
        <w:t>. During the Term of Employment, the Executive shall be responsible for the performance of those duties, and shall have such authorities and responsibilities, as are consistent with the Executive’s Position, and such other duties, authorities and responsibilities not inconsistent with the Executive’s Position as may be assigned to the Executive by the President and Chief Executive Officer from time to time. The Executive shall report to President and Chief Executive Officer of the Company and shall perform and discharge faithfully, diligently, and to the best of the Executive’s ability, the Executive’s duties and responsibilities hereunder. The Executive shall devote his full working time and efforts to the business and affairs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7" w:name="page128"/>
    <w:bookmarkEnd w:id="127"/>
    <w:p>
      <w:pPr>
        <w:ind w:left="10160"/>
        <w:spacing w:after="0"/>
        <w:rPr>
          <w:sz w:val="20"/>
          <w:szCs w:val="20"/>
          <w:color w:val="auto"/>
        </w:rPr>
      </w:pPr>
      <w:r>
        <w:rPr>
          <w:rFonts w:ascii="Arial" w:cs="Arial" w:eastAsia="Arial" w:hAnsi="Arial"/>
          <w:sz w:val="16"/>
          <w:szCs w:val="16"/>
          <w:b w:val="1"/>
          <w:bCs w:val="1"/>
          <w:color w:val="auto"/>
        </w:rPr>
        <w:t>Exhibit 10.2</w:t>
      </w:r>
    </w:p>
    <w:p>
      <w:pPr>
        <w:spacing w:after="0" w:line="164" w:lineRule="exact"/>
        <w:rPr>
          <w:sz w:val="20"/>
          <w:szCs w:val="20"/>
          <w:color w:val="auto"/>
        </w:rPr>
      </w:pPr>
    </w:p>
    <w:p>
      <w:pPr>
        <w:jc w:val="both"/>
        <w:ind w:right="580"/>
        <w:spacing w:after="0" w:line="239" w:lineRule="auto"/>
        <w:rPr>
          <w:sz w:val="20"/>
          <w:szCs w:val="20"/>
          <w:color w:val="auto"/>
        </w:rPr>
      </w:pPr>
      <w:r>
        <w:rPr>
          <w:rFonts w:ascii="Arial" w:cs="Arial" w:eastAsia="Arial" w:hAnsi="Arial"/>
          <w:sz w:val="22"/>
          <w:szCs w:val="22"/>
          <w:color w:val="auto"/>
        </w:rPr>
        <w:t>Company and its affiliates. Notwithstanding the foregoing, the Executive may serve on other boards of directors, with the approval of the Board of Directors of the Company (the “Board”)</w:t>
      </w:r>
    </w:p>
    <w:p>
      <w:pPr>
        <w:jc w:val="both"/>
        <w:ind w:right="580"/>
        <w:spacing w:after="0" w:line="280" w:lineRule="auto"/>
        <w:rPr>
          <w:sz w:val="20"/>
          <w:szCs w:val="20"/>
          <w:color w:val="auto"/>
        </w:rPr>
      </w:pPr>
      <w:r>
        <w:rPr>
          <w:rFonts w:ascii="Arial" w:cs="Arial" w:eastAsia="Arial" w:hAnsi="Arial"/>
          <w:sz w:val="19"/>
          <w:szCs w:val="19"/>
          <w:color w:val="auto"/>
        </w:rPr>
        <w:t>which will not be unreasonably withheld, or engage in religious, charitable or other activities as long as such services and activities are approved by the Board and do not materially interfere with the Executive’s performance of his duties to the Company as provided in this Agreement. The Executive agrees to abide by the rules, regulations, instructions, personnel practices and policies of the Company and any changes therein that may be adopted from time to time by the Company.</w:t>
      </w:r>
    </w:p>
    <w:p>
      <w:pPr>
        <w:spacing w:after="0" w:line="177" w:lineRule="exact"/>
        <w:rPr>
          <w:sz w:val="20"/>
          <w:szCs w:val="20"/>
          <w:color w:val="auto"/>
        </w:rPr>
      </w:pPr>
    </w:p>
    <w:p>
      <w:pPr>
        <w:jc w:val="both"/>
        <w:ind w:right="120" w:firstLine="749"/>
        <w:spacing w:after="0" w:line="250" w:lineRule="auto"/>
        <w:rPr>
          <w:sz w:val="20"/>
          <w:szCs w:val="20"/>
          <w:color w:val="auto"/>
        </w:rPr>
      </w:pPr>
      <w:r>
        <w:rPr>
          <w:rFonts w:ascii="Arial" w:cs="Arial" w:eastAsia="Arial" w:hAnsi="Arial"/>
          <w:sz w:val="22"/>
          <w:szCs w:val="22"/>
          <w:color w:val="auto"/>
        </w:rPr>
        <w:t>4.</w:t>
      </w:r>
      <w:r>
        <w:rPr>
          <w:rFonts w:ascii="Arial" w:cs="Arial" w:eastAsia="Arial" w:hAnsi="Arial"/>
          <w:sz w:val="22"/>
          <w:szCs w:val="22"/>
          <w:i w:val="1"/>
          <w:iCs w:val="1"/>
          <w:color w:val="auto"/>
        </w:rPr>
        <w:t>Compensation</w:t>
      </w:r>
      <w:r>
        <w:rPr>
          <w:rFonts w:ascii="Arial" w:cs="Arial" w:eastAsia="Arial" w:hAnsi="Arial"/>
          <w:sz w:val="22"/>
          <w:szCs w:val="22"/>
          <w:color w:val="auto"/>
        </w:rPr>
        <w:t>. As full compensation for all services rendered by the Executive to the Company and any affiliate thereof, during the Term of Employment, the Company will provide to the Executive the following:</w:t>
      </w:r>
    </w:p>
    <w:p>
      <w:pPr>
        <w:spacing w:after="0" w:line="202" w:lineRule="exact"/>
        <w:rPr>
          <w:sz w:val="20"/>
          <w:szCs w:val="20"/>
          <w:color w:val="auto"/>
        </w:rPr>
      </w:pPr>
    </w:p>
    <w:p>
      <w:pPr>
        <w:jc w:val="both"/>
        <w:ind w:right="120" w:firstLine="749"/>
        <w:spacing w:after="0" w:line="236" w:lineRule="auto"/>
        <w:rPr>
          <w:sz w:val="20"/>
          <w:szCs w:val="20"/>
          <w:color w:val="auto"/>
        </w:rPr>
      </w:pPr>
      <w:r>
        <w:rPr>
          <w:rFonts w:ascii="Arial" w:cs="Arial" w:eastAsia="Arial" w:hAnsi="Arial"/>
          <w:sz w:val="22"/>
          <w:szCs w:val="22"/>
          <w:color w:val="auto"/>
        </w:rPr>
        <w:t>(a)</w:t>
      </w:r>
      <w:r>
        <w:rPr>
          <w:rFonts w:ascii="Arial" w:cs="Arial" w:eastAsia="Arial" w:hAnsi="Arial"/>
          <w:sz w:val="22"/>
          <w:szCs w:val="22"/>
          <w:i w:val="1"/>
          <w:iCs w:val="1"/>
          <w:color w:val="auto"/>
        </w:rPr>
        <w:t>Base Salary</w:t>
      </w:r>
      <w:r>
        <w:rPr>
          <w:rFonts w:ascii="Arial" w:cs="Arial" w:eastAsia="Arial" w:hAnsi="Arial"/>
          <w:sz w:val="22"/>
          <w:szCs w:val="22"/>
          <w:color w:val="auto"/>
        </w:rPr>
        <w:t>. Effective as of the Start Date, the Executive shall receive a base salary at the annualized rate of $450,000, less all applicable withholdings and deductions (the “</w:t>
      </w:r>
      <w:r>
        <w:rPr>
          <w:rFonts w:ascii="Arial" w:cs="Arial" w:eastAsia="Arial" w:hAnsi="Arial"/>
          <w:sz w:val="22"/>
          <w:szCs w:val="22"/>
          <w:u w:val="single" w:color="auto"/>
          <w:color w:val="auto"/>
        </w:rPr>
        <w:t>Base Salary</w:t>
      </w:r>
      <w:r>
        <w:rPr>
          <w:rFonts w:ascii="Arial" w:cs="Arial" w:eastAsia="Arial" w:hAnsi="Arial"/>
          <w:sz w:val="22"/>
          <w:szCs w:val="22"/>
          <w:color w:val="auto"/>
        </w:rPr>
        <w:t>”). The Executive’s Base Salary shall be paid in equal installments in accordance with the Company’s regularly established payroll procedures. The Executive’s Base Salary will be reviewed on an annual or more frequent basis by the Board and is subject to change in the sole and absolute discretion of the Board.</w:t>
      </w:r>
    </w:p>
    <w:p>
      <w:pPr>
        <w:spacing w:after="0" w:line="228" w:lineRule="exact"/>
        <w:rPr>
          <w:sz w:val="20"/>
          <w:szCs w:val="20"/>
          <w:color w:val="auto"/>
        </w:rPr>
      </w:pPr>
    </w:p>
    <w:p>
      <w:pPr>
        <w:jc w:val="both"/>
        <w:ind w:right="120" w:firstLine="749"/>
        <w:spacing w:after="0" w:line="270" w:lineRule="auto"/>
        <w:rPr>
          <w:sz w:val="20"/>
          <w:szCs w:val="20"/>
          <w:color w:val="auto"/>
        </w:rPr>
      </w:pPr>
      <w:r>
        <w:rPr>
          <w:rFonts w:ascii="Arial" w:cs="Arial" w:eastAsia="Arial" w:hAnsi="Arial"/>
          <w:sz w:val="19"/>
          <w:szCs w:val="19"/>
          <w:color w:val="auto"/>
        </w:rPr>
        <w:t>(b)</w:t>
      </w:r>
      <w:r>
        <w:rPr>
          <w:rFonts w:ascii="Arial" w:cs="Arial" w:eastAsia="Arial" w:hAnsi="Arial"/>
          <w:sz w:val="19"/>
          <w:szCs w:val="19"/>
          <w:i w:val="1"/>
          <w:iCs w:val="1"/>
          <w:color w:val="auto"/>
        </w:rPr>
        <w:t>Annual Discretionary Bonus</w:t>
      </w:r>
      <w:r>
        <w:rPr>
          <w:rFonts w:ascii="Arial" w:cs="Arial" w:eastAsia="Arial" w:hAnsi="Arial"/>
          <w:sz w:val="19"/>
          <w:szCs w:val="19"/>
          <w:color w:val="auto"/>
        </w:rPr>
        <w:t>. For each calendar year during the Term of Employment (prorated for the Executive’s first calendar year of employment), the Executive will be eligible to earn an annual discretionary performance bonus (the “</w:t>
      </w:r>
      <w:r>
        <w:rPr>
          <w:rFonts w:ascii="Arial" w:cs="Arial" w:eastAsia="Arial" w:hAnsi="Arial"/>
          <w:sz w:val="19"/>
          <w:szCs w:val="19"/>
          <w:u w:val="single" w:color="auto"/>
          <w:color w:val="auto"/>
        </w:rPr>
        <w:t>Annual Discretionary Bonus</w:t>
      </w:r>
      <w:r>
        <w:rPr>
          <w:rFonts w:ascii="Arial" w:cs="Arial" w:eastAsia="Arial" w:hAnsi="Arial"/>
          <w:sz w:val="19"/>
          <w:szCs w:val="19"/>
          <w:color w:val="auto"/>
        </w:rPr>
        <w:t xml:space="preserve"> ”) in an initial amount of up to 40% of the Executive’s Base Salary (the “</w:t>
      </w:r>
      <w:r>
        <w:rPr>
          <w:rFonts w:ascii="Arial" w:cs="Arial" w:eastAsia="Arial" w:hAnsi="Arial"/>
          <w:sz w:val="19"/>
          <w:szCs w:val="19"/>
          <w:u w:val="single" w:color="auto"/>
          <w:color w:val="auto"/>
        </w:rPr>
        <w:t>Target Bonus</w:t>
      </w:r>
      <w:r>
        <w:rPr>
          <w:rFonts w:ascii="Arial" w:cs="Arial" w:eastAsia="Arial" w:hAnsi="Arial"/>
          <w:sz w:val="19"/>
          <w:szCs w:val="19"/>
          <w:color w:val="auto"/>
        </w:rPr>
        <w:t>”), based upon the Board’s assessment of the Executive’s performance and the Company’s attainment of targeted goals as set by the Board in its sole and absolute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applying the initial target bonus percentage of Base Salary and the revised target bonus percentage of Base Salary based on the portion of the year during which each was in effect. The Board may determine to pay any earned Annual Discretionary Bonus in the form of cash, vested equity award(s), or a combination of cash and equity, in its sole and absolute discretion. Following the close of each calendar year, the Board will determine whether the Executive has achieved an Annual Discretionary Bonus for such year, and the amount of any such Annual Discretionary Bonus, based on the set criteria (which, for the avoidance of doubt, may be less than the Target Bonus). The Annual Discretionary Bonus, if earned, will be paid by no later than March 15 of the calendar year after the year to which it relates. No amount of the Annual Discretionary Bonus is guaranteed, and the Executive must remain employed by the Company in good standing through the date of payment of an Annual Discretionary Bonus in order to earn and receive such bonus, except as may be specifically set forth in Section 7 below. The Executive’s bonus eligibility, and the terms and conditions of the bonus (including the Target Bonus amount), will be reviewed on an annual or more frequent basis by the Board and are subject to change in the discretion of the Board.</w:t>
      </w:r>
    </w:p>
    <w:p>
      <w:pPr>
        <w:spacing w:after="0" w:line="166" w:lineRule="exact"/>
        <w:rPr>
          <w:sz w:val="20"/>
          <w:szCs w:val="20"/>
          <w:color w:val="auto"/>
        </w:rPr>
      </w:pPr>
    </w:p>
    <w:p>
      <w:pPr>
        <w:jc w:val="both"/>
        <w:ind w:right="120" w:firstLine="749"/>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i w:val="1"/>
          <w:iCs w:val="1"/>
          <w:color w:val="auto"/>
        </w:rPr>
        <w:t>Initial Stock Option Award</w:t>
      </w:r>
      <w:r>
        <w:rPr>
          <w:rFonts w:ascii="Arial" w:cs="Arial" w:eastAsia="Arial" w:hAnsi="Arial"/>
          <w:sz w:val="22"/>
          <w:szCs w:val="22"/>
          <w:color w:val="auto"/>
        </w:rPr>
        <w:t>. On the Start Date, the Company will grant to the Executive, subject to the Executive’s continued employment with the Company through the grant date, a one- time award consisting of nonqualified options to purchase 432,800 shares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187960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28" w:name="page129"/>
    <w:bookmarkEnd w:id="128"/>
    <w:p>
      <w:pPr>
        <w:ind w:left="10160"/>
        <w:spacing w:after="0"/>
        <w:rPr>
          <w:sz w:val="20"/>
          <w:szCs w:val="20"/>
          <w:color w:val="auto"/>
        </w:rPr>
      </w:pPr>
      <w:r>
        <w:rPr>
          <w:rFonts w:ascii="Arial" w:cs="Arial" w:eastAsia="Arial" w:hAnsi="Arial"/>
          <w:sz w:val="16"/>
          <w:szCs w:val="16"/>
          <w:b w:val="1"/>
          <w:bCs w:val="1"/>
          <w:color w:val="auto"/>
        </w:rPr>
        <w:t>Exhibit 10.2</w:t>
      </w:r>
    </w:p>
    <w:p>
      <w:pPr>
        <w:spacing w:after="0" w:line="164" w:lineRule="exact"/>
        <w:rPr>
          <w:sz w:val="20"/>
          <w:szCs w:val="20"/>
          <w:color w:val="auto"/>
        </w:rPr>
      </w:pPr>
    </w:p>
    <w:p>
      <w:pPr>
        <w:jc w:val="both"/>
        <w:ind w:right="120"/>
        <w:spacing w:after="0" w:line="273" w:lineRule="auto"/>
        <w:rPr>
          <w:sz w:val="20"/>
          <w:szCs w:val="20"/>
          <w:color w:val="auto"/>
        </w:rPr>
      </w:pPr>
      <w:r>
        <w:rPr>
          <w:rFonts w:ascii="Arial" w:cs="Arial" w:eastAsia="Arial" w:hAnsi="Arial"/>
          <w:sz w:val="19"/>
          <w:szCs w:val="19"/>
          <w:color w:val="auto"/>
        </w:rPr>
        <w:t>Company's common stock (the “</w:t>
      </w:r>
      <w:r>
        <w:rPr>
          <w:rFonts w:ascii="Arial" w:cs="Arial" w:eastAsia="Arial" w:hAnsi="Arial"/>
          <w:sz w:val="19"/>
          <w:szCs w:val="19"/>
          <w:u w:val="single" w:color="auto"/>
          <w:color w:val="auto"/>
        </w:rPr>
        <w:t>Shares</w:t>
      </w:r>
      <w:r>
        <w:rPr>
          <w:rFonts w:ascii="Arial" w:cs="Arial" w:eastAsia="Arial" w:hAnsi="Arial"/>
          <w:sz w:val="19"/>
          <w:szCs w:val="19"/>
          <w:color w:val="auto"/>
        </w:rPr>
        <w:t>”) at a per-Share exercise price equal to the grant date fair market value of one Share (the “</w:t>
      </w:r>
      <w:r>
        <w:rPr>
          <w:rFonts w:ascii="Arial" w:cs="Arial" w:eastAsia="Arial" w:hAnsi="Arial"/>
          <w:sz w:val="19"/>
          <w:szCs w:val="19"/>
          <w:u w:val="single" w:color="auto"/>
          <w:color w:val="auto"/>
        </w:rPr>
        <w:t>Initial Option Award</w:t>
      </w:r>
      <w:r>
        <w:rPr>
          <w:rFonts w:ascii="Arial" w:cs="Arial" w:eastAsia="Arial" w:hAnsi="Arial"/>
          <w:sz w:val="19"/>
          <w:szCs w:val="19"/>
          <w:color w:val="auto"/>
        </w:rPr>
        <w:t>”), subject to all of the terms and conditions of the Company’s incentive equity plan and/or inducement plan, as applicable, an individual award agreement, and any ancillary agreements with the Company that the Executive may be required to enter into as a condition of such grant (collectively, the “</w:t>
      </w:r>
      <w:r>
        <w:rPr>
          <w:rFonts w:ascii="Arial" w:cs="Arial" w:eastAsia="Arial" w:hAnsi="Arial"/>
          <w:sz w:val="19"/>
          <w:szCs w:val="19"/>
          <w:u w:val="single" w:color="auto"/>
          <w:color w:val="auto"/>
        </w:rPr>
        <w:t>Equity Documents</w:t>
      </w:r>
      <w:r>
        <w:rPr>
          <w:rFonts w:ascii="Arial" w:cs="Arial" w:eastAsia="Arial" w:hAnsi="Arial"/>
          <w:sz w:val="19"/>
          <w:szCs w:val="19"/>
          <w:color w:val="auto"/>
        </w:rPr>
        <w:t>”), which will provide, among other things, that the Initial Option Award will vest and become exercisable over 4 years as follows: (i) as to 25% of the Shares underlying the Initial Option Award on the first anniversary of the Start Date and (ii) as to an additional 6.25% of the Shares underlying the Initial Option Award on the last day of each of the next 12 successive calendar quarters, provided in each case that the Executive remains employed by the Company and in compliance with the Equity Documents through each such vesting date. In the event of any conflict between any terms of this Agreement and any terms of the Equity Documents, the terms of the Equity Documents will prevail.</w:t>
      </w:r>
    </w:p>
    <w:p>
      <w:pPr>
        <w:spacing w:after="0" w:line="201" w:lineRule="exact"/>
        <w:rPr>
          <w:sz w:val="20"/>
          <w:szCs w:val="20"/>
          <w:color w:val="auto"/>
        </w:rPr>
      </w:pPr>
    </w:p>
    <w:p>
      <w:pPr>
        <w:jc w:val="both"/>
        <w:ind w:right="120" w:firstLine="749"/>
        <w:spacing w:after="0" w:line="244" w:lineRule="auto"/>
        <w:rPr>
          <w:sz w:val="20"/>
          <w:szCs w:val="20"/>
          <w:color w:val="auto"/>
        </w:rPr>
      </w:pPr>
      <w:r>
        <w:rPr>
          <w:rFonts w:ascii="Arial" w:cs="Arial" w:eastAsia="Arial" w:hAnsi="Arial"/>
          <w:sz w:val="22"/>
          <w:szCs w:val="22"/>
          <w:color w:val="auto"/>
        </w:rPr>
        <w:t>(d)</w:t>
      </w:r>
      <w:r>
        <w:rPr>
          <w:rFonts w:ascii="Arial" w:cs="Arial" w:eastAsia="Arial" w:hAnsi="Arial"/>
          <w:sz w:val="22"/>
          <w:szCs w:val="22"/>
          <w:i w:val="1"/>
          <w:iCs w:val="1"/>
          <w:color w:val="auto"/>
        </w:rPr>
        <w:t>Performance Based Equity Award</w:t>
      </w:r>
      <w:r>
        <w:rPr>
          <w:rFonts w:ascii="Arial" w:cs="Arial" w:eastAsia="Arial" w:hAnsi="Arial"/>
          <w:sz w:val="22"/>
          <w:szCs w:val="22"/>
          <w:color w:val="auto"/>
        </w:rPr>
        <w:t xml:space="preserve">. The Executive will be eligible to receive an additional 61,822 shares </w:t>
      </w:r>
      <w:r>
        <w:rPr>
          <w:rFonts w:ascii="Arial" w:cs="Arial" w:eastAsia="Arial" w:hAnsi="Arial"/>
          <w:sz w:val="19"/>
          <w:szCs w:val="19"/>
          <w:color w:val="auto"/>
        </w:rPr>
        <w:t>which shall</w:t>
      </w:r>
      <w:r>
        <w:rPr>
          <w:rFonts w:ascii="Arial" w:cs="Arial" w:eastAsia="Arial" w:hAnsi="Arial"/>
          <w:sz w:val="22"/>
          <w:szCs w:val="22"/>
          <w:color w:val="auto"/>
        </w:rPr>
        <w:t xml:space="preserve"> </w:t>
      </w:r>
      <w:r>
        <w:rPr>
          <w:rFonts w:ascii="Arial" w:cs="Arial" w:eastAsia="Arial" w:hAnsi="Arial"/>
          <w:sz w:val="19"/>
          <w:szCs w:val="19"/>
          <w:color w:val="auto"/>
        </w:rPr>
        <w:t>be subject to performance objectives and if achieved, this grant shall fully vest six months after the Employment Start Date. Failure to achieve all performance objectives within six months of the Employment Start Date shall mean that the Performance Based Equity Award shall be forfeited in its entirety.</w:t>
      </w:r>
    </w:p>
    <w:p>
      <w:pPr>
        <w:spacing w:after="0" w:line="216" w:lineRule="exact"/>
        <w:rPr>
          <w:sz w:val="20"/>
          <w:szCs w:val="20"/>
          <w:color w:val="auto"/>
        </w:rPr>
      </w:pPr>
    </w:p>
    <w:p>
      <w:pPr>
        <w:jc w:val="both"/>
        <w:ind w:right="120" w:firstLine="749"/>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i w:val="1"/>
          <w:iCs w:val="1"/>
          <w:color w:val="auto"/>
        </w:rPr>
        <w:t>Additional Discretionary Equity Awards</w:t>
      </w:r>
      <w:r>
        <w:rPr>
          <w:rFonts w:ascii="Arial" w:cs="Arial" w:eastAsia="Arial" w:hAnsi="Arial"/>
          <w:sz w:val="22"/>
          <w:szCs w:val="22"/>
          <w:color w:val="auto"/>
        </w:rPr>
        <w:t>. During the Term of Employment, the Executive will be eligible to receive additional incentive equity awards, if any, at such times and on such terms and conditions as the Board shall, in its sole discretion, determine.</w:t>
      </w:r>
    </w:p>
    <w:p>
      <w:pPr>
        <w:spacing w:after="0" w:line="227" w:lineRule="exact"/>
        <w:rPr>
          <w:sz w:val="20"/>
          <w:szCs w:val="20"/>
          <w:color w:val="auto"/>
        </w:rPr>
      </w:pPr>
    </w:p>
    <w:p>
      <w:pPr>
        <w:jc w:val="both"/>
        <w:ind w:right="120" w:firstLine="749"/>
        <w:spacing w:after="0" w:line="250" w:lineRule="auto"/>
        <w:rPr>
          <w:sz w:val="20"/>
          <w:szCs w:val="20"/>
          <w:color w:val="auto"/>
        </w:rPr>
      </w:pPr>
      <w:r>
        <w:rPr>
          <w:rFonts w:ascii="Arial" w:cs="Arial" w:eastAsia="Arial" w:hAnsi="Arial"/>
          <w:sz w:val="22"/>
          <w:szCs w:val="22"/>
          <w:color w:val="auto"/>
        </w:rPr>
        <w:t>(f)</w:t>
      </w:r>
      <w:r>
        <w:rPr>
          <w:rFonts w:ascii="Arial" w:cs="Arial" w:eastAsia="Arial" w:hAnsi="Arial"/>
          <w:sz w:val="22"/>
          <w:szCs w:val="22"/>
          <w:i w:val="1"/>
          <w:iCs w:val="1"/>
          <w:color w:val="auto"/>
        </w:rPr>
        <w:t>Paid Time Off</w:t>
      </w:r>
      <w:r>
        <w:rPr>
          <w:rFonts w:ascii="Arial" w:cs="Arial" w:eastAsia="Arial" w:hAnsi="Arial"/>
          <w:sz w:val="22"/>
          <w:szCs w:val="22"/>
          <w:color w:val="auto"/>
        </w:rPr>
        <w:t>. During the Term of Employment, the Executive shall be entitled to paid time off, vacation time plus sick time, consistent with the Company’s policies.</w:t>
      </w:r>
    </w:p>
    <w:p>
      <w:pPr>
        <w:spacing w:after="0" w:line="202" w:lineRule="exact"/>
        <w:rPr>
          <w:sz w:val="20"/>
          <w:szCs w:val="20"/>
          <w:color w:val="auto"/>
        </w:rPr>
      </w:pPr>
    </w:p>
    <w:p>
      <w:pPr>
        <w:jc w:val="both"/>
        <w:ind w:right="120" w:firstLine="749"/>
        <w:spacing w:after="0" w:line="238" w:lineRule="auto"/>
        <w:rPr>
          <w:sz w:val="20"/>
          <w:szCs w:val="20"/>
          <w:color w:val="auto"/>
        </w:rPr>
      </w:pPr>
      <w:r>
        <w:rPr>
          <w:rFonts w:ascii="Arial" w:cs="Arial" w:eastAsia="Arial" w:hAnsi="Arial"/>
          <w:sz w:val="22"/>
          <w:szCs w:val="22"/>
          <w:color w:val="auto"/>
        </w:rPr>
        <w:t>(g)</w:t>
      </w:r>
      <w:r>
        <w:rPr>
          <w:rFonts w:ascii="Arial" w:cs="Arial" w:eastAsia="Arial" w:hAnsi="Arial"/>
          <w:sz w:val="22"/>
          <w:szCs w:val="22"/>
          <w:i w:val="1"/>
          <w:iCs w:val="1"/>
          <w:color w:val="auto"/>
        </w:rPr>
        <w:t>Business Expenses</w:t>
      </w:r>
      <w:r>
        <w:rPr>
          <w:rFonts w:ascii="Arial" w:cs="Arial" w:eastAsia="Arial" w:hAnsi="Arial"/>
          <w:sz w:val="22"/>
          <w:szCs w:val="22"/>
          <w:color w:val="auto"/>
        </w:rPr>
        <w:t>. Upon presentation of such substantiation and documentation as the Company may specify from time to time, the Executive will be reimbursed in accordance with the Company’s expense reimbursement policy as in effect from time to time for all eligible out-of- pocket business expenses incurred and paid by the Executive during the Term of Employment.</w:t>
      </w:r>
    </w:p>
    <w:p>
      <w:pPr>
        <w:spacing w:after="0" w:line="225" w:lineRule="exact"/>
        <w:rPr>
          <w:sz w:val="20"/>
          <w:szCs w:val="20"/>
          <w:color w:val="auto"/>
        </w:rPr>
      </w:pPr>
    </w:p>
    <w:p>
      <w:pPr>
        <w:jc w:val="both"/>
        <w:ind w:right="120" w:firstLine="749"/>
        <w:spacing w:after="0" w:line="238" w:lineRule="auto"/>
        <w:rPr>
          <w:sz w:val="20"/>
          <w:szCs w:val="20"/>
          <w:color w:val="auto"/>
        </w:rPr>
      </w:pPr>
      <w:r>
        <w:rPr>
          <w:rFonts w:ascii="Arial" w:cs="Arial" w:eastAsia="Arial" w:hAnsi="Arial"/>
          <w:sz w:val="22"/>
          <w:szCs w:val="22"/>
          <w:color w:val="auto"/>
        </w:rPr>
        <w:t>(h)</w:t>
      </w:r>
      <w:r>
        <w:rPr>
          <w:rFonts w:ascii="Arial" w:cs="Arial" w:eastAsia="Arial" w:hAnsi="Arial"/>
          <w:sz w:val="22"/>
          <w:szCs w:val="22"/>
          <w:i w:val="1"/>
          <w:iCs w:val="1"/>
          <w:color w:val="auto"/>
        </w:rPr>
        <w:t>Employee Benefits</w:t>
      </w:r>
      <w:r>
        <w:rPr>
          <w:rFonts w:ascii="Arial" w:cs="Arial" w:eastAsia="Arial" w:hAnsi="Arial"/>
          <w:sz w:val="22"/>
          <w:szCs w:val="22"/>
          <w:color w:val="auto"/>
        </w:rPr>
        <w:t>. During the Term of Employment, the Executive will be eligible to participate in any employee benefit plan maintained by the Company for the benefit of its employees generally, subject to all of the terms and conditions (including eligibility requirements) of such plan. Notwithstanding the foregoing, the Company may modify or terminate any employee benefit plan at any time, in its sole and absolute discretion.</w:t>
      </w:r>
    </w:p>
    <w:p>
      <w:pPr>
        <w:spacing w:after="0" w:line="225" w:lineRule="exact"/>
        <w:rPr>
          <w:sz w:val="20"/>
          <w:szCs w:val="20"/>
          <w:color w:val="auto"/>
        </w:rPr>
      </w:pPr>
    </w:p>
    <w:p>
      <w:pPr>
        <w:jc w:val="both"/>
        <w:ind w:right="120" w:firstLine="749"/>
        <w:spacing w:after="0" w:line="252" w:lineRule="auto"/>
        <w:rPr>
          <w:sz w:val="20"/>
          <w:szCs w:val="20"/>
          <w:color w:val="auto"/>
        </w:rPr>
      </w:pPr>
      <w:r>
        <w:rPr>
          <w:rFonts w:ascii="Arial" w:cs="Arial" w:eastAsia="Arial" w:hAnsi="Arial"/>
          <w:sz w:val="22"/>
          <w:szCs w:val="22"/>
          <w:color w:val="auto"/>
        </w:rPr>
        <w:t>(i)</w:t>
      </w:r>
      <w:r>
        <w:rPr>
          <w:rFonts w:ascii="Arial" w:cs="Arial" w:eastAsia="Arial" w:hAnsi="Arial"/>
          <w:sz w:val="20"/>
          <w:szCs w:val="20"/>
          <w:i w:val="1"/>
          <w:iCs w:val="1"/>
          <w:color w:val="auto"/>
        </w:rPr>
        <w:t>Housing and Travel Allowance</w:t>
      </w:r>
      <w:r>
        <w:rPr>
          <w:rFonts w:ascii="Arial" w:cs="Arial" w:eastAsia="Arial" w:hAnsi="Arial"/>
          <w:sz w:val="20"/>
          <w:szCs w:val="20"/>
          <w:color w:val="auto"/>
        </w:rPr>
        <w:t>. The Company will provide the Executive with an additional cash allowance of up to</w:t>
      </w:r>
      <w:r>
        <w:rPr>
          <w:rFonts w:ascii="Arial" w:cs="Arial" w:eastAsia="Arial" w:hAnsi="Arial"/>
          <w:sz w:val="22"/>
          <w:szCs w:val="22"/>
          <w:color w:val="auto"/>
        </w:rPr>
        <w:t xml:space="preserve"> </w:t>
      </w:r>
      <w:r>
        <w:rPr>
          <w:rFonts w:ascii="Arial" w:cs="Arial" w:eastAsia="Arial" w:hAnsi="Arial"/>
          <w:sz w:val="20"/>
          <w:szCs w:val="20"/>
          <w:color w:val="auto"/>
        </w:rPr>
        <w:t>$75,000 annually (pro-rated for any partial calendar year) to be applied by the Executive solely towards the rental cost of a personal apartment in the Greater Boston metropolitan region and to transportation expenses for Executive’s regular commuting trips to the Company’s offices in Cambridge, Massachusetts, in each case solely to the extent such costs or expenses are incurred during the Term of Employment (the “Housing and Travel Allowance”), which will be paid to the Executive on a monthly basis in arrears, subject to presentation by the Executive of such substantiation and documentation as the Company may specify from time to time.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182880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29" w:name="page130"/>
    <w:bookmarkEnd w:id="129"/>
    <w:p>
      <w:pPr>
        <w:ind w:left="10160"/>
        <w:spacing w:after="0"/>
        <w:rPr>
          <w:sz w:val="20"/>
          <w:szCs w:val="20"/>
          <w:color w:val="auto"/>
        </w:rPr>
      </w:pPr>
      <w:r>
        <w:rPr>
          <w:rFonts w:ascii="Arial" w:cs="Arial" w:eastAsia="Arial" w:hAnsi="Arial"/>
          <w:sz w:val="16"/>
          <w:szCs w:val="16"/>
          <w:b w:val="1"/>
          <w:bCs w:val="1"/>
          <w:color w:val="auto"/>
        </w:rPr>
        <w:t>Exhibit 10.2</w:t>
      </w:r>
    </w:p>
    <w:p>
      <w:pPr>
        <w:spacing w:after="0" w:line="172" w:lineRule="exact"/>
        <w:rPr>
          <w:sz w:val="20"/>
          <w:szCs w:val="20"/>
          <w:color w:val="auto"/>
        </w:rPr>
      </w:pPr>
    </w:p>
    <w:p>
      <w:pPr>
        <w:jc w:val="both"/>
        <w:ind w:right="120"/>
        <w:spacing w:after="0" w:line="244" w:lineRule="auto"/>
        <w:rPr>
          <w:sz w:val="20"/>
          <w:szCs w:val="20"/>
          <w:color w:val="auto"/>
        </w:rPr>
      </w:pPr>
      <w:r>
        <w:rPr>
          <w:rFonts w:ascii="Arial" w:cs="Arial" w:eastAsia="Arial" w:hAnsi="Arial"/>
          <w:sz w:val="21"/>
          <w:szCs w:val="21"/>
          <w:color w:val="auto"/>
        </w:rPr>
        <w:t>that such Housing and Travel Allowance will constitute taxable income to the Executive for a given calendar year, the Company will also provide the Executive with an additional cash gross-up amount (the “Housing Gross-Up Payment”) equal to the estimated amount of such taxable income (estimated at the highest federal and state tax rates applicable to a person living in the Commonwealth of Massachusetts), which will be paid to the Executive on or before December 31 of such year, regardless of whether Executive is employed through such payment date (but provided that Executive was employed by the Company for at least one day during such year). Annually the President and Chief Executive Officer will review and determine in its sole discretion after good faith consultation with the Executive appropriate adjustments, if any, to the amount of the Housing and Travel Allowance for each subsequent year.</w:t>
      </w:r>
    </w:p>
    <w:p>
      <w:pPr>
        <w:spacing w:after="0" w:line="228" w:lineRule="exact"/>
        <w:rPr>
          <w:sz w:val="20"/>
          <w:szCs w:val="20"/>
          <w:color w:val="auto"/>
        </w:rPr>
      </w:pPr>
    </w:p>
    <w:p>
      <w:pPr>
        <w:jc w:val="both"/>
        <w:ind w:right="120" w:firstLine="749"/>
        <w:spacing w:after="0" w:line="257" w:lineRule="auto"/>
        <w:rPr>
          <w:sz w:val="20"/>
          <w:szCs w:val="20"/>
          <w:color w:val="auto"/>
        </w:rPr>
      </w:pPr>
      <w:r>
        <w:rPr>
          <w:rFonts w:ascii="Arial" w:cs="Arial" w:eastAsia="Arial" w:hAnsi="Arial"/>
          <w:sz w:val="21"/>
          <w:szCs w:val="21"/>
          <w:color w:val="auto"/>
        </w:rPr>
        <w:t>5.</w:t>
      </w:r>
      <w:r>
        <w:rPr>
          <w:rFonts w:ascii="Arial" w:cs="Arial" w:eastAsia="Arial" w:hAnsi="Arial"/>
          <w:sz w:val="21"/>
          <w:szCs w:val="21"/>
          <w:i w:val="1"/>
          <w:iCs w:val="1"/>
          <w:color w:val="auto"/>
        </w:rPr>
        <w:t>Restrictive Covenants Agreement</w:t>
      </w:r>
      <w:r>
        <w:rPr>
          <w:rFonts w:ascii="Arial" w:cs="Arial" w:eastAsia="Arial" w:hAnsi="Arial"/>
          <w:sz w:val="21"/>
          <w:szCs w:val="21"/>
          <w:color w:val="auto"/>
        </w:rPr>
        <w:t xml:space="preserve">. The Executive hereby acknowledges that in connection with entering into this Agreement, the Executive shall be required to enter into, and agrees to strictly abide by, an Employee Confidentiality and Assignment Agreement with the Company in the form attached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ECAA</w:t>
      </w:r>
      <w:r>
        <w:rPr>
          <w:rFonts w:ascii="Arial" w:cs="Arial" w:eastAsia="Arial" w:hAnsi="Arial"/>
          <w:sz w:val="21"/>
          <w:szCs w:val="21"/>
          <w:color w:val="auto"/>
        </w:rPr>
        <w:t>”).</w:t>
      </w:r>
    </w:p>
    <w:p>
      <w:pPr>
        <w:spacing w:after="0" w:line="196" w:lineRule="exact"/>
        <w:rPr>
          <w:sz w:val="20"/>
          <w:szCs w:val="20"/>
          <w:color w:val="auto"/>
        </w:rPr>
      </w:pPr>
    </w:p>
    <w:p>
      <w:pPr>
        <w:jc w:val="both"/>
        <w:ind w:right="120" w:firstLine="749"/>
        <w:spacing w:after="0" w:line="250" w:lineRule="auto"/>
        <w:rPr>
          <w:sz w:val="20"/>
          <w:szCs w:val="20"/>
          <w:color w:val="auto"/>
        </w:rPr>
      </w:pPr>
      <w:r>
        <w:rPr>
          <w:rFonts w:ascii="Arial" w:cs="Arial" w:eastAsia="Arial" w:hAnsi="Arial"/>
          <w:sz w:val="22"/>
          <w:szCs w:val="22"/>
          <w:color w:val="auto"/>
        </w:rPr>
        <w:t>6.</w:t>
      </w:r>
      <w:r>
        <w:rPr>
          <w:rFonts w:ascii="Arial" w:cs="Arial" w:eastAsia="Arial" w:hAnsi="Arial"/>
          <w:sz w:val="22"/>
          <w:szCs w:val="22"/>
          <w:i w:val="1"/>
          <w:iCs w:val="1"/>
          <w:color w:val="auto"/>
        </w:rPr>
        <w:t>Employment Termination</w:t>
      </w:r>
      <w:r>
        <w:rPr>
          <w:rFonts w:ascii="Arial" w:cs="Arial" w:eastAsia="Arial" w:hAnsi="Arial"/>
          <w:sz w:val="22"/>
          <w:szCs w:val="22"/>
          <w:color w:val="auto"/>
        </w:rPr>
        <w:t>. This Agreement, the Term of Employment, and the employment of the Executive shall terminate upon the occurrence of any of the following:</w:t>
      </w:r>
    </w:p>
    <w:p>
      <w:pPr>
        <w:spacing w:after="0" w:line="215" w:lineRule="exact"/>
        <w:rPr>
          <w:sz w:val="20"/>
          <w:szCs w:val="20"/>
          <w:color w:val="auto"/>
        </w:rPr>
      </w:pPr>
    </w:p>
    <w:p>
      <w:pPr>
        <w:jc w:val="both"/>
        <w:ind w:right="120" w:firstLine="749"/>
        <w:spacing w:after="0" w:line="277" w:lineRule="auto"/>
        <w:rPr>
          <w:sz w:val="20"/>
          <w:szCs w:val="20"/>
          <w:color w:val="auto"/>
        </w:rPr>
      </w:pPr>
      <w:r>
        <w:rPr>
          <w:rFonts w:ascii="Arial" w:cs="Arial" w:eastAsia="Arial" w:hAnsi="Arial"/>
          <w:sz w:val="19"/>
          <w:szCs w:val="19"/>
          <w:color w:val="auto"/>
        </w:rPr>
        <w:t>(a)Automatically and immediately upon the death or “Disability” of the Executive. As used in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 The Executive will cooperate in all respects with the Company if a question arises as to whether the Executive has become Disabled (including, without limitation, submitting to reasonable examinations by one or more medical doctors and other health care specialists selected by the Company).</w:t>
      </w:r>
    </w:p>
    <w:p>
      <w:pPr>
        <w:spacing w:after="0" w:line="192" w:lineRule="exact"/>
        <w:rPr>
          <w:sz w:val="20"/>
          <w:szCs w:val="20"/>
          <w:color w:val="auto"/>
        </w:rPr>
      </w:pPr>
    </w:p>
    <w:p>
      <w:pPr>
        <w:jc w:val="both"/>
        <w:ind w:right="120" w:firstLine="749"/>
        <w:spacing w:after="0" w:line="250" w:lineRule="auto"/>
        <w:rPr>
          <w:sz w:val="20"/>
          <w:szCs w:val="20"/>
          <w:color w:val="auto"/>
        </w:rPr>
      </w:pPr>
      <w:r>
        <w:rPr>
          <w:rFonts w:ascii="Arial" w:cs="Arial" w:eastAsia="Arial" w:hAnsi="Arial"/>
          <w:sz w:val="22"/>
          <w:szCs w:val="22"/>
          <w:color w:val="auto"/>
        </w:rPr>
        <w:t>(b)At the election of the Company, with or without “Cause” (as defined below), immediately upon written notice by the Company to the Executive. As used in this Agreement, “</w:t>
      </w:r>
      <w:r>
        <w:rPr>
          <w:rFonts w:ascii="Arial" w:cs="Arial" w:eastAsia="Arial" w:hAnsi="Arial"/>
          <w:sz w:val="22"/>
          <w:szCs w:val="22"/>
          <w:u w:val="single" w:color="auto"/>
          <w:color w:val="auto"/>
        </w:rPr>
        <w:t>Cause</w:t>
      </w:r>
      <w:r>
        <w:rPr>
          <w:rFonts w:ascii="Arial" w:cs="Arial" w:eastAsia="Arial" w:hAnsi="Arial"/>
          <w:sz w:val="22"/>
          <w:szCs w:val="22"/>
          <w:color w:val="auto"/>
        </w:rPr>
        <w:t>” shall mean:</w:t>
      </w:r>
    </w:p>
    <w:p>
      <w:pPr>
        <w:spacing w:after="0" w:line="202" w:lineRule="exact"/>
        <w:rPr>
          <w:sz w:val="20"/>
          <w:szCs w:val="20"/>
          <w:color w:val="auto"/>
        </w:rPr>
      </w:pPr>
    </w:p>
    <w:p>
      <w:pPr>
        <w:jc w:val="both"/>
        <w:ind w:left="1480" w:right="120" w:hanging="734"/>
        <w:spacing w:after="0" w:line="238" w:lineRule="auto"/>
        <w:tabs>
          <w:tab w:leader="none" w:pos="14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Executive’s dishonest statements or acts with respect to the Company or any affiliate of the Company (each, a “</w:t>
      </w:r>
      <w:r>
        <w:rPr>
          <w:rFonts w:ascii="Arial" w:cs="Arial" w:eastAsia="Arial" w:hAnsi="Arial"/>
          <w:sz w:val="22"/>
          <w:szCs w:val="22"/>
          <w:u w:val="single" w:color="auto"/>
          <w:color w:val="auto"/>
        </w:rPr>
        <w:t>Group Company</w:t>
      </w:r>
      <w:r>
        <w:rPr>
          <w:rFonts w:ascii="Arial" w:cs="Arial" w:eastAsia="Arial" w:hAnsi="Arial"/>
          <w:sz w:val="22"/>
          <w:szCs w:val="22"/>
          <w:color w:val="auto"/>
        </w:rPr>
        <w:t>”), or any current or prospective customers, suppliers, vendors or other third parties with which such entity does business that results in or, in the good faith judgement of the Board, is anticipated to result in, material harm to any Group Company;</w:t>
      </w:r>
    </w:p>
    <w:p>
      <w:pPr>
        <w:spacing w:after="0" w:line="225" w:lineRule="exact"/>
        <w:rPr>
          <w:rFonts w:ascii="Arial" w:cs="Arial" w:eastAsia="Arial" w:hAnsi="Arial"/>
          <w:sz w:val="22"/>
          <w:szCs w:val="22"/>
          <w:color w:val="auto"/>
        </w:rPr>
      </w:pPr>
    </w:p>
    <w:p>
      <w:pPr>
        <w:jc w:val="both"/>
        <w:ind w:left="1480" w:right="120" w:hanging="734"/>
        <w:spacing w:after="0" w:line="297" w:lineRule="auto"/>
        <w:tabs>
          <w:tab w:leader="none" w:pos="14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Executive’s conviction of (including any plea of guilty or nolo contendere to), or indictment for, (A) a felony or (B) any misdemeanor involving moral turpitude, deceit, dishonesty or fraud, or that materially and permanently impairs the Executive’s ability to perform the Executive’s duties with any Group Company;</w:t>
      </w:r>
    </w:p>
    <w:p>
      <w:pPr>
        <w:spacing w:after="0" w:line="160" w:lineRule="exact"/>
        <w:rPr>
          <w:rFonts w:ascii="Arial" w:cs="Arial" w:eastAsia="Arial" w:hAnsi="Arial"/>
          <w:sz w:val="19"/>
          <w:szCs w:val="19"/>
          <w:color w:val="auto"/>
        </w:rPr>
      </w:pPr>
    </w:p>
    <w:p>
      <w:pPr>
        <w:ind w:left="1480" w:right="120" w:hanging="734"/>
        <w:spacing w:after="0" w:line="250" w:lineRule="auto"/>
        <w:tabs>
          <w:tab w:leader="none" w:pos="14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Executive’s gross negligence, willful misconduct or insubordination with respect to any Group Company that results in or, in the good faith judgement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180340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30" w:name="page131"/>
    <w:bookmarkEnd w:id="130"/>
    <w:p>
      <w:pPr>
        <w:ind w:left="9414"/>
        <w:spacing w:after="0"/>
        <w:rPr>
          <w:sz w:val="20"/>
          <w:szCs w:val="20"/>
          <w:color w:val="auto"/>
        </w:rPr>
      </w:pPr>
      <w:r>
        <w:rPr>
          <w:rFonts w:ascii="Arial" w:cs="Arial" w:eastAsia="Arial" w:hAnsi="Arial"/>
          <w:sz w:val="16"/>
          <w:szCs w:val="16"/>
          <w:b w:val="1"/>
          <w:bCs w:val="1"/>
          <w:color w:val="auto"/>
        </w:rPr>
        <w:t>Exhibit 10.2</w:t>
      </w:r>
    </w:p>
    <w:p>
      <w:pPr>
        <w:spacing w:after="0" w:line="164" w:lineRule="exact"/>
        <w:rPr>
          <w:sz w:val="20"/>
          <w:szCs w:val="20"/>
          <w:color w:val="auto"/>
        </w:rPr>
      </w:pPr>
    </w:p>
    <w:p>
      <w:pPr>
        <w:jc w:val="both"/>
        <w:ind w:left="754" w:right="120"/>
        <w:spacing w:after="0" w:line="252" w:lineRule="auto"/>
        <w:rPr>
          <w:sz w:val="20"/>
          <w:szCs w:val="20"/>
          <w:color w:val="auto"/>
        </w:rPr>
      </w:pPr>
      <w:r>
        <w:rPr>
          <w:rFonts w:ascii="Arial" w:cs="Arial" w:eastAsia="Arial" w:hAnsi="Arial"/>
          <w:sz w:val="21"/>
          <w:szCs w:val="21"/>
          <w:color w:val="auto"/>
        </w:rPr>
        <w:t>is anticipated to result in, material harm to any Group Company, provided, however, that the Executive shall have a period of not less than ten (10) days to cure any curable act or omission (as determined by the Board in its good faith discretion) constituting Cause described in this Section 6(b)(iii) following the Board’s delivery to the Executive of written notice of such act or omission;</w:t>
      </w:r>
    </w:p>
    <w:p>
      <w:pPr>
        <w:spacing w:after="0" w:line="201" w:lineRule="exact"/>
        <w:rPr>
          <w:sz w:val="20"/>
          <w:szCs w:val="20"/>
          <w:color w:val="auto"/>
        </w:rPr>
      </w:pPr>
    </w:p>
    <w:p>
      <w:pPr>
        <w:ind w:left="734" w:right="140" w:hanging="734"/>
        <w:spacing w:after="0" w:line="250" w:lineRule="auto"/>
        <w:tabs>
          <w:tab w:leader="none" w:pos="734" w:val="left"/>
        </w:tabs>
        <w:numPr>
          <w:ilvl w:val="0"/>
          <w:numId w:val="66"/>
        </w:numPr>
        <w:rPr>
          <w:rFonts w:ascii="Arial" w:cs="Arial" w:eastAsia="Arial" w:hAnsi="Arial"/>
          <w:sz w:val="22"/>
          <w:szCs w:val="22"/>
          <w:color w:val="auto"/>
        </w:rPr>
      </w:pPr>
      <w:r>
        <w:rPr>
          <w:rFonts w:ascii="Arial" w:cs="Arial" w:eastAsia="Arial" w:hAnsi="Arial"/>
          <w:sz w:val="22"/>
          <w:szCs w:val="22"/>
          <w:color w:val="auto"/>
        </w:rPr>
        <w:t>Executive’s theft, fraud, embezzlement, breach of fiduciary duty or material falsification of any documents or records of any Group Company;</w:t>
      </w:r>
    </w:p>
    <w:p>
      <w:pPr>
        <w:spacing w:after="0" w:line="215" w:lineRule="exact"/>
        <w:rPr>
          <w:rFonts w:ascii="Arial" w:cs="Arial" w:eastAsia="Arial" w:hAnsi="Arial"/>
          <w:sz w:val="22"/>
          <w:szCs w:val="22"/>
          <w:color w:val="auto"/>
        </w:rPr>
      </w:pPr>
    </w:p>
    <w:p>
      <w:pPr>
        <w:ind w:left="734" w:right="120" w:hanging="734"/>
        <w:spacing w:after="0" w:line="250" w:lineRule="auto"/>
        <w:tabs>
          <w:tab w:leader="none" w:pos="734" w:val="left"/>
        </w:tabs>
        <w:numPr>
          <w:ilvl w:val="0"/>
          <w:numId w:val="66"/>
        </w:numPr>
        <w:rPr>
          <w:rFonts w:ascii="Arial" w:cs="Arial" w:eastAsia="Arial" w:hAnsi="Arial"/>
          <w:sz w:val="22"/>
          <w:szCs w:val="22"/>
          <w:color w:val="auto"/>
        </w:rPr>
      </w:pPr>
      <w:r>
        <w:rPr>
          <w:rFonts w:ascii="Arial" w:cs="Arial" w:eastAsia="Arial" w:hAnsi="Arial"/>
          <w:sz w:val="22"/>
          <w:szCs w:val="22"/>
          <w:color w:val="auto"/>
        </w:rPr>
        <w:t>Executive’s material failure to abide by any Group Company’s code of conduct or other policies (including policies relating to confidentiality and workplace conduct);</w:t>
      </w:r>
    </w:p>
    <w:p>
      <w:pPr>
        <w:spacing w:after="0" w:line="215" w:lineRule="exact"/>
        <w:rPr>
          <w:rFonts w:ascii="Arial" w:cs="Arial" w:eastAsia="Arial" w:hAnsi="Arial"/>
          <w:sz w:val="22"/>
          <w:szCs w:val="22"/>
          <w:color w:val="auto"/>
        </w:rPr>
      </w:pPr>
    </w:p>
    <w:p>
      <w:pPr>
        <w:ind w:left="734" w:right="120" w:hanging="734"/>
        <w:spacing w:after="0" w:line="250" w:lineRule="auto"/>
        <w:tabs>
          <w:tab w:leader="none" w:pos="734" w:val="left"/>
        </w:tabs>
        <w:numPr>
          <w:ilvl w:val="0"/>
          <w:numId w:val="66"/>
        </w:numPr>
        <w:rPr>
          <w:rFonts w:ascii="Arial" w:cs="Arial" w:eastAsia="Arial" w:hAnsi="Arial"/>
          <w:sz w:val="22"/>
          <w:szCs w:val="22"/>
          <w:color w:val="auto"/>
        </w:rPr>
      </w:pPr>
      <w:r>
        <w:rPr>
          <w:rFonts w:ascii="Arial" w:cs="Arial" w:eastAsia="Arial" w:hAnsi="Arial"/>
          <w:sz w:val="22"/>
          <w:szCs w:val="22"/>
          <w:color w:val="auto"/>
        </w:rPr>
        <w:t>Executive’s willful failure to perform the Executive’s duties hereunder after written notice from the Board of such failure;</w:t>
      </w:r>
    </w:p>
    <w:p>
      <w:pPr>
        <w:spacing w:after="0" w:line="201" w:lineRule="exact"/>
        <w:rPr>
          <w:rFonts w:ascii="Arial" w:cs="Arial" w:eastAsia="Arial" w:hAnsi="Arial"/>
          <w:sz w:val="22"/>
          <w:szCs w:val="22"/>
          <w:color w:val="auto"/>
        </w:rPr>
      </w:pPr>
    </w:p>
    <w:p>
      <w:pPr>
        <w:jc w:val="both"/>
        <w:ind w:left="734" w:right="120" w:hanging="734"/>
        <w:spacing w:after="0"/>
        <w:tabs>
          <w:tab w:leader="none" w:pos="734" w:val="left"/>
        </w:tabs>
        <w:numPr>
          <w:ilvl w:val="0"/>
          <w:numId w:val="66"/>
        </w:numPr>
        <w:rPr>
          <w:rFonts w:ascii="Arial" w:cs="Arial" w:eastAsia="Arial" w:hAnsi="Arial"/>
          <w:sz w:val="22"/>
          <w:szCs w:val="22"/>
          <w:color w:val="auto"/>
        </w:rPr>
      </w:pPr>
      <w:r>
        <w:rPr>
          <w:rFonts w:ascii="Arial" w:cs="Arial" w:eastAsia="Arial" w:hAnsi="Arial"/>
          <w:sz w:val="22"/>
          <w:szCs w:val="22"/>
          <w:color w:val="auto"/>
        </w:rPr>
        <w:t>Executive’s unauthorized use, misappropriation, destruction or diversion of any tangible or intangible asset or corporate opportunity of a Group Company (including the Executive’s improper use or disclosure of a Group Company’s confidential or proprietary information);</w:t>
      </w:r>
    </w:p>
    <w:p>
      <w:pPr>
        <w:spacing w:after="0" w:line="226" w:lineRule="exact"/>
        <w:rPr>
          <w:rFonts w:ascii="Arial" w:cs="Arial" w:eastAsia="Arial" w:hAnsi="Arial"/>
          <w:sz w:val="22"/>
          <w:szCs w:val="22"/>
          <w:color w:val="auto"/>
        </w:rPr>
      </w:pPr>
    </w:p>
    <w:p>
      <w:pPr>
        <w:ind w:left="734" w:right="120" w:hanging="734"/>
        <w:spacing w:after="0" w:line="250" w:lineRule="auto"/>
        <w:tabs>
          <w:tab w:leader="none" w:pos="734" w:val="left"/>
        </w:tabs>
        <w:numPr>
          <w:ilvl w:val="0"/>
          <w:numId w:val="66"/>
        </w:numPr>
        <w:rPr>
          <w:rFonts w:ascii="Arial" w:cs="Arial" w:eastAsia="Arial" w:hAnsi="Arial"/>
          <w:sz w:val="22"/>
          <w:szCs w:val="22"/>
          <w:color w:val="auto"/>
        </w:rPr>
      </w:pPr>
      <w:r>
        <w:rPr>
          <w:rFonts w:ascii="Arial" w:cs="Arial" w:eastAsia="Arial" w:hAnsi="Arial"/>
          <w:sz w:val="22"/>
          <w:szCs w:val="22"/>
          <w:color w:val="auto"/>
        </w:rPr>
        <w:t>Executive’s willful failure to cooperate with the Company and its legal counsel in connection with any investigation or other legal or similar proceeding involving any Group Company; or</w:t>
      </w:r>
    </w:p>
    <w:p>
      <w:pPr>
        <w:spacing w:after="0" w:line="215" w:lineRule="exact"/>
        <w:rPr>
          <w:rFonts w:ascii="Arial" w:cs="Arial" w:eastAsia="Arial" w:hAnsi="Arial"/>
          <w:sz w:val="22"/>
          <w:szCs w:val="22"/>
          <w:color w:val="auto"/>
        </w:rPr>
      </w:pPr>
    </w:p>
    <w:p>
      <w:pPr>
        <w:jc w:val="both"/>
        <w:ind w:left="734" w:right="120" w:hanging="734"/>
        <w:spacing w:after="0"/>
        <w:tabs>
          <w:tab w:leader="none" w:pos="734" w:val="left"/>
        </w:tabs>
        <w:numPr>
          <w:ilvl w:val="0"/>
          <w:numId w:val="66"/>
        </w:numPr>
        <w:rPr>
          <w:rFonts w:ascii="Arial" w:cs="Arial" w:eastAsia="Arial" w:hAnsi="Arial"/>
          <w:sz w:val="22"/>
          <w:szCs w:val="22"/>
          <w:color w:val="auto"/>
        </w:rPr>
      </w:pPr>
      <w:r>
        <w:rPr>
          <w:rFonts w:ascii="Arial" w:cs="Arial" w:eastAsia="Arial" w:hAnsi="Arial"/>
          <w:sz w:val="22"/>
          <w:szCs w:val="22"/>
          <w:color w:val="auto"/>
        </w:rPr>
        <w:t>Executive’s material violation of this Agreement or of any provision of any other agreement(s) between the Executive and the Company (including, without limitation, any provision relating to nonsolicitation, nondisclosure and/or assignment of inventions).</w:t>
      </w:r>
    </w:p>
    <w:p>
      <w:pPr>
        <w:spacing w:after="0" w:line="227" w:lineRule="exact"/>
        <w:rPr>
          <w:sz w:val="20"/>
          <w:szCs w:val="20"/>
          <w:color w:val="auto"/>
        </w:rPr>
      </w:pPr>
    </w:p>
    <w:p>
      <w:pPr>
        <w:jc w:val="both"/>
        <w:ind w:left="-746" w:right="120" w:firstLine="806"/>
        <w:spacing w:after="0" w:line="297" w:lineRule="auto"/>
        <w:tabs>
          <w:tab w:leader="none" w:pos="624" w:val="left"/>
        </w:tabs>
        <w:numPr>
          <w:ilvl w:val="1"/>
          <w:numId w:val="67"/>
        </w:numPr>
        <w:rPr>
          <w:rFonts w:ascii="Arial" w:cs="Arial" w:eastAsia="Arial" w:hAnsi="Arial"/>
          <w:sz w:val="19"/>
          <w:szCs w:val="19"/>
          <w:color w:val="auto"/>
        </w:rPr>
      </w:pPr>
      <w:r>
        <w:rPr>
          <w:rFonts w:ascii="Arial" w:cs="Arial" w:eastAsia="Arial" w:hAnsi="Arial"/>
          <w:sz w:val="19"/>
          <w:szCs w:val="19"/>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the Executive’s consent:</w:t>
      </w:r>
    </w:p>
    <w:p>
      <w:pPr>
        <w:spacing w:after="0" w:line="160" w:lineRule="exact"/>
        <w:rPr>
          <w:rFonts w:ascii="Arial" w:cs="Arial" w:eastAsia="Arial" w:hAnsi="Arial"/>
          <w:sz w:val="19"/>
          <w:szCs w:val="19"/>
          <w:color w:val="auto"/>
        </w:rPr>
      </w:pPr>
    </w:p>
    <w:p>
      <w:pPr>
        <w:jc w:val="both"/>
        <w:ind w:left="734" w:right="120" w:hanging="734"/>
        <w:spacing w:after="0"/>
        <w:tabs>
          <w:tab w:leader="none" w:pos="734" w:val="left"/>
        </w:tabs>
        <w:numPr>
          <w:ilvl w:val="0"/>
          <w:numId w:val="68"/>
        </w:numPr>
        <w:rPr>
          <w:rFonts w:ascii="Arial" w:cs="Arial" w:eastAsia="Arial" w:hAnsi="Arial"/>
          <w:sz w:val="22"/>
          <w:szCs w:val="22"/>
          <w:color w:val="auto"/>
        </w:rPr>
      </w:pPr>
      <w:r>
        <w:rPr>
          <w:rFonts w:ascii="Arial" w:cs="Arial" w:eastAsia="Arial" w:hAnsi="Arial"/>
          <w:sz w:val="22"/>
          <w:szCs w:val="22"/>
          <w:color w:val="auto"/>
        </w:rPr>
        <w:t>a material diminution of the Executive’s Base Salary, other than in connection with, and substantially proportionate to, reductions by the Company of the base compensation of all or substantially all senior executives of the Company;</w:t>
      </w:r>
    </w:p>
    <w:p>
      <w:pPr>
        <w:spacing w:after="0" w:line="226" w:lineRule="exact"/>
        <w:rPr>
          <w:rFonts w:ascii="Arial" w:cs="Arial" w:eastAsia="Arial" w:hAnsi="Arial"/>
          <w:sz w:val="22"/>
          <w:szCs w:val="22"/>
          <w:color w:val="auto"/>
        </w:rPr>
      </w:pPr>
    </w:p>
    <w:p>
      <w:pPr>
        <w:ind w:left="734" w:right="120" w:hanging="734"/>
        <w:spacing w:after="0" w:line="250" w:lineRule="auto"/>
        <w:tabs>
          <w:tab w:leader="none" w:pos="734" w:val="left"/>
        </w:tabs>
        <w:numPr>
          <w:ilvl w:val="0"/>
          <w:numId w:val="68"/>
        </w:numPr>
        <w:rPr>
          <w:rFonts w:ascii="Arial" w:cs="Arial" w:eastAsia="Arial" w:hAnsi="Arial"/>
          <w:sz w:val="22"/>
          <w:szCs w:val="22"/>
          <w:color w:val="auto"/>
        </w:rPr>
      </w:pPr>
      <w:r>
        <w:rPr>
          <w:rFonts w:ascii="Arial" w:cs="Arial" w:eastAsia="Arial" w:hAnsi="Arial"/>
          <w:sz w:val="22"/>
          <w:szCs w:val="22"/>
          <w:color w:val="auto"/>
        </w:rPr>
        <w:t>a material diminution in the Executive’s duties, authority or responsibilities (other than temporarily while physically or mentally incapacitated or as required by applicable law);</w:t>
      </w:r>
    </w:p>
    <w:p>
      <w:pPr>
        <w:spacing w:after="0" w:line="215" w:lineRule="exact"/>
        <w:rPr>
          <w:rFonts w:ascii="Arial" w:cs="Arial" w:eastAsia="Arial" w:hAnsi="Arial"/>
          <w:sz w:val="22"/>
          <w:szCs w:val="22"/>
          <w:color w:val="auto"/>
        </w:rPr>
      </w:pPr>
    </w:p>
    <w:p>
      <w:pPr>
        <w:ind w:left="734" w:right="120" w:hanging="734"/>
        <w:spacing w:after="0" w:line="328" w:lineRule="auto"/>
        <w:tabs>
          <w:tab w:leader="none" w:pos="734"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Company’s requiring Executive to relocate Executive’s primary office more than fifty (50) miles from the Executive’s then-current primary office, which increases the Executive’s one-way commute distance;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135890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34"/>
          </w:cols>
          <w:pgMar w:left="1226" w:top="12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10.2</w:t>
      </w:r>
    </w:p>
    <w:p>
      <w:pPr>
        <w:spacing w:after="0" w:line="24" w:lineRule="exact"/>
        <w:rPr>
          <w:sz w:val="20"/>
          <w:szCs w:val="20"/>
          <w:color w:val="auto"/>
        </w:rPr>
      </w:pPr>
    </w:p>
    <w:p>
      <w:pPr>
        <w:ind w:left="1487" w:right="120" w:hanging="734"/>
        <w:spacing w:after="0" w:line="236" w:lineRule="auto"/>
        <w:tabs>
          <w:tab w:leader="none" w:pos="1487"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material breach of this Agreement between the Company and the Executive by the Company not otherwise covered by this paragraph;</w:t>
      </w:r>
    </w:p>
    <w:p>
      <w:pPr>
        <w:spacing w:after="0" w:line="106" w:lineRule="exact"/>
        <w:rPr>
          <w:sz w:val="20"/>
          <w:szCs w:val="20"/>
          <w:color w:val="auto"/>
        </w:rPr>
      </w:pPr>
    </w:p>
    <w:p>
      <w:pPr>
        <w:jc w:val="both"/>
        <w:ind w:left="7" w:right="120" w:firstLine="747"/>
        <w:spacing w:after="0" w:line="238" w:lineRule="auto"/>
        <w:rPr>
          <w:sz w:val="20"/>
          <w:szCs w:val="20"/>
          <w:color w:val="auto"/>
        </w:rPr>
      </w:pPr>
      <w:r>
        <w:rPr>
          <w:rFonts w:ascii="Arial" w:cs="Arial" w:eastAsia="Arial" w:hAnsi="Arial"/>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212" w:lineRule="exact"/>
        <w:rPr>
          <w:sz w:val="20"/>
          <w:szCs w:val="20"/>
          <w:color w:val="auto"/>
        </w:rPr>
      </w:pPr>
    </w:p>
    <w:p>
      <w:pPr>
        <w:ind w:left="987" w:hanging="249"/>
        <w:spacing w:after="0"/>
        <w:tabs>
          <w:tab w:leader="none" w:pos="987"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w:t>
      </w:r>
    </w:p>
    <w:p>
      <w:pPr>
        <w:spacing w:after="0" w:line="247" w:lineRule="exact"/>
        <w:rPr>
          <w:sz w:val="20"/>
          <w:szCs w:val="20"/>
          <w:color w:val="auto"/>
        </w:rPr>
      </w:pPr>
    </w:p>
    <w:p>
      <w:pPr>
        <w:jc w:val="both"/>
        <w:ind w:left="7" w:right="120" w:firstLine="749"/>
        <w:spacing w:after="0" w:line="272" w:lineRule="auto"/>
        <w:rPr>
          <w:sz w:val="20"/>
          <w:szCs w:val="20"/>
          <w:color w:val="auto"/>
        </w:rPr>
      </w:pPr>
      <w:r>
        <w:rPr>
          <w:rFonts w:ascii="Arial" w:cs="Arial" w:eastAsia="Arial" w:hAnsi="Arial"/>
          <w:sz w:val="19"/>
          <w:szCs w:val="19"/>
          <w:color w:val="auto"/>
        </w:rPr>
        <w:t>(a)</w:t>
      </w:r>
      <w:r>
        <w:rPr>
          <w:rFonts w:ascii="Arial" w:cs="Arial" w:eastAsia="Arial" w:hAnsi="Arial"/>
          <w:sz w:val="19"/>
          <w:szCs w:val="19"/>
          <w:i w:val="1"/>
          <w:iCs w:val="1"/>
          <w:color w:val="auto"/>
        </w:rPr>
        <w:t>All Terminations Other Than by the Company Without Cause or by the Executive With Good Reason</w:t>
      </w:r>
      <w:r>
        <w:rPr>
          <w:rFonts w:ascii="Arial" w:cs="Arial" w:eastAsia="Arial" w:hAnsi="Arial"/>
          <w:sz w:val="19"/>
          <w:szCs w:val="19"/>
          <w:color w:val="auto"/>
        </w:rPr>
        <w:t>. If the Executive’s employment is terminated under any circumstances other than a Qualifying Termination (as defined below) (including a voluntary termination by the Executive without Good Reason pursuant to Section 6(c), a termination by the Company for Cause pursuant to Section 6(b) or due to the Executive’s death or Disability pursuant to Section 6(a)), the Company’s obligations under this Agreement shall immediately cease and the Executive shall only be entitled to receive (i) the Base Salary that has accrued and to which the Executive is entitled as of the Termination Date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4(f) hereof, to be paid in accordance with the Company’s expense reimbursement policy,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(the payments described in this sentence,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w:t>
      </w:r>
    </w:p>
    <w:p>
      <w:pPr>
        <w:spacing w:after="0" w:line="156" w:lineRule="exact"/>
        <w:rPr>
          <w:sz w:val="20"/>
          <w:szCs w:val="20"/>
          <w:color w:val="auto"/>
        </w:rPr>
      </w:pPr>
    </w:p>
    <w:p>
      <w:pPr>
        <w:jc w:val="both"/>
        <w:ind w:left="7" w:right="120" w:firstLine="749"/>
        <w:spacing w:after="0" w:line="270" w:lineRule="auto"/>
        <w:rPr>
          <w:sz w:val="20"/>
          <w:szCs w:val="20"/>
          <w:color w:val="auto"/>
        </w:rPr>
      </w:pPr>
      <w:r>
        <w:rPr>
          <w:rFonts w:ascii="Arial" w:cs="Arial" w:eastAsia="Arial" w:hAnsi="Arial"/>
          <w:sz w:val="19"/>
          <w:szCs w:val="19"/>
          <w:color w:val="auto"/>
        </w:rPr>
        <w:t>(b)</w:t>
      </w:r>
      <w:r>
        <w:rPr>
          <w:rFonts w:ascii="Arial" w:cs="Arial" w:eastAsia="Arial" w:hAnsi="Arial"/>
          <w:sz w:val="19"/>
          <w:szCs w:val="19"/>
          <w:i w:val="1"/>
          <w:iCs w:val="1"/>
          <w:color w:val="auto"/>
        </w:rPr>
        <w:t>Termination by the Company Without Cause or by the Executive With Good Reason Prior to or More Than Twelve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Months Following a Change in Control and Subject to Executive’s Good Performance for at Least Twelve Months. </w:t>
      </w:r>
      <w:r>
        <w:rPr>
          <w:rFonts w:ascii="Arial" w:cs="Arial" w:eastAsia="Arial" w:hAnsi="Arial"/>
          <w:sz w:val="19"/>
          <w:szCs w:val="19"/>
          <w:color w:val="auto"/>
        </w:rPr>
        <w:t>If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employment is terminated by the Company without Cause pursuant to Section 6(b) (which, for the avoidance of doubt, does not include any termination due to the Executive’s death or Disability pursuant to Section 6(a)) or by the Executive with Good Reason pursuant to Section 6(c) (in either case,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prior to or more than twelve</w:t>
      </w:r>
    </w:p>
    <w:p>
      <w:pPr>
        <w:spacing w:after="0" w:line="4" w:lineRule="exact"/>
        <w:rPr>
          <w:sz w:val="20"/>
          <w:szCs w:val="20"/>
          <w:color w:val="auto"/>
        </w:rPr>
      </w:pPr>
    </w:p>
    <w:p>
      <w:pPr>
        <w:ind w:left="7" w:right="120" w:hanging="2"/>
        <w:spacing w:after="0" w:line="230" w:lineRule="auto"/>
        <w:tabs>
          <w:tab w:leader="none" w:pos="437" w:val="left"/>
        </w:tabs>
        <w:numPr>
          <w:ilvl w:val="0"/>
          <w:numId w:val="71"/>
        </w:numPr>
        <w:rPr>
          <w:rFonts w:ascii="Arial" w:cs="Arial" w:eastAsia="Arial" w:hAnsi="Arial"/>
          <w:sz w:val="22"/>
          <w:szCs w:val="22"/>
          <w:color w:val="auto"/>
        </w:rPr>
      </w:pPr>
      <w:r>
        <w:rPr>
          <w:rFonts w:ascii="Arial" w:cs="Arial" w:eastAsia="Arial" w:hAnsi="Arial"/>
          <w:sz w:val="22"/>
          <w:szCs w:val="22"/>
          <w:color w:val="auto"/>
        </w:rPr>
        <w:t>months following a Change in Control (as defined below), and such Qualifying Termination occurs after the Executive has completed at least twelve</w:t>
      </w:r>
    </w:p>
    <w:p>
      <w:pPr>
        <w:spacing w:after="0" w:line="1" w:lineRule="exact"/>
        <w:rPr>
          <w:rFonts w:ascii="Arial" w:cs="Arial" w:eastAsia="Arial" w:hAnsi="Arial"/>
          <w:sz w:val="22"/>
          <w:szCs w:val="22"/>
          <w:color w:val="auto"/>
        </w:rPr>
      </w:pPr>
    </w:p>
    <w:p>
      <w:pPr>
        <w:jc w:val="both"/>
        <w:ind w:left="7" w:right="120" w:hanging="7"/>
        <w:spacing w:after="0" w:line="272" w:lineRule="auto"/>
        <w:tabs>
          <w:tab w:leader="none" w:pos="443" w:val="left"/>
        </w:tabs>
        <w:numPr>
          <w:ilvl w:val="0"/>
          <w:numId w:val="72"/>
        </w:numPr>
        <w:rPr>
          <w:rFonts w:ascii="Arial" w:cs="Arial" w:eastAsia="Arial" w:hAnsi="Arial"/>
          <w:sz w:val="19"/>
          <w:szCs w:val="19"/>
          <w:color w:val="auto"/>
        </w:rPr>
      </w:pPr>
      <w:r>
        <w:rPr>
          <w:rFonts w:ascii="Arial" w:cs="Arial" w:eastAsia="Arial" w:hAnsi="Arial"/>
          <w:sz w:val="19"/>
          <w:szCs w:val="19"/>
          <w:color w:val="auto"/>
        </w:rPr>
        <w:t>months of employment with good performance for the Company (as determined by the Board in its sole and absolute discretion), then the Executive shall be entitled to the Accrued Obligations. In addition, and subject to Section 8 and the conditions of Section 7(d), in the case of a termination described in the preceding sentence, the Company shall: [(i) continue to pay to the Executive, in equal periodic installments in accordance with the Company’s regularly established payroll procedures (not less frequently than monthly), the Executive’s Base Salary for a period of nine (9) months commencing on the Payment Date (as defined below); (ii) pay to the Executive, in a single lump sum on the Payment Date, an amount equal to 100% of the Executive’s Target Bonus for the year in which termination occurs; and (iii) provided the Executive is eligible for and timely elects to continue receiving group medical coverage pursuant to the “COBRA” law, continue to pay (but in no event longer than nine (9) months following the Executive’s Termination Date) the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168910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7"/>
          </w:cols>
          <w:pgMar w:left="473" w:top="121" w:right="339" w:bottom="1440" w:gutter="0" w:footer="0" w:header="0"/>
        </w:sectPr>
      </w:pPr>
    </w:p>
    <w:bookmarkStart w:id="132" w:name="page133"/>
    <w:bookmarkEnd w:id="132"/>
    <w:p>
      <w:pPr>
        <w:ind w:left="10167"/>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jc w:val="both"/>
        <w:ind w:left="7" w:right="140"/>
        <w:spacing w:after="0" w:line="248" w:lineRule="auto"/>
        <w:rPr>
          <w:sz w:val="20"/>
          <w:szCs w:val="20"/>
          <w:color w:val="auto"/>
        </w:rPr>
      </w:pPr>
      <w:r>
        <w:rPr>
          <w:rFonts w:ascii="Arial" w:cs="Arial" w:eastAsia="Arial" w:hAnsi="Arial"/>
          <w:sz w:val="21"/>
          <w:szCs w:val="21"/>
          <w:color w:val="auto"/>
        </w:rPr>
        <w:t>the premium for such coverage that is paid by the Company for active and similarly-situated employees who receive the same type of coverage, unless the Company’s provision of such COBRA subsidy will violate the nondiscrimination requirements of applicable law, in which case this benefit will not apply] (collectively, the “</w:t>
      </w:r>
      <w:r>
        <w:rPr>
          <w:rFonts w:ascii="Arial" w:cs="Arial" w:eastAsia="Arial" w:hAnsi="Arial"/>
          <w:sz w:val="21"/>
          <w:szCs w:val="21"/>
          <w:u w:val="single" w:color="auto"/>
          <w:color w:val="auto"/>
        </w:rPr>
        <w:t>Severance Benefits</w:t>
      </w:r>
      <w:r>
        <w:rPr>
          <w:rFonts w:ascii="Arial" w:cs="Arial" w:eastAsia="Arial" w:hAnsi="Arial"/>
          <w:sz w:val="21"/>
          <w:szCs w:val="21"/>
          <w:color w:val="auto"/>
        </w:rPr>
        <w:t>”).</w:t>
      </w:r>
    </w:p>
    <w:p>
      <w:pPr>
        <w:spacing w:after="0" w:line="219" w:lineRule="exact"/>
        <w:rPr>
          <w:sz w:val="20"/>
          <w:szCs w:val="20"/>
          <w:color w:val="auto"/>
        </w:rPr>
      </w:pPr>
    </w:p>
    <w:p>
      <w:pPr>
        <w:jc w:val="both"/>
        <w:ind w:left="7" w:right="120" w:firstLine="749"/>
        <w:spacing w:after="0" w:line="244" w:lineRule="auto"/>
        <w:rPr>
          <w:sz w:val="20"/>
          <w:szCs w:val="20"/>
          <w:color w:val="auto"/>
        </w:rPr>
      </w:pPr>
      <w:r>
        <w:rPr>
          <w:rFonts w:ascii="Arial" w:cs="Arial" w:eastAsia="Arial" w:hAnsi="Arial"/>
          <w:sz w:val="21"/>
          <w:szCs w:val="21"/>
          <w:color w:val="auto"/>
        </w:rPr>
        <w:t>(c)</w:t>
      </w:r>
      <w:r>
        <w:rPr>
          <w:rFonts w:ascii="Arial" w:cs="Arial" w:eastAsia="Arial" w:hAnsi="Arial"/>
          <w:sz w:val="21"/>
          <w:szCs w:val="21"/>
          <w:i w:val="1"/>
          <w:iCs w:val="1"/>
          <w:color w:val="auto"/>
        </w:rPr>
        <w:t>Termination by the Company Without Cause or by the Executive With Good Reason Within Twelve Months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Following a Change in Control. </w:t>
      </w:r>
      <w:r>
        <w:rPr>
          <w:rFonts w:ascii="Arial" w:cs="Arial" w:eastAsia="Arial" w:hAnsi="Arial"/>
          <w:sz w:val="21"/>
          <w:szCs w:val="21"/>
          <w:color w:val="auto"/>
        </w:rPr>
        <w:t>If a Qualifying Termination occurs within twelve (12) months following a Change in Control,</w:t>
      </w:r>
      <w:r>
        <w:rPr>
          <w:rFonts w:ascii="Arial" w:cs="Arial" w:eastAsia="Arial" w:hAnsi="Arial"/>
          <w:sz w:val="21"/>
          <w:szCs w:val="21"/>
          <w:i w:val="1"/>
          <w:iCs w:val="1"/>
          <w:color w:val="auto"/>
        </w:rPr>
        <w:t xml:space="preserve"> </w:t>
      </w:r>
      <w:r>
        <w:rPr>
          <w:rFonts w:ascii="Arial" w:cs="Arial" w:eastAsia="Arial" w:hAnsi="Arial"/>
          <w:sz w:val="21"/>
          <w:szCs w:val="21"/>
          <w:color w:val="auto"/>
        </w:rPr>
        <w:t>then the Executive shall be entitled to the Accrued Obligations. In addition, and subject to Section 8 and the conditions of Section 7(d), the Company shall: [(i) continue to pay to the Executive, in equal periodic installments in accordance with the Company’s regularly established payroll procedures (not less frequently than monthly), the Executive’s Base Salary (or, if higher, the Executive’s Base Salary in effect immediately prior to the Change in Control) for a period of twelve (12) months commencing on the Payment Date;</w:t>
      </w:r>
    </w:p>
    <w:p>
      <w:pPr>
        <w:jc w:val="both"/>
        <w:ind w:left="7" w:right="120" w:hanging="7"/>
        <w:spacing w:after="0" w:line="271" w:lineRule="auto"/>
        <w:tabs>
          <w:tab w:leader="none" w:pos="351" w:val="left"/>
        </w:tabs>
        <w:numPr>
          <w:ilvl w:val="0"/>
          <w:numId w:val="73"/>
        </w:numPr>
        <w:rPr>
          <w:rFonts w:ascii="Arial" w:cs="Arial" w:eastAsia="Arial" w:hAnsi="Arial"/>
          <w:sz w:val="19"/>
          <w:szCs w:val="19"/>
          <w:color w:val="auto"/>
        </w:rPr>
      </w:pPr>
      <w:r>
        <w:rPr>
          <w:rFonts w:ascii="Arial" w:cs="Arial" w:eastAsia="Arial" w:hAnsi="Arial"/>
          <w:sz w:val="19"/>
          <w:szCs w:val="19"/>
          <w:color w:val="auto"/>
        </w:rPr>
        <w:t>pay to the Executive, in a single lump sum on the Payment Date, an amount equal to 100% of the Executive’s Target Bonus for the year in which termination occurs or, if higher, the Executive’s Target Bonus immediately prior to the Change in Control; (iii) provided the Executive is eligible for and timely elects to continue receiving group medical coverage pursuant to the “COBRA” law, continue to pay (but in no event longer than twelve (12) months following the Executive’s Termination Date) the share of the premium for such coverage that is paid by the Company for active and similarly-situated employees who receive the same type of coverage, unless the Company’s provision of such COBRA subsidy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w:t>
      </w:r>
      <w:r>
        <w:rPr>
          <w:rFonts w:ascii="Arial" w:cs="Arial" w:eastAsia="Arial" w:hAnsi="Arial"/>
          <w:sz w:val="19"/>
          <w:szCs w:val="19"/>
          <w:u w:val="single" w:color="auto"/>
          <w:color w:val="auto"/>
        </w:rPr>
        <w:t>Change in Control Severance Benefits</w:t>
      </w:r>
      <w:r>
        <w:rPr>
          <w:rFonts w:ascii="Arial" w:cs="Arial" w:eastAsia="Arial" w:hAnsi="Arial"/>
          <w:sz w:val="19"/>
          <w:szCs w:val="19"/>
          <w:color w:val="auto"/>
        </w:rPr>
        <w:t>”).</w:t>
      </w:r>
    </w:p>
    <w:p>
      <w:pPr>
        <w:spacing w:after="0" w:line="161" w:lineRule="exact"/>
        <w:rPr>
          <w:sz w:val="20"/>
          <w:szCs w:val="20"/>
          <w:color w:val="auto"/>
        </w:rPr>
      </w:pPr>
    </w:p>
    <w:p>
      <w:pPr>
        <w:jc w:val="both"/>
        <w:ind w:left="7" w:right="120" w:firstLine="749"/>
        <w:spacing w:after="0" w:line="272" w:lineRule="auto"/>
        <w:rPr>
          <w:sz w:val="20"/>
          <w:szCs w:val="20"/>
          <w:color w:val="auto"/>
        </w:rPr>
      </w:pPr>
      <w:r>
        <w:rPr>
          <w:rFonts w:ascii="Arial" w:cs="Arial" w:eastAsia="Arial" w:hAnsi="Arial"/>
          <w:sz w:val="19"/>
          <w:szCs w:val="19"/>
          <w:color w:val="auto"/>
        </w:rPr>
        <w:t>(d)</w:t>
      </w:r>
      <w:r>
        <w:rPr>
          <w:rFonts w:ascii="Arial" w:cs="Arial" w:eastAsia="Arial" w:hAnsi="Arial"/>
          <w:sz w:val="19"/>
          <w:szCs w:val="19"/>
          <w:i w:val="1"/>
          <w:iCs w:val="1"/>
          <w:color w:val="auto"/>
        </w:rPr>
        <w:t>Release</w:t>
      </w:r>
      <w:r>
        <w:rPr>
          <w:rFonts w:ascii="Arial" w:cs="Arial" w:eastAsia="Arial" w:hAnsi="Arial"/>
          <w:sz w:val="19"/>
          <w:szCs w:val="19"/>
          <w:color w:val="auto"/>
        </w:rPr>
        <w:t>. As a condition of the Executive’s receipt of the Severance Benefits or the Change in Control Severance Benefits, as applicable, the Executive must execute and deliver to the Company a severance and release of claims agreement in a form to be provided by the Company (the “</w:t>
      </w:r>
      <w:r>
        <w:rPr>
          <w:rFonts w:ascii="Arial" w:cs="Arial" w:eastAsia="Arial" w:hAnsi="Arial"/>
          <w:sz w:val="19"/>
          <w:szCs w:val="19"/>
          <w:u w:val="single" w:color="auto"/>
          <w:color w:val="auto"/>
        </w:rPr>
        <w:t>Severance Agreement</w:t>
      </w:r>
      <w:r>
        <w:rPr>
          <w:rFonts w:ascii="Arial" w:cs="Arial" w:eastAsia="Arial" w:hAnsi="Arial"/>
          <w:sz w:val="19"/>
          <w:szCs w:val="19"/>
          <w:color w:val="auto"/>
        </w:rPr>
        <w:t>”), which Severance Agreement must become irrevocable within 60 days following the Executive’s Termination Date (or such shorter period as may be directed by the Company). The Severance Benefits or the Change in Control Severance Benefits (other than any COBRA subsidy), as applicable, will be paid or commence to be paid in the first regular payroll beginning after the Severance Agreement becomes effective and irrevocable, provided that if the foregoing 60 day period (or such shorter period as may be directed by the Company) would end in a calendar year subsequent to the year in which the Executive’s employment ends, the Severance Benefits or Change in Control Severance Benefits (other than any COBRA subsidy), as applicable, will not be paid or begin to be paid before the first payroll of the subsequent calendar year (the date the Severance Benefits or Change in Control Severance Benefits, as applicable, commence pursuant to this sentence, the “</w:t>
      </w:r>
      <w:r>
        <w:rPr>
          <w:rFonts w:ascii="Arial" w:cs="Arial" w:eastAsia="Arial" w:hAnsi="Arial"/>
          <w:sz w:val="19"/>
          <w:szCs w:val="19"/>
          <w:u w:val="single" w:color="auto"/>
          <w:color w:val="auto"/>
        </w:rPr>
        <w:t>Payment Date</w:t>
      </w:r>
      <w:r>
        <w:rPr>
          <w:rFonts w:ascii="Arial" w:cs="Arial" w:eastAsia="Arial" w:hAnsi="Arial"/>
          <w:sz w:val="19"/>
          <w:szCs w:val="19"/>
          <w:color w:val="auto"/>
        </w:rPr>
        <w:t>”). The Executive must continue to comply with the ECAA and any similar agreement with the Company or its affiliates in order to be eligible to continue receiving the Severance Benefits or Change in Control Severance Benefits, as applicable.</w:t>
      </w:r>
    </w:p>
    <w:p>
      <w:pPr>
        <w:spacing w:after="0" w:line="156" w:lineRule="exact"/>
        <w:rPr>
          <w:sz w:val="20"/>
          <w:szCs w:val="20"/>
          <w:color w:val="auto"/>
        </w:rPr>
      </w:pPr>
    </w:p>
    <w:p>
      <w:pPr>
        <w:jc w:val="both"/>
        <w:ind w:left="7" w:right="120" w:firstLine="749"/>
        <w:spacing w:after="0" w:line="250" w:lineRule="auto"/>
        <w:rPr>
          <w:sz w:val="20"/>
          <w:szCs w:val="20"/>
          <w:color w:val="auto"/>
        </w:rPr>
      </w:pPr>
      <w:r>
        <w:rPr>
          <w:rFonts w:ascii="Arial" w:cs="Arial" w:eastAsia="Arial" w:hAnsi="Arial"/>
          <w:sz w:val="22"/>
          <w:szCs w:val="22"/>
          <w:color w:val="auto"/>
        </w:rPr>
        <w:t>(e)</w:t>
      </w:r>
      <w:r>
        <w:rPr>
          <w:rFonts w:ascii="Arial" w:cs="Arial" w:eastAsia="Arial" w:hAnsi="Arial"/>
          <w:sz w:val="22"/>
          <w:szCs w:val="22"/>
          <w:i w:val="1"/>
          <w:iCs w:val="1"/>
          <w:color w:val="auto"/>
        </w:rPr>
        <w:t>Change in Control Definition</w:t>
      </w:r>
      <w:r>
        <w:rPr>
          <w:rFonts w:ascii="Arial" w:cs="Arial" w:eastAsia="Arial" w:hAnsi="Arial"/>
          <w:sz w:val="22"/>
          <w:szCs w:val="22"/>
          <w:color w:val="auto"/>
        </w:rPr>
        <w:t>. For purposes of this Agreement,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mean the occurrence of any of the following events</w:t>
      </w:r>
      <w:r>
        <w:rPr>
          <w:rFonts w:ascii="Arial" w:cs="Arial" w:eastAsia="Arial" w:hAnsi="Arial"/>
          <w:sz w:val="22"/>
          <w:szCs w:val="22"/>
          <w:i w:val="1"/>
          <w:iCs w:val="1"/>
          <w:color w:val="auto"/>
        </w:rPr>
        <w:t>, provided that such event or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180340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7"/>
          </w:cols>
          <w:pgMar w:left="473" w:top="121" w:right="339" w:bottom="1440" w:gutter="0" w:footer="0" w:header="0"/>
        </w:sectPr>
      </w:pPr>
    </w:p>
    <w:bookmarkStart w:id="133" w:name="page134"/>
    <w:bookmarkEnd w:id="133"/>
    <w:p>
      <w:pPr>
        <w:ind w:left="10167"/>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ind w:left="7" w:right="120"/>
        <w:spacing w:after="0" w:line="230" w:lineRule="auto"/>
        <w:rPr>
          <w:sz w:val="20"/>
          <w:szCs w:val="20"/>
          <w:color w:val="auto"/>
        </w:rPr>
      </w:pPr>
      <w:r>
        <w:rPr>
          <w:rFonts w:ascii="Arial" w:cs="Arial" w:eastAsia="Arial" w:hAnsi="Arial"/>
          <w:sz w:val="22"/>
          <w:szCs w:val="22"/>
          <w:i w:val="1"/>
          <w:iCs w:val="1"/>
          <w:color w:val="auto"/>
        </w:rPr>
        <w:t>constitutes a change in the ownership or effective control of the Company, or a change in the ownership of a substantial portion of the assets of the Company, as defined in Treasury Regulation</w:t>
      </w:r>
    </w:p>
    <w:p>
      <w:pPr>
        <w:spacing w:after="0" w:line="1" w:lineRule="exact"/>
        <w:rPr>
          <w:sz w:val="20"/>
          <w:szCs w:val="20"/>
          <w:color w:val="auto"/>
        </w:rPr>
      </w:pPr>
    </w:p>
    <w:p>
      <w:pPr>
        <w:jc w:val="both"/>
        <w:ind w:left="7" w:right="120" w:hanging="7"/>
        <w:spacing w:after="0" w:line="268" w:lineRule="auto"/>
        <w:tabs>
          <w:tab w:leader="none" w:pos="277" w:val="left"/>
        </w:tabs>
        <w:numPr>
          <w:ilvl w:val="0"/>
          <w:numId w:val="74"/>
        </w:numPr>
        <w:rPr>
          <w:rFonts w:ascii="Arial" w:cs="Arial" w:eastAsia="Arial" w:hAnsi="Arial"/>
          <w:sz w:val="19"/>
          <w:szCs w:val="19"/>
          <w:i w:val="1"/>
          <w:iCs w:val="1"/>
          <w:color w:val="auto"/>
        </w:rPr>
      </w:pPr>
      <w:r>
        <w:rPr>
          <w:rFonts w:ascii="Arial" w:cs="Arial" w:eastAsia="Arial" w:hAnsi="Arial"/>
          <w:sz w:val="19"/>
          <w:szCs w:val="19"/>
          <w:i w:val="1"/>
          <w:iCs w:val="1"/>
          <w:color w:val="auto"/>
        </w:rPr>
        <w:t>1.409A-3(i)(5)(v), (vi) and (vii)</w:t>
      </w:r>
      <w:r>
        <w:rPr>
          <w:rFonts w:ascii="Arial" w:cs="Arial" w:eastAsia="Arial" w:hAnsi="Arial"/>
          <w:sz w:val="19"/>
          <w:szCs w:val="19"/>
          <w:color w:val="auto"/>
        </w:rPr>
        <w:t>: (i) the acquisition by an individual, entity or group (within the meaning of Section 13(d)(3)</w:t>
      </w:r>
      <w:r>
        <w:rPr>
          <w:rFonts w:ascii="Arial" w:cs="Arial" w:eastAsia="Arial" w:hAnsi="Arial"/>
          <w:sz w:val="19"/>
          <w:szCs w:val="19"/>
          <w:i w:val="1"/>
          <w:iCs w:val="1"/>
          <w:color w:val="auto"/>
        </w:rPr>
        <w:t xml:space="preserve"> </w:t>
      </w:r>
      <w:r>
        <w:rPr>
          <w:rFonts w:ascii="Arial" w:cs="Arial" w:eastAsia="Arial" w:hAnsi="Arial"/>
          <w:sz w:val="19"/>
          <w:szCs w:val="19"/>
          <w:color w:val="auto"/>
        </w:rPr>
        <w:t>or 14(d)(2) of the Securities Exchange Act of 1934 (the “E</w:t>
      </w:r>
      <w:r>
        <w:rPr>
          <w:rFonts w:ascii="Arial" w:cs="Arial" w:eastAsia="Arial" w:hAnsi="Arial"/>
          <w:sz w:val="19"/>
          <w:szCs w:val="19"/>
          <w:u w:val="single" w:color="auto"/>
          <w:color w:val="auto"/>
        </w:rPr>
        <w:t>xchange Act</w:t>
      </w:r>
      <w:r>
        <w:rPr>
          <w:rFonts w:ascii="Arial" w:cs="Arial" w:eastAsia="Arial" w:hAnsi="Arial"/>
          <w:sz w:val="19"/>
          <w:szCs w:val="19"/>
          <w:color w:val="auto"/>
        </w:rPr>
        <w:t>”)) (a “</w:t>
      </w:r>
      <w:r>
        <w:rPr>
          <w:rFonts w:ascii="Arial" w:cs="Arial" w:eastAsia="Arial" w:hAnsi="Arial"/>
          <w:sz w:val="19"/>
          <w:szCs w:val="19"/>
          <w:u w:val="single" w:color="auto"/>
          <w:color w:val="auto"/>
        </w:rPr>
        <w:t>Person</w:t>
      </w:r>
      <w:r>
        <w:rPr>
          <w:rFonts w:ascii="Arial" w:cs="Arial" w:eastAsia="Arial" w:hAnsi="Arial"/>
          <w:sz w:val="19"/>
          <w:szCs w:val="19"/>
          <w:color w:val="auto"/>
        </w:rPr>
        <w:t xml:space="preserve">”)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w:t>
      </w:r>
      <w:r>
        <w:rPr>
          <w:rFonts w:ascii="Arial" w:cs="Arial" w:eastAsia="Arial" w:hAnsi="Arial"/>
          <w:sz w:val="19"/>
          <w:szCs w:val="19"/>
          <w:u w:val="single" w:color="auto"/>
          <w:color w:val="auto"/>
        </w:rPr>
        <w:t>Company Voting Securities</w:t>
      </w:r>
      <w:r>
        <w:rPr>
          <w:rFonts w:ascii="Arial" w:cs="Arial" w:eastAsia="Arial" w:hAnsi="Arial"/>
          <w:sz w:val="19"/>
          <w:szCs w:val="19"/>
          <w:color w:val="auto"/>
        </w:rPr>
        <w:t>”);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w:t>
      </w:r>
      <w:r>
        <w:rPr>
          <w:rFonts w:ascii="Arial" w:cs="Arial" w:eastAsia="Arial" w:hAnsi="Arial"/>
          <w:sz w:val="19"/>
          <w:szCs w:val="19"/>
          <w:u w:val="single" w:color="auto"/>
          <w:color w:val="auto"/>
        </w:rPr>
        <w:t>Continuing Director</w:t>
      </w:r>
      <w:r>
        <w:rPr>
          <w:rFonts w:ascii="Arial" w:cs="Arial" w:eastAsia="Arial" w:hAnsi="Arial"/>
          <w:sz w:val="19"/>
          <w:szCs w:val="19"/>
          <w:color w:val="auto"/>
        </w:rPr>
        <w:t>”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w:t>
      </w:r>
      <w:r>
        <w:rPr>
          <w:rFonts w:ascii="Arial" w:cs="Arial" w:eastAsia="Arial" w:hAnsi="Arial"/>
          <w:sz w:val="19"/>
          <w:szCs w:val="19"/>
          <w:u w:val="single" w:color="auto"/>
          <w:color w:val="auto"/>
        </w:rPr>
        <w:t>quiring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Corporation</w:t>
      </w:r>
      <w:r>
        <w:rPr>
          <w:rFonts w:ascii="Arial" w:cs="Arial" w:eastAsia="Arial" w:hAnsi="Arial"/>
          <w:sz w:val="19"/>
          <w:szCs w:val="19"/>
          <w:color w:val="auto"/>
        </w:rPr>
        <w:t>”)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 outstanding securities of such corporation entitled to vote generally in the election of directors (except to the extent that such ownership existed prior to the Business Combination); or (iv)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328930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7"/>
          </w:cols>
          <w:pgMar w:left="473" w:top="1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10.2</w:t>
      </w:r>
    </w:p>
    <w:p>
      <w:pPr>
        <w:spacing w:after="0" w:line="141" w:lineRule="exact"/>
        <w:rPr>
          <w:sz w:val="20"/>
          <w:szCs w:val="20"/>
          <w:color w:val="auto"/>
        </w:rPr>
      </w:pPr>
    </w:p>
    <w:p>
      <w:pPr>
        <w:ind w:left="980" w:hanging="249"/>
        <w:spacing w:after="0"/>
        <w:tabs>
          <w:tab w:leader="none" w:pos="98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Tax Matters.</w:t>
      </w:r>
    </w:p>
    <w:p>
      <w:pPr>
        <w:spacing w:after="0" w:line="233" w:lineRule="exact"/>
        <w:rPr>
          <w:sz w:val="20"/>
          <w:szCs w:val="20"/>
          <w:color w:val="auto"/>
        </w:rPr>
      </w:pPr>
    </w:p>
    <w:p>
      <w:pPr>
        <w:ind w:right="140" w:firstLine="749"/>
        <w:spacing w:after="0" w:line="274" w:lineRule="auto"/>
        <w:rPr>
          <w:sz w:val="20"/>
          <w:szCs w:val="20"/>
          <w:color w:val="auto"/>
        </w:rPr>
      </w:pPr>
      <w:r>
        <w:rPr>
          <w:rFonts w:ascii="Arial" w:cs="Arial" w:eastAsia="Arial" w:hAnsi="Arial"/>
          <w:sz w:val="21"/>
          <w:szCs w:val="21"/>
          <w:color w:val="auto"/>
        </w:rPr>
        <w:t>(a)</w:t>
      </w:r>
      <w:r>
        <w:rPr>
          <w:rFonts w:ascii="Arial" w:cs="Arial" w:eastAsia="Arial" w:hAnsi="Arial"/>
          <w:sz w:val="21"/>
          <w:szCs w:val="21"/>
          <w:i w:val="1"/>
          <w:iCs w:val="1"/>
          <w:color w:val="auto"/>
        </w:rPr>
        <w:t>Withholding</w:t>
      </w:r>
      <w:r>
        <w:rPr>
          <w:rFonts w:ascii="Arial" w:cs="Arial" w:eastAsia="Arial" w:hAnsi="Arial"/>
          <w:sz w:val="21"/>
          <w:szCs w:val="21"/>
          <w:color w:val="auto"/>
        </w:rPr>
        <w:t>. The Company may withhold from any compensation and benefits payable under this Agreement all applicable federal, state, local, or other taxes, and any other applicable withholdings and deductions.</w:t>
      </w:r>
    </w:p>
    <w:p>
      <w:pPr>
        <w:spacing w:after="0" w:line="191" w:lineRule="exact"/>
        <w:rPr>
          <w:sz w:val="20"/>
          <w:szCs w:val="20"/>
          <w:color w:val="auto"/>
        </w:rPr>
      </w:pPr>
    </w:p>
    <w:p>
      <w:pPr>
        <w:ind w:left="1160" w:hanging="428"/>
        <w:spacing w:after="0"/>
        <w:tabs>
          <w:tab w:leader="none" w:pos="1160"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Section 409A</w:t>
      </w:r>
      <w:r>
        <w:rPr>
          <w:rFonts w:ascii="Arial" w:cs="Arial" w:eastAsia="Arial" w:hAnsi="Arial"/>
          <w:sz w:val="22"/>
          <w:szCs w:val="22"/>
          <w:color w:val="auto"/>
        </w:rPr>
        <w:t>.</w:t>
      </w:r>
    </w:p>
    <w:p>
      <w:pPr>
        <w:spacing w:after="0" w:line="247" w:lineRule="exact"/>
        <w:rPr>
          <w:sz w:val="20"/>
          <w:szCs w:val="20"/>
          <w:color w:val="auto"/>
        </w:rPr>
      </w:pPr>
    </w:p>
    <w:p>
      <w:pPr>
        <w:jc w:val="both"/>
        <w:ind w:left="1480" w:right="120" w:hanging="734"/>
        <w:spacing w:after="0" w:line="245" w:lineRule="auto"/>
        <w:tabs>
          <w:tab w:leader="none" w:pos="14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Although the Company does not guarantee the tax treatment of any payments or benefits under this Agreement, the intent of the Parties is that the payments and benefits under this Agreement be exempt from or, to the extent not exempt, comply with, Section 409A of the Code and the regulations and guidance promulgated thereunder (collectively “</w:t>
      </w:r>
      <w:r>
        <w:rPr>
          <w:rFonts w:ascii="Arial" w:cs="Arial" w:eastAsia="Arial" w:hAnsi="Arial"/>
          <w:sz w:val="21"/>
          <w:szCs w:val="21"/>
          <w:u w:val="single" w:color="auto"/>
          <w:color w:val="auto"/>
        </w:rPr>
        <w:t>Section 409A</w:t>
      </w:r>
      <w:r>
        <w:rPr>
          <w:rFonts w:ascii="Arial" w:cs="Arial" w:eastAsia="Arial" w:hAnsi="Arial"/>
          <w:sz w:val="21"/>
          <w:szCs w:val="21"/>
          <w:color w:val="auto"/>
        </w:rPr>
        <w:t>”), and, accordingly, to the maximum extent possible, this Agreement will be interpreted and construed consistent with such intent. Notwithstanding the foregoing, the Company does not guarantee any particular tax result, and in no event whatsoever will the Company, its affiliates, or their respective officers, directors, employees, counsel or other service providers, be liable for any tax, interest or penalty that may be imposed on the Executive by Section 409A or damages for failing to comply with Section 409A.</w:t>
      </w:r>
    </w:p>
    <w:p>
      <w:pPr>
        <w:spacing w:after="0" w:line="211" w:lineRule="exact"/>
        <w:rPr>
          <w:rFonts w:ascii="Arial" w:cs="Arial" w:eastAsia="Arial" w:hAnsi="Arial"/>
          <w:sz w:val="21"/>
          <w:szCs w:val="21"/>
          <w:color w:val="auto"/>
        </w:rPr>
      </w:pPr>
    </w:p>
    <w:p>
      <w:pPr>
        <w:jc w:val="both"/>
        <w:ind w:left="1480" w:right="120" w:hanging="734"/>
        <w:spacing w:after="0" w:line="249" w:lineRule="auto"/>
        <w:tabs>
          <w:tab w:leader="none" w:pos="14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For purposes of Section 409A, the Executive’s right to receive installment payments pursuant to this Agreement shall be treated as a right to receive a series of separate payments and, accordingly, each installment payment will at all times be considered a separate and distinct payment. Whenever a payment hereunder specifies a payment period with reference to a number of days, the actual date of payment within the specified period shall be within the sole discretion of the Company.</w:t>
      </w:r>
    </w:p>
    <w:p>
      <w:pPr>
        <w:spacing w:after="0" w:line="218" w:lineRule="exact"/>
        <w:rPr>
          <w:rFonts w:ascii="Arial" w:cs="Arial" w:eastAsia="Arial" w:hAnsi="Arial"/>
          <w:sz w:val="21"/>
          <w:szCs w:val="21"/>
          <w:color w:val="auto"/>
        </w:rPr>
      </w:pPr>
    </w:p>
    <w:p>
      <w:pPr>
        <w:jc w:val="both"/>
        <w:ind w:left="1480" w:right="120" w:hanging="734"/>
        <w:spacing w:after="0" w:line="246" w:lineRule="auto"/>
        <w:tabs>
          <w:tab w:leader="none" w:pos="14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To the extent that reimbursements or other in-kind benefits hereunder constitute “deferred compensation” subject to Section 409A, (x) all expenses or other reimbursements hereunder will be made on or prior to the last day of the taxable year following the taxable year in which such expenses were incurred by the Executive, (y) any right to reimbursement or in-kind benefits will not be subject to liquidation or exchange for another benefit, and (z) no such reimbursement, expenses eligible for reimbursement, or in-kind benefits provided in any taxable year will in any way affect the expenses eligible for reimbursement, or in-kind benefits to be provided, in any other taxable year.</w:t>
      </w:r>
    </w:p>
    <w:p>
      <w:pPr>
        <w:spacing w:after="0" w:line="224" w:lineRule="exact"/>
        <w:rPr>
          <w:rFonts w:ascii="Arial" w:cs="Arial" w:eastAsia="Arial" w:hAnsi="Arial"/>
          <w:sz w:val="21"/>
          <w:szCs w:val="21"/>
          <w:color w:val="auto"/>
        </w:rPr>
      </w:pPr>
    </w:p>
    <w:p>
      <w:pPr>
        <w:jc w:val="both"/>
        <w:ind w:left="1480" w:right="120" w:hanging="734"/>
        <w:spacing w:after="0"/>
        <w:tabs>
          <w:tab w:leader="none" w:pos="14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other provision of this Agreement to the contrary notwithstanding, in no event will any payment or benefit hereunder that constitutes “deferred compensation” subject to Section 409A be subject to offset by any other amount unless otherwise permitted by Section 409A.</w:t>
      </w:r>
    </w:p>
    <w:p>
      <w:pPr>
        <w:spacing w:after="0" w:line="226" w:lineRule="exact"/>
        <w:rPr>
          <w:rFonts w:ascii="Arial" w:cs="Arial" w:eastAsia="Arial" w:hAnsi="Arial"/>
          <w:sz w:val="22"/>
          <w:szCs w:val="22"/>
          <w:color w:val="auto"/>
        </w:rPr>
      </w:pPr>
    </w:p>
    <w:p>
      <w:pPr>
        <w:jc w:val="both"/>
        <w:ind w:left="1480" w:right="120" w:hanging="734"/>
        <w:spacing w:after="0"/>
        <w:tabs>
          <w:tab w:leader="none" w:pos="14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termination of employment will not be deemed to have occurred for purposes of any provision of this Agreement providing for the payment of any amounts or benefits that constitute “deferred compensation” subject to Section 409A upon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187960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35" w:name="page136"/>
    <w:bookmarkEnd w:id="135"/>
    <w:p>
      <w:pPr>
        <w:ind w:left="10167"/>
        <w:spacing w:after="0"/>
        <w:rPr>
          <w:sz w:val="20"/>
          <w:szCs w:val="20"/>
          <w:color w:val="auto"/>
        </w:rPr>
      </w:pPr>
      <w:r>
        <w:rPr>
          <w:rFonts w:ascii="Arial" w:cs="Arial" w:eastAsia="Arial" w:hAnsi="Arial"/>
          <w:sz w:val="16"/>
          <w:szCs w:val="16"/>
          <w:b w:val="1"/>
          <w:bCs w:val="1"/>
          <w:color w:val="auto"/>
        </w:rPr>
        <w:t>Exhibit 10.2</w:t>
      </w:r>
    </w:p>
    <w:p>
      <w:pPr>
        <w:spacing w:after="0" w:line="164" w:lineRule="exact"/>
        <w:rPr>
          <w:sz w:val="20"/>
          <w:szCs w:val="20"/>
          <w:color w:val="auto"/>
        </w:rPr>
      </w:pPr>
    </w:p>
    <w:p>
      <w:pPr>
        <w:jc w:val="both"/>
        <w:ind w:left="1507" w:right="120"/>
        <w:spacing w:after="0" w:line="249" w:lineRule="auto"/>
        <w:rPr>
          <w:sz w:val="20"/>
          <w:szCs w:val="20"/>
          <w:color w:val="auto"/>
        </w:rPr>
      </w:pPr>
      <w:r>
        <w:rPr>
          <w:rFonts w:ascii="Arial" w:cs="Arial" w:eastAsia="Arial" w:hAnsi="Arial"/>
          <w:sz w:val="21"/>
          <w:szCs w:val="21"/>
          <w:color w:val="auto"/>
        </w:rPr>
        <w:t>following a termination of employment, unless such termination is also a “separation from service” within the meaning of Section 409A, and, for purposes of any such provision, all references in this Agreement to the Executive’s “termination”, “termination of employment” or like terms will mean the Executive’s “separation from service” with the Company, and the date of such separation from service will be the date of termination for purposes of any such payment or benefit.</w:t>
      </w:r>
    </w:p>
    <w:p>
      <w:pPr>
        <w:spacing w:after="0" w:line="205" w:lineRule="exact"/>
        <w:rPr>
          <w:sz w:val="20"/>
          <w:szCs w:val="20"/>
          <w:color w:val="auto"/>
        </w:rPr>
      </w:pPr>
    </w:p>
    <w:p>
      <w:pPr>
        <w:jc w:val="both"/>
        <w:ind w:left="1487" w:right="120" w:hanging="734"/>
        <w:spacing w:after="0" w:line="271" w:lineRule="auto"/>
        <w:tabs>
          <w:tab w:leader="none" w:pos="1487"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if, at the time of the Executive’s separation from service, the Executive is a “specified employee” within the meaning and in accordance with Treasury Regulation Section 1.409A-1(i), then the Company will defer the payment or commencement of any “deferred compensation” subject to Section 409A that is payable upon separation from service (without any reduction in such payments or benefits ultimately paid or provided to the Executive) until the date that is six (6) months following separation from service or, if earlier, the earliest other date as is permitted under Section 409A (and any amounts that otherwise would have been paid during this deferral period will be paid in a lump sum on the day after the expiration of the six</w:t>
      </w:r>
    </w:p>
    <w:p>
      <w:pPr>
        <w:spacing w:after="0" w:line="1" w:lineRule="exact"/>
        <w:rPr>
          <w:rFonts w:ascii="Arial" w:cs="Arial" w:eastAsia="Arial" w:hAnsi="Arial"/>
          <w:sz w:val="19"/>
          <w:szCs w:val="19"/>
          <w:color w:val="auto"/>
        </w:rPr>
      </w:pPr>
    </w:p>
    <w:p>
      <w:pPr>
        <w:jc w:val="both"/>
        <w:ind w:left="1507" w:right="120"/>
        <w:spacing w:after="0" w:line="234" w:lineRule="auto"/>
        <w:rPr>
          <w:rFonts w:ascii="Arial" w:cs="Arial" w:eastAsia="Arial" w:hAnsi="Arial"/>
          <w:sz w:val="19"/>
          <w:szCs w:val="19"/>
          <w:color w:val="auto"/>
        </w:rPr>
      </w:pPr>
      <w:r>
        <w:rPr>
          <w:rFonts w:ascii="Arial" w:cs="Arial" w:eastAsia="Arial" w:hAnsi="Arial"/>
          <w:sz w:val="22"/>
          <w:szCs w:val="22"/>
          <w:color w:val="auto"/>
        </w:rPr>
        <w:t>(6) month period or such shorter period, if applicable). The Company will determine in its sole discretion all matters relating to who is a “specified employee” and the application of and effects of the change in such determination.</w:t>
      </w:r>
    </w:p>
    <w:p>
      <w:pPr>
        <w:spacing w:after="0" w:line="214" w:lineRule="exact"/>
        <w:rPr>
          <w:sz w:val="20"/>
          <w:szCs w:val="20"/>
          <w:color w:val="auto"/>
        </w:rPr>
      </w:pPr>
    </w:p>
    <w:p>
      <w:pPr>
        <w:jc w:val="both"/>
        <w:ind w:left="7" w:right="120" w:firstLine="749"/>
        <w:spacing w:after="0" w:line="268" w:lineRule="auto"/>
        <w:rPr>
          <w:sz w:val="20"/>
          <w:szCs w:val="20"/>
          <w:color w:val="auto"/>
        </w:rPr>
      </w:pPr>
      <w:r>
        <w:rPr>
          <w:rFonts w:ascii="Arial" w:cs="Arial" w:eastAsia="Arial" w:hAnsi="Arial"/>
          <w:sz w:val="19"/>
          <w:szCs w:val="19"/>
          <w:color w:val="auto"/>
        </w:rPr>
        <w:t>(c)</w:t>
      </w:r>
      <w:r>
        <w:rPr>
          <w:rFonts w:ascii="Arial" w:cs="Arial" w:eastAsia="Arial" w:hAnsi="Arial"/>
          <w:sz w:val="19"/>
          <w:szCs w:val="19"/>
          <w:i w:val="1"/>
          <w:iCs w:val="1"/>
          <w:color w:val="auto"/>
        </w:rPr>
        <w:t>Section 280G</w:t>
      </w:r>
      <w:r>
        <w:rPr>
          <w:rFonts w:ascii="Arial" w:cs="Arial" w:eastAsia="Arial" w:hAnsi="Arial"/>
          <w:sz w:val="19"/>
          <w:szCs w:val="19"/>
          <w:color w:val="auto"/>
        </w:rPr>
        <w:t>. In the event that any payments and other benefits provided for in this Agreement or otherwise payable to the Executive constitute “parachute payments” within the meaning of Section 280G of the Code, and, but for this paragraph, would be subject to the excise tax imposed by Section 4999 of the Code, then any post-termination severance payments and benefits payable under this Agreement or otherwise will be either (1) delivered in full or (2) delivered as to such lesser extent which would result in no portion of such payments and benefits being subject to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payments and benefits, notwithstanding that all or some portion of such benefits may be taxable under Section 4999 of the Code. If a reduction in the Executive’s payments and benefits is necessitated by the preceding sentence, such reduction will occur in the following order:</w:t>
      </w:r>
    </w:p>
    <w:p>
      <w:pPr>
        <w:ind w:left="7"/>
        <w:spacing w:after="0" w:line="238" w:lineRule="auto"/>
        <w:rPr>
          <w:sz w:val="20"/>
          <w:szCs w:val="20"/>
          <w:color w:val="auto"/>
        </w:rPr>
      </w:pPr>
      <w:r>
        <w:rPr>
          <w:rFonts w:ascii="Arial" w:cs="Arial" w:eastAsia="Arial" w:hAnsi="Arial"/>
          <w:sz w:val="22"/>
          <w:szCs w:val="22"/>
          <w:color w:val="auto"/>
        </w:rPr>
        <w:t>(i) any cash amounts payable to the Executive, (ii) any benefits valued as parachute payments, and</w:t>
      </w:r>
    </w:p>
    <w:p>
      <w:pPr>
        <w:jc w:val="both"/>
        <w:ind w:left="7" w:right="120" w:hanging="7"/>
        <w:spacing w:after="0" w:line="232" w:lineRule="auto"/>
        <w:tabs>
          <w:tab w:leader="none" w:pos="39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acceleration of vesting of any equity awards. Any determination required under this paragraph will be made in writing by the Company’s independent public accountants (the “</w:t>
      </w:r>
      <w:r>
        <w:rPr>
          <w:rFonts w:ascii="Arial" w:cs="Arial" w:eastAsia="Arial" w:hAnsi="Arial"/>
          <w:sz w:val="22"/>
          <w:szCs w:val="22"/>
          <w:u w:val="single" w:color="auto"/>
          <w:color w:val="auto"/>
        </w:rPr>
        <w:t>Firm</w:t>
      </w:r>
      <w:r>
        <w:rPr>
          <w:rFonts w:ascii="Arial" w:cs="Arial" w:eastAsia="Arial" w:hAnsi="Arial"/>
          <w:sz w:val="22"/>
          <w:szCs w:val="22"/>
          <w:color w:val="auto"/>
        </w:rPr>
        <w:t>”), whose determination will be conclusive and binding upon the Executive and the Company. For purposes of making the calculations required by this paragraph,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may reasonably request in order to make a determination under this paragraph. The Company will bear all costs the Firm may incur in connection with any calculations contemplated by this paragraph.</w:t>
      </w:r>
    </w:p>
    <w:p>
      <w:pPr>
        <w:spacing w:after="0" w:line="226" w:lineRule="exact"/>
        <w:rPr>
          <w:sz w:val="20"/>
          <w:szCs w:val="20"/>
          <w:color w:val="auto"/>
        </w:rPr>
      </w:pPr>
    </w:p>
    <w:p>
      <w:pPr>
        <w:ind w:left="747"/>
        <w:spacing w:after="0"/>
        <w:rPr>
          <w:sz w:val="20"/>
          <w:szCs w:val="20"/>
          <w:color w:val="auto"/>
        </w:rPr>
      </w:pPr>
      <w:r>
        <w:rPr>
          <w:rFonts w:ascii="Arial" w:cs="Arial" w:eastAsia="Arial" w:hAnsi="Arial"/>
          <w:sz w:val="22"/>
          <w:szCs w:val="22"/>
          <w:color w:val="auto"/>
        </w:rPr>
        <w:t>9.</w:t>
      </w:r>
      <w:r>
        <w:rPr>
          <w:rFonts w:ascii="Arial" w:cs="Arial" w:eastAsia="Arial" w:hAnsi="Arial"/>
          <w:sz w:val="22"/>
          <w:szCs w:val="22"/>
          <w:i w:val="1"/>
          <w:iCs w:val="1"/>
          <w:color w:val="auto"/>
        </w:rPr>
        <w:t>Clawback</w:t>
      </w:r>
      <w:r>
        <w:rPr>
          <w:rFonts w:ascii="Arial" w:cs="Arial" w:eastAsia="Arial" w:hAnsi="Arial"/>
          <w:sz w:val="22"/>
          <w:szCs w:val="22"/>
          <w:color w:val="auto"/>
        </w:rPr>
        <w:t>. To the maximum extent permitted by applicable law, all amounts paid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7"/>
          </w:cols>
          <w:pgMar w:left="473" w:top="121" w:right="339" w:bottom="1440" w:gutter="0" w:footer="0" w:header="0"/>
        </w:sectPr>
      </w:pPr>
    </w:p>
    <w:bookmarkStart w:id="136" w:name="page137"/>
    <w:bookmarkEnd w:id="136"/>
    <w:p>
      <w:pPr>
        <w:ind w:left="10160"/>
        <w:spacing w:after="0"/>
        <w:rPr>
          <w:sz w:val="20"/>
          <w:szCs w:val="20"/>
          <w:color w:val="auto"/>
        </w:rPr>
      </w:pPr>
      <w:r>
        <w:rPr>
          <w:rFonts w:ascii="Arial" w:cs="Arial" w:eastAsia="Arial" w:hAnsi="Arial"/>
          <w:sz w:val="16"/>
          <w:szCs w:val="16"/>
          <w:b w:val="1"/>
          <w:bCs w:val="1"/>
          <w:color w:val="auto"/>
        </w:rPr>
        <w:t>Exhibit 10.2</w:t>
      </w:r>
    </w:p>
    <w:p>
      <w:pPr>
        <w:spacing w:after="0" w:line="164" w:lineRule="exact"/>
        <w:rPr>
          <w:sz w:val="20"/>
          <w:szCs w:val="20"/>
          <w:color w:val="auto"/>
        </w:rPr>
      </w:pPr>
    </w:p>
    <w:p>
      <w:pPr>
        <w:jc w:val="both"/>
        <w:ind w:right="120"/>
        <w:spacing w:after="0" w:line="238" w:lineRule="auto"/>
        <w:rPr>
          <w:sz w:val="20"/>
          <w:szCs w:val="20"/>
          <w:color w:val="auto"/>
        </w:rPr>
      </w:pPr>
      <w:r>
        <w:rPr>
          <w:rFonts w:ascii="Arial" w:cs="Arial" w:eastAsia="Arial" w:hAnsi="Arial"/>
          <w:sz w:val="22"/>
          <w:szCs w:val="22"/>
          <w:color w:val="auto"/>
        </w:rPr>
        <w:t>provided to the Executive hereunder shall be subject to any clawback or recoupment policy that may be maintained by the Company from time to time, and the requirements of any law or regulation applicable to the Company and governing the clawback or recoupment of executive compensation, or as set forth in any final non-appealable order by any court of competent jurisdiction or arbitrator.</w:t>
      </w:r>
    </w:p>
    <w:p>
      <w:pPr>
        <w:spacing w:after="0" w:line="212" w:lineRule="exact"/>
        <w:rPr>
          <w:sz w:val="20"/>
          <w:szCs w:val="20"/>
          <w:color w:val="auto"/>
        </w:rPr>
      </w:pPr>
    </w:p>
    <w:p>
      <w:pPr>
        <w:jc w:val="both"/>
        <w:ind w:right="120" w:firstLine="749"/>
        <w:spacing w:after="0" w:line="238" w:lineRule="auto"/>
        <w:rPr>
          <w:sz w:val="20"/>
          <w:szCs w:val="20"/>
          <w:color w:val="auto"/>
        </w:rPr>
      </w:pPr>
      <w:r>
        <w:rPr>
          <w:rFonts w:ascii="Arial" w:cs="Arial" w:eastAsia="Arial" w:hAnsi="Arial"/>
          <w:sz w:val="22"/>
          <w:szCs w:val="22"/>
          <w:color w:val="auto"/>
        </w:rPr>
        <w:t>10.</w:t>
      </w:r>
      <w:r>
        <w:rPr>
          <w:rFonts w:ascii="Arial" w:cs="Arial" w:eastAsia="Arial" w:hAnsi="Arial"/>
          <w:sz w:val="22"/>
          <w:szCs w:val="22"/>
          <w:i w:val="1"/>
          <w:iCs w:val="1"/>
          <w:color w:val="auto"/>
        </w:rPr>
        <w:t>Absence of Restrictions</w:t>
      </w:r>
      <w:r>
        <w:rPr>
          <w:rFonts w:ascii="Arial" w:cs="Arial" w:eastAsia="Arial" w:hAnsi="Arial"/>
          <w:sz w:val="22"/>
          <w:szCs w:val="22"/>
          <w:color w:val="auto"/>
        </w:rPr>
        <w:t>. The Executive represents and warrants that the Executive is not bound by any employment 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225" w:lineRule="exact"/>
        <w:rPr>
          <w:sz w:val="20"/>
          <w:szCs w:val="20"/>
          <w:color w:val="auto"/>
        </w:rPr>
      </w:pPr>
    </w:p>
    <w:p>
      <w:pPr>
        <w:jc w:val="both"/>
        <w:ind w:right="120" w:firstLine="749"/>
        <w:spacing w:after="0" w:line="238" w:lineRule="auto"/>
        <w:rPr>
          <w:sz w:val="20"/>
          <w:szCs w:val="20"/>
          <w:color w:val="auto"/>
        </w:rPr>
      </w:pPr>
      <w:r>
        <w:rPr>
          <w:rFonts w:ascii="Arial" w:cs="Arial" w:eastAsia="Arial" w:hAnsi="Arial"/>
          <w:sz w:val="22"/>
          <w:szCs w:val="22"/>
          <w:color w:val="auto"/>
        </w:rPr>
        <w:t>11.</w:t>
      </w:r>
      <w:r>
        <w:rPr>
          <w:rFonts w:ascii="Arial" w:cs="Arial" w:eastAsia="Arial" w:hAnsi="Arial"/>
          <w:sz w:val="22"/>
          <w:szCs w:val="22"/>
          <w:i w:val="1"/>
          <w:iCs w:val="1"/>
          <w:color w:val="auto"/>
        </w:rPr>
        <w:t>Notice</w:t>
      </w:r>
      <w:r>
        <w:rPr>
          <w:rFonts w:ascii="Arial" w:cs="Arial" w:eastAsia="Arial" w:hAnsi="Arial"/>
          <w:sz w:val="22"/>
          <w:szCs w:val="22"/>
          <w:color w:val="auto"/>
        </w:rPr>
        <w:t>. Any notice delivered under this Agreement shall be deemed duly delivered three (3) business days after it is 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To Executive:</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22"/>
          <w:szCs w:val="22"/>
          <w:color w:val="auto"/>
        </w:rPr>
        <w:t>At the address set forth in the Executive’s personnel file To Company:</w:t>
      </w:r>
    </w:p>
    <w:p>
      <w:pPr>
        <w:spacing w:after="0" w:line="8" w:lineRule="exact"/>
        <w:rPr>
          <w:sz w:val="20"/>
          <w:szCs w:val="20"/>
          <w:color w:val="auto"/>
        </w:rPr>
      </w:pPr>
    </w:p>
    <w:p>
      <w:pPr>
        <w:ind w:left="740"/>
        <w:spacing w:after="0"/>
        <w:rPr>
          <w:sz w:val="20"/>
          <w:szCs w:val="20"/>
          <w:color w:val="auto"/>
        </w:rPr>
      </w:pPr>
      <w:r>
        <w:rPr>
          <w:rFonts w:ascii="Arial" w:cs="Arial" w:eastAsia="Arial" w:hAnsi="Arial"/>
          <w:sz w:val="22"/>
          <w:szCs w:val="22"/>
          <w:color w:val="auto"/>
        </w:rPr>
        <w:t>Fulcrum Therapeutics, Inc.</w:t>
      </w:r>
    </w:p>
    <w:p>
      <w:pPr>
        <w:ind w:left="740"/>
        <w:spacing w:after="0"/>
        <w:rPr>
          <w:sz w:val="20"/>
          <w:szCs w:val="20"/>
          <w:color w:val="auto"/>
        </w:rPr>
      </w:pPr>
      <w:r>
        <w:rPr>
          <w:rFonts w:ascii="Arial" w:cs="Arial" w:eastAsia="Arial" w:hAnsi="Arial"/>
          <w:sz w:val="22"/>
          <w:szCs w:val="22"/>
          <w:color w:val="auto"/>
        </w:rPr>
        <w:t>26 Landsdowne Street,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Cambridge, MA 02139</w:t>
      </w:r>
    </w:p>
    <w:p>
      <w:pPr>
        <w:spacing w:after="0" w:line="164" w:lineRule="exact"/>
        <w:rPr>
          <w:sz w:val="20"/>
          <w:szCs w:val="20"/>
          <w:color w:val="auto"/>
        </w:rPr>
      </w:pPr>
    </w:p>
    <w:p>
      <w:pPr>
        <w:ind w:right="220" w:firstLine="747"/>
        <w:spacing w:after="0" w:line="250" w:lineRule="auto"/>
        <w:rPr>
          <w:sz w:val="20"/>
          <w:szCs w:val="20"/>
          <w:color w:val="auto"/>
        </w:rPr>
      </w:pPr>
      <w:r>
        <w:rPr>
          <w:rFonts w:ascii="Arial" w:cs="Arial" w:eastAsia="Arial" w:hAnsi="Arial"/>
          <w:sz w:val="22"/>
          <w:szCs w:val="22"/>
          <w:color w:val="auto"/>
        </w:rPr>
        <w:t>Either Party may change the address to which notices are to be delivered by giving notice of such change to the other Party in the manner set forth in this Section 11.</w:t>
      </w:r>
    </w:p>
    <w:p>
      <w:pPr>
        <w:spacing w:after="0" w:line="202" w:lineRule="exact"/>
        <w:rPr>
          <w:sz w:val="20"/>
          <w:szCs w:val="20"/>
          <w:color w:val="auto"/>
        </w:rPr>
      </w:pPr>
    </w:p>
    <w:p>
      <w:pPr>
        <w:jc w:val="both"/>
        <w:ind w:right="120" w:firstLine="749"/>
        <w:spacing w:after="0" w:line="234" w:lineRule="auto"/>
        <w:rPr>
          <w:sz w:val="20"/>
          <w:szCs w:val="20"/>
          <w:color w:val="auto"/>
        </w:rPr>
      </w:pPr>
      <w:r>
        <w:rPr>
          <w:rFonts w:ascii="Arial" w:cs="Arial" w:eastAsia="Arial" w:hAnsi="Arial"/>
          <w:sz w:val="22"/>
          <w:szCs w:val="22"/>
          <w:color w:val="auto"/>
        </w:rPr>
        <w:t>12.</w:t>
      </w:r>
      <w:r>
        <w:rPr>
          <w:rFonts w:ascii="Arial" w:cs="Arial" w:eastAsia="Arial" w:hAnsi="Arial"/>
          <w:sz w:val="22"/>
          <w:szCs w:val="22"/>
          <w:i w:val="1"/>
          <w:iCs w:val="1"/>
          <w:color w:val="auto"/>
        </w:rPr>
        <w:t>Applicable Law; Jury Trial Waiver</w:t>
      </w:r>
      <w:r>
        <w:rPr>
          <w:rFonts w:ascii="Arial" w:cs="Arial" w:eastAsia="Arial" w:hAnsi="Arial"/>
          <w:sz w:val="22"/>
          <w:szCs w:val="22"/>
          <w:color w:val="auto"/>
        </w:rPr>
        <w:t>. This Agreement shall be governed by and construed in accordance with the laws of 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231" w:lineRule="exact"/>
        <w:rPr>
          <w:sz w:val="20"/>
          <w:szCs w:val="20"/>
          <w:color w:val="auto"/>
        </w:rPr>
      </w:pPr>
    </w:p>
    <w:p>
      <w:pPr>
        <w:jc w:val="both"/>
        <w:ind w:right="120" w:firstLine="749"/>
        <w:spacing w:after="0" w:line="236" w:lineRule="auto"/>
        <w:rPr>
          <w:sz w:val="20"/>
          <w:szCs w:val="20"/>
          <w:color w:val="auto"/>
        </w:rPr>
      </w:pPr>
      <w:r>
        <w:rPr>
          <w:rFonts w:ascii="Arial" w:cs="Arial" w:eastAsia="Arial" w:hAnsi="Arial"/>
          <w:sz w:val="22"/>
          <w:szCs w:val="22"/>
          <w:color w:val="auto"/>
        </w:rPr>
        <w:t>13.</w:t>
      </w:r>
      <w:r>
        <w:rPr>
          <w:rFonts w:ascii="Arial" w:cs="Arial" w:eastAsia="Arial" w:hAnsi="Arial"/>
          <w:sz w:val="22"/>
          <w:szCs w:val="22"/>
          <w:i w:val="1"/>
          <w:iCs w:val="1"/>
          <w:color w:val="auto"/>
        </w:rPr>
        <w:t>Successors and Assigns</w:t>
      </w:r>
      <w:r>
        <w:rPr>
          <w:rFonts w:ascii="Arial" w:cs="Arial" w:eastAsia="Arial" w:hAnsi="Arial"/>
          <w:sz w:val="22"/>
          <w:szCs w:val="22"/>
          <w:color w:val="auto"/>
        </w:rPr>
        <w:t>. This Agreement shall be binding upon and inure to the benefit of both Parties and their respective successors and assigns, including any corporation with which or into which the Company may be merged or which may succeed to its assets or business (and, as used in this Agreement, “</w:t>
      </w:r>
      <w:r>
        <w:rPr>
          <w:rFonts w:ascii="Arial" w:cs="Arial" w:eastAsia="Arial" w:hAnsi="Arial"/>
          <w:sz w:val="22"/>
          <w:szCs w:val="22"/>
          <w:u w:val="single" w:color="auto"/>
          <w:color w:val="auto"/>
        </w:rPr>
        <w:t>Company</w:t>
      </w:r>
      <w:r>
        <w:rPr>
          <w:rFonts w:ascii="Arial" w:cs="Arial" w:eastAsia="Arial" w:hAnsi="Arial"/>
          <w:sz w:val="22"/>
          <w:szCs w:val="22"/>
          <w:color w:val="auto"/>
        </w:rPr>
        <w:t>” will mean the Company and any such successor corporation); provided, however, that the obligations of the Executive are personal and shall not be assigned by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188595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10.2</w:t>
      </w:r>
    </w:p>
    <w:p>
      <w:pPr>
        <w:spacing w:after="0" w:line="384" w:lineRule="exact"/>
        <w:rPr>
          <w:sz w:val="20"/>
          <w:szCs w:val="20"/>
          <w:color w:val="auto"/>
        </w:rPr>
      </w:pPr>
    </w:p>
    <w:p>
      <w:pPr>
        <w:jc w:val="both"/>
        <w:ind w:right="120" w:firstLine="749"/>
        <w:spacing w:after="0" w:line="328" w:lineRule="auto"/>
        <w:rPr>
          <w:sz w:val="20"/>
          <w:szCs w:val="20"/>
          <w:color w:val="auto"/>
        </w:rPr>
      </w:pPr>
      <w:r>
        <w:rPr>
          <w:rFonts w:ascii="Arial" w:cs="Arial" w:eastAsia="Arial" w:hAnsi="Arial"/>
          <w:sz w:val="19"/>
          <w:szCs w:val="19"/>
          <w:color w:val="auto"/>
        </w:rPr>
        <w:t>14.</w:t>
      </w:r>
      <w:r>
        <w:rPr>
          <w:rFonts w:ascii="Arial" w:cs="Arial" w:eastAsia="Arial" w:hAnsi="Arial"/>
          <w:sz w:val="19"/>
          <w:szCs w:val="19"/>
          <w:i w:val="1"/>
          <w:iCs w:val="1"/>
          <w:color w:val="auto"/>
        </w:rPr>
        <w:t>Survival</w:t>
      </w:r>
      <w:r>
        <w:rPr>
          <w:rFonts w:ascii="Arial" w:cs="Arial" w:eastAsia="Arial" w:hAnsi="Arial"/>
          <w:sz w:val="19"/>
          <w:szCs w:val="19"/>
          <w:color w:val="auto"/>
        </w:rPr>
        <w:t>. Sections 5 and 7 through 22 hereof will survive and continue in full force and effect in accordance with their respective terms notwithstanding any expiration or termination of the Term of Employment and/or this Agreement.</w:t>
      </w:r>
    </w:p>
    <w:p>
      <w:pPr>
        <w:spacing w:after="0" w:line="145" w:lineRule="exact"/>
        <w:rPr>
          <w:sz w:val="20"/>
          <w:szCs w:val="20"/>
          <w:color w:val="auto"/>
        </w:rPr>
      </w:pPr>
    </w:p>
    <w:p>
      <w:pPr>
        <w:jc w:val="both"/>
        <w:ind w:right="120" w:firstLine="749"/>
        <w:spacing w:after="0" w:line="236" w:lineRule="auto"/>
        <w:rPr>
          <w:sz w:val="20"/>
          <w:szCs w:val="20"/>
          <w:color w:val="auto"/>
        </w:rPr>
      </w:pPr>
      <w:r>
        <w:rPr>
          <w:rFonts w:ascii="Arial" w:cs="Arial" w:eastAsia="Arial" w:hAnsi="Arial"/>
          <w:sz w:val="22"/>
          <w:szCs w:val="22"/>
          <w:color w:val="auto"/>
        </w:rPr>
        <w:t>15.</w:t>
      </w:r>
      <w:r>
        <w:rPr>
          <w:rFonts w:ascii="Arial" w:cs="Arial" w:eastAsia="Arial" w:hAnsi="Arial"/>
          <w:sz w:val="22"/>
          <w:szCs w:val="22"/>
          <w:i w:val="1"/>
          <w:iCs w:val="1"/>
          <w:color w:val="auto"/>
        </w:rPr>
        <w:t>Pre-Employment Checks</w:t>
      </w:r>
      <w:r>
        <w:rPr>
          <w:rFonts w:ascii="Arial" w:cs="Arial" w:eastAsia="Arial" w:hAnsi="Arial"/>
          <w:sz w:val="22"/>
          <w:szCs w:val="22"/>
          <w:color w:val="auto"/>
        </w:rPr>
        <w:t>. The Executive acknowledges and agrees that the Executive’s employment, and this Agreement, are contingent upon satisfactory completion prior to the Start Date of pre-employment screening activities, including favorable reference checks of former employment, verification of the Executive’s ability to work in the United States, and educational background and criminal history checks. The Executive agrees to assist the Company as needed to facilitate the timely completion of such checks.</w:t>
      </w:r>
    </w:p>
    <w:p>
      <w:pPr>
        <w:spacing w:after="0" w:line="228" w:lineRule="exact"/>
        <w:rPr>
          <w:sz w:val="20"/>
          <w:szCs w:val="20"/>
          <w:color w:val="auto"/>
        </w:rPr>
      </w:pPr>
    </w:p>
    <w:p>
      <w:pPr>
        <w:jc w:val="both"/>
        <w:ind w:right="120" w:firstLine="749"/>
        <w:spacing w:after="0" w:line="252" w:lineRule="auto"/>
        <w:rPr>
          <w:sz w:val="20"/>
          <w:szCs w:val="20"/>
          <w:color w:val="auto"/>
        </w:rPr>
      </w:pPr>
      <w:r>
        <w:rPr>
          <w:rFonts w:ascii="Arial" w:cs="Arial" w:eastAsia="Arial" w:hAnsi="Arial"/>
          <w:sz w:val="21"/>
          <w:szCs w:val="21"/>
          <w:color w:val="auto"/>
        </w:rPr>
        <w:t>16.</w:t>
      </w:r>
      <w:r>
        <w:rPr>
          <w:rFonts w:ascii="Arial" w:cs="Arial" w:eastAsia="Arial" w:hAnsi="Arial"/>
          <w:sz w:val="21"/>
          <w:szCs w:val="21"/>
          <w:i w:val="1"/>
          <w:iCs w:val="1"/>
          <w:color w:val="auto"/>
        </w:rPr>
        <w:t>Acknowledgment</w:t>
      </w:r>
      <w:r>
        <w:rPr>
          <w:rFonts w:ascii="Arial" w:cs="Arial" w:eastAsia="Arial" w:hAnsi="Arial"/>
          <w:sz w:val="21"/>
          <w:szCs w:val="21"/>
          <w:color w:val="auto"/>
        </w:rPr>
        <w:t>. The Executive states and represents that the Executive has had an opportunity to fully discuss and 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201" w:lineRule="exact"/>
        <w:rPr>
          <w:sz w:val="20"/>
          <w:szCs w:val="20"/>
          <w:color w:val="auto"/>
        </w:rPr>
      </w:pPr>
    </w:p>
    <w:p>
      <w:pPr>
        <w:jc w:val="both"/>
        <w:ind w:right="120" w:firstLine="749"/>
        <w:spacing w:after="0" w:line="236" w:lineRule="auto"/>
        <w:rPr>
          <w:sz w:val="20"/>
          <w:szCs w:val="20"/>
          <w:color w:val="auto"/>
        </w:rPr>
      </w:pPr>
      <w:r>
        <w:rPr>
          <w:rFonts w:ascii="Arial" w:cs="Arial" w:eastAsia="Arial" w:hAnsi="Arial"/>
          <w:sz w:val="22"/>
          <w:szCs w:val="22"/>
          <w:color w:val="auto"/>
        </w:rPr>
        <w:t>17.</w:t>
      </w:r>
      <w:r>
        <w:rPr>
          <w:rFonts w:ascii="Arial" w:cs="Arial" w:eastAsia="Arial" w:hAnsi="Arial"/>
          <w:sz w:val="22"/>
          <w:szCs w:val="22"/>
          <w:i w:val="1"/>
          <w:iCs w:val="1"/>
          <w:color w:val="auto"/>
        </w:rPr>
        <w:t>No Oral Modification, Waiver, Cancellation or Discharge</w:t>
      </w:r>
      <w:r>
        <w:rPr>
          <w:rFonts w:ascii="Arial" w:cs="Arial" w:eastAsia="Arial" w:hAnsi="Arial"/>
          <w:sz w:val="22"/>
          <w:szCs w:val="22"/>
          <w:color w:val="auto"/>
        </w:rPr>
        <w:t>. This Agreement may be amended or modified only by a written 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228" w:lineRule="exact"/>
        <w:rPr>
          <w:sz w:val="20"/>
          <w:szCs w:val="20"/>
          <w:color w:val="auto"/>
        </w:rPr>
      </w:pPr>
    </w:p>
    <w:p>
      <w:pPr>
        <w:jc w:val="both"/>
        <w:ind w:right="120" w:firstLine="749"/>
        <w:spacing w:after="0" w:line="252" w:lineRule="auto"/>
        <w:rPr>
          <w:sz w:val="20"/>
          <w:szCs w:val="20"/>
          <w:color w:val="auto"/>
        </w:rPr>
      </w:pPr>
      <w:r>
        <w:rPr>
          <w:rFonts w:ascii="Arial" w:cs="Arial" w:eastAsia="Arial" w:hAnsi="Arial"/>
          <w:sz w:val="21"/>
          <w:szCs w:val="21"/>
          <w:color w:val="auto"/>
        </w:rPr>
        <w:t>18.</w:t>
      </w:r>
      <w:r>
        <w:rPr>
          <w:rFonts w:ascii="Arial" w:cs="Arial" w:eastAsia="Arial" w:hAnsi="Arial"/>
          <w:sz w:val="21"/>
          <w:szCs w:val="21"/>
          <w:i w:val="1"/>
          <w:iCs w:val="1"/>
          <w:color w:val="auto"/>
        </w:rPr>
        <w:t>Captions and Pronouns</w:t>
      </w:r>
      <w:r>
        <w:rPr>
          <w:rFonts w:ascii="Arial" w:cs="Arial" w:eastAsia="Arial" w:hAnsi="Arial"/>
          <w:sz w:val="21"/>
          <w:szCs w:val="21"/>
          <w:color w:val="auto"/>
        </w:rPr>
        <w:t>. The captions of the sections of this Agreement are for convenience of reference only and in no 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214" w:lineRule="exact"/>
        <w:rPr>
          <w:sz w:val="20"/>
          <w:szCs w:val="20"/>
          <w:color w:val="auto"/>
        </w:rPr>
      </w:pPr>
    </w:p>
    <w:p>
      <w:pPr>
        <w:jc w:val="both"/>
        <w:ind w:right="140" w:firstLine="749"/>
        <w:spacing w:after="0" w:line="238" w:lineRule="auto"/>
        <w:rPr>
          <w:sz w:val="20"/>
          <w:szCs w:val="20"/>
          <w:color w:val="auto"/>
        </w:rPr>
      </w:pPr>
      <w:r>
        <w:rPr>
          <w:rFonts w:ascii="Arial" w:cs="Arial" w:eastAsia="Arial" w:hAnsi="Arial"/>
          <w:sz w:val="22"/>
          <w:szCs w:val="22"/>
          <w:color w:val="auto"/>
        </w:rPr>
        <w:t>19.</w:t>
      </w:r>
      <w:r>
        <w:rPr>
          <w:rFonts w:ascii="Arial" w:cs="Arial" w:eastAsia="Arial" w:hAnsi="Arial"/>
          <w:sz w:val="22"/>
          <w:szCs w:val="22"/>
          <w:i w:val="1"/>
          <w:iCs w:val="1"/>
          <w:color w:val="auto"/>
        </w:rPr>
        <w:t>Interpretation</w:t>
      </w:r>
      <w:r>
        <w:rPr>
          <w:rFonts w:ascii="Arial" w:cs="Arial" w:eastAsia="Arial" w:hAnsi="Arial"/>
          <w:sz w:val="22"/>
          <w:szCs w:val="22"/>
          <w:color w:val="auto"/>
        </w:rPr>
        <w:t>. The Parties agree that this Agreement will be construed without regard to any presumption or rule 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225" w:lineRule="exact"/>
        <w:rPr>
          <w:sz w:val="20"/>
          <w:szCs w:val="20"/>
          <w:color w:val="auto"/>
        </w:rPr>
      </w:pPr>
    </w:p>
    <w:p>
      <w:pPr>
        <w:jc w:val="both"/>
        <w:ind w:right="120" w:firstLine="749"/>
        <w:spacing w:after="0" w:line="277" w:lineRule="auto"/>
        <w:rPr>
          <w:sz w:val="20"/>
          <w:szCs w:val="20"/>
          <w:color w:val="auto"/>
        </w:rPr>
      </w:pPr>
      <w:r>
        <w:rPr>
          <w:rFonts w:ascii="Arial" w:cs="Arial" w:eastAsia="Arial" w:hAnsi="Arial"/>
          <w:sz w:val="19"/>
          <w:szCs w:val="19"/>
          <w:color w:val="auto"/>
        </w:rPr>
        <w:t>20.</w:t>
      </w:r>
      <w:r>
        <w:rPr>
          <w:rFonts w:ascii="Arial" w:cs="Arial" w:eastAsia="Arial" w:hAnsi="Arial"/>
          <w:sz w:val="19"/>
          <w:szCs w:val="19"/>
          <w:i w:val="1"/>
          <w:iCs w:val="1"/>
          <w:color w:val="auto"/>
        </w:rPr>
        <w:t>Severability</w:t>
      </w:r>
      <w:r>
        <w:rPr>
          <w:rFonts w:ascii="Arial" w:cs="Arial" w:eastAsia="Arial" w:hAnsi="Arial"/>
          <w:sz w:val="19"/>
          <w:szCs w:val="19"/>
          <w:color w:val="auto"/>
        </w:rPr>
        <w:t>. Each provision of this Agreement must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165735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10.2</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the Parties.</w:t>
      </w:r>
    </w:p>
    <w:p>
      <w:pPr>
        <w:spacing w:after="0" w:line="368" w:lineRule="exact"/>
        <w:rPr>
          <w:sz w:val="20"/>
          <w:szCs w:val="20"/>
          <w:color w:val="auto"/>
        </w:rPr>
      </w:pPr>
    </w:p>
    <w:p>
      <w:pPr>
        <w:jc w:val="both"/>
        <w:ind w:right="140" w:firstLine="749"/>
        <w:spacing w:after="0" w:line="257" w:lineRule="auto"/>
        <w:rPr>
          <w:sz w:val="20"/>
          <w:szCs w:val="20"/>
          <w:color w:val="auto"/>
        </w:rPr>
      </w:pPr>
      <w:r>
        <w:rPr>
          <w:rFonts w:ascii="Arial" w:cs="Arial" w:eastAsia="Arial" w:hAnsi="Arial"/>
          <w:sz w:val="21"/>
          <w:szCs w:val="21"/>
          <w:color w:val="auto"/>
        </w:rPr>
        <w:t>21.</w:t>
      </w:r>
      <w:r>
        <w:rPr>
          <w:rFonts w:ascii="Arial" w:cs="Arial" w:eastAsia="Arial" w:hAnsi="Arial"/>
          <w:sz w:val="21"/>
          <w:szCs w:val="21"/>
          <w:i w:val="1"/>
          <w:iCs w:val="1"/>
          <w:color w:val="auto"/>
        </w:rPr>
        <w:t>Counterparts</w:t>
      </w:r>
      <w:r>
        <w:rPr>
          <w:rFonts w:ascii="Arial" w:cs="Arial" w:eastAsia="Arial" w:hAnsi="Arial"/>
          <w:sz w:val="21"/>
          <w:szCs w:val="21"/>
          <w:color w:val="auto"/>
        </w:rPr>
        <w:t>. This Agreement may be executed in several counterparts, each of which will be deemed to be an original but all of which together will constitute one and the same instrument. Facsimile, PDF, and electronic counterpart signatures to and versions of this Agreement will be acceptable and binding on the Parties.</w:t>
      </w:r>
    </w:p>
    <w:p>
      <w:pPr>
        <w:spacing w:after="0" w:line="210" w:lineRule="exact"/>
        <w:rPr>
          <w:sz w:val="20"/>
          <w:szCs w:val="20"/>
          <w:color w:val="auto"/>
        </w:rPr>
      </w:pPr>
    </w:p>
    <w:p>
      <w:pPr>
        <w:jc w:val="both"/>
        <w:ind w:right="120" w:firstLine="749"/>
        <w:spacing w:after="0"/>
        <w:rPr>
          <w:sz w:val="20"/>
          <w:szCs w:val="20"/>
          <w:color w:val="auto"/>
        </w:rPr>
      </w:pPr>
      <w:r>
        <w:rPr>
          <w:rFonts w:ascii="Arial" w:cs="Arial" w:eastAsia="Arial" w:hAnsi="Arial"/>
          <w:sz w:val="22"/>
          <w:szCs w:val="22"/>
          <w:color w:val="auto"/>
        </w:rPr>
        <w:t>22.</w:t>
      </w: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including the agreements and arrangements referenced herein, constitutes the entire agreement between the Parties and supersedes all prior agreements and understandings, whether written or oral, relating to the subject matter of this Agreement.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[Signatures on Page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200025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10.2</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executed this Agreement as of the day and year set forth above.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160" w:type="dxa"/>
            <w:vAlign w:val="bottom"/>
          </w:tcPr>
          <w:p>
            <w:pPr>
              <w:ind w:left="140"/>
              <w:spacing w:after="0"/>
              <w:rPr>
                <w:sz w:val="20"/>
                <w:szCs w:val="20"/>
                <w:color w:val="auto"/>
              </w:rPr>
            </w:pPr>
            <w:r>
              <w:rPr>
                <w:rFonts w:ascii="Arial" w:cs="Arial" w:eastAsia="Arial" w:hAnsi="Arial"/>
                <w:sz w:val="22"/>
                <w:szCs w:val="22"/>
                <w:color w:val="auto"/>
              </w:rPr>
              <w:t>By:</w:t>
            </w:r>
          </w:p>
        </w:tc>
        <w:tc>
          <w:tcPr>
            <w:tcW w:w="80" w:type="dxa"/>
            <w:vAlign w:val="bottom"/>
          </w:tcPr>
          <w:p>
            <w:pPr>
              <w:spacing w:after="0"/>
              <w:rPr>
                <w:sz w:val="24"/>
                <w:szCs w:val="24"/>
                <w:color w:val="auto"/>
              </w:rPr>
            </w:pP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Kim Hazen</w:t>
            </w:r>
          </w:p>
        </w:tc>
        <w:tc>
          <w:tcPr>
            <w:tcW w:w="6180" w:type="dxa"/>
            <w:vAlign w:val="bottom"/>
          </w:tcPr>
          <w:p>
            <w:pPr>
              <w:spacing w:after="0"/>
              <w:rPr>
                <w:sz w:val="24"/>
                <w:szCs w:val="24"/>
                <w:color w:val="auto"/>
              </w:rPr>
            </w:pPr>
          </w:p>
        </w:tc>
      </w:tr>
      <w:tr>
        <w:trPr>
          <w:trHeight w:val="385"/>
        </w:trPr>
        <w:tc>
          <w:tcPr>
            <w:tcW w:w="1160" w:type="dxa"/>
            <w:vAlign w:val="bottom"/>
          </w:tcPr>
          <w:p>
            <w:pPr>
              <w:ind w:left="140"/>
              <w:spacing w:after="0"/>
              <w:rPr>
                <w:sz w:val="20"/>
                <w:szCs w:val="20"/>
                <w:color w:val="auto"/>
              </w:rPr>
            </w:pPr>
            <w:r>
              <w:rPr>
                <w:rFonts w:ascii="Arial" w:cs="Arial" w:eastAsia="Arial" w:hAnsi="Arial"/>
                <w:sz w:val="22"/>
                <w:szCs w:val="22"/>
                <w:color w:val="auto"/>
              </w:rPr>
              <w:t>Name:</w:t>
            </w:r>
          </w:p>
        </w:tc>
        <w:tc>
          <w:tcPr>
            <w:tcW w:w="80" w:type="dxa"/>
            <w:vAlign w:val="bottom"/>
          </w:tcPr>
          <w:p>
            <w:pPr>
              <w:spacing w:after="0"/>
              <w:rPr>
                <w:sz w:val="24"/>
                <w:szCs w:val="24"/>
                <w:color w:val="auto"/>
              </w:rPr>
            </w:pP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Kim Hazen</w:t>
            </w:r>
          </w:p>
        </w:tc>
        <w:tc>
          <w:tcPr>
            <w:tcW w:w="6180" w:type="dxa"/>
            <w:vAlign w:val="bottom"/>
          </w:tcPr>
          <w:p>
            <w:pPr>
              <w:spacing w:after="0"/>
              <w:rPr>
                <w:sz w:val="24"/>
                <w:szCs w:val="24"/>
                <w:color w:val="auto"/>
              </w:rPr>
            </w:pPr>
          </w:p>
        </w:tc>
      </w:tr>
      <w:tr>
        <w:trPr>
          <w:trHeight w:val="385"/>
        </w:trPr>
        <w:tc>
          <w:tcPr>
            <w:tcW w:w="1160" w:type="dxa"/>
            <w:vAlign w:val="bottom"/>
          </w:tcPr>
          <w:p>
            <w:pPr>
              <w:ind w:left="140"/>
              <w:spacing w:after="0"/>
              <w:rPr>
                <w:sz w:val="20"/>
                <w:szCs w:val="20"/>
                <w:color w:val="auto"/>
              </w:rPr>
            </w:pPr>
            <w:r>
              <w:rPr>
                <w:rFonts w:ascii="Arial" w:cs="Arial" w:eastAsia="Arial" w:hAnsi="Arial"/>
                <w:sz w:val="22"/>
                <w:szCs w:val="22"/>
                <w:color w:val="auto"/>
              </w:rPr>
              <w:t>Title:</w:t>
            </w:r>
          </w:p>
        </w:tc>
        <w:tc>
          <w:tcPr>
            <w:tcW w:w="80" w:type="dxa"/>
            <w:vAlign w:val="bottom"/>
          </w:tcPr>
          <w:p>
            <w:pPr>
              <w:spacing w:after="0"/>
              <w:rPr>
                <w:sz w:val="24"/>
                <w:szCs w:val="24"/>
                <w:color w:val="auto"/>
              </w:rPr>
            </w:pP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Chief People Officer</w:t>
            </w:r>
          </w:p>
        </w:tc>
        <w:tc>
          <w:tcPr>
            <w:tcW w:w="6180" w:type="dxa"/>
            <w:vAlign w:val="bottom"/>
          </w:tcPr>
          <w:p>
            <w:pPr>
              <w:spacing w:after="0"/>
              <w:rPr>
                <w:sz w:val="24"/>
                <w:szCs w:val="24"/>
                <w:color w:val="auto"/>
              </w:rPr>
            </w:pPr>
          </w:p>
        </w:tc>
      </w:tr>
      <w:tr>
        <w:trPr>
          <w:trHeight w:val="842"/>
        </w:trPr>
        <w:tc>
          <w:tcPr>
            <w:tcW w:w="5060" w:type="dxa"/>
            <w:vAlign w:val="bottom"/>
            <w:gridSpan w:val="3"/>
          </w:tcPr>
          <w:p>
            <w:pPr>
              <w:spacing w:after="0"/>
              <w:rPr>
                <w:sz w:val="20"/>
                <w:szCs w:val="20"/>
                <w:color w:val="auto"/>
              </w:rPr>
            </w:pPr>
            <w:r>
              <w:rPr>
                <w:rFonts w:ascii="Arial" w:cs="Arial" w:eastAsia="Arial" w:hAnsi="Arial"/>
                <w:sz w:val="22"/>
                <w:szCs w:val="22"/>
                <w:color w:val="auto"/>
              </w:rPr>
              <w:t>EXECUTIVE:</w:t>
            </w:r>
          </w:p>
        </w:tc>
        <w:tc>
          <w:tcPr>
            <w:tcW w:w="6180" w:type="dxa"/>
            <w:vAlign w:val="bottom"/>
          </w:tcPr>
          <w:p>
            <w:pPr>
              <w:spacing w:after="0"/>
              <w:rPr>
                <w:sz w:val="24"/>
                <w:szCs w:val="24"/>
                <w:color w:val="auto"/>
              </w:rPr>
            </w:pPr>
          </w:p>
        </w:tc>
      </w:tr>
      <w:tr>
        <w:trPr>
          <w:trHeight w:val="474"/>
        </w:trPr>
        <w:tc>
          <w:tcPr>
            <w:tcW w:w="1160" w:type="dxa"/>
            <w:vAlign w:val="bottom"/>
          </w:tcPr>
          <w:p>
            <w:pPr>
              <w:ind w:left="20"/>
              <w:spacing w:after="0"/>
              <w:rPr>
                <w:sz w:val="20"/>
                <w:szCs w:val="20"/>
                <w:color w:val="auto"/>
              </w:rPr>
            </w:pPr>
            <w:r>
              <w:rPr>
                <w:rFonts w:ascii="Arial" w:cs="Arial" w:eastAsia="Arial" w:hAnsi="Arial"/>
                <w:sz w:val="22"/>
                <w:szCs w:val="22"/>
                <w:color w:val="auto"/>
              </w:rPr>
              <w:t>By:</w:t>
            </w: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Alan Musso</w:t>
            </w:r>
          </w:p>
        </w:tc>
        <w:tc>
          <w:tcPr>
            <w:tcW w:w="6180" w:type="dxa"/>
            <w:vAlign w:val="bottom"/>
          </w:tcPr>
          <w:p>
            <w:pPr>
              <w:spacing w:after="0"/>
              <w:rPr>
                <w:sz w:val="24"/>
                <w:szCs w:val="24"/>
                <w:color w:val="auto"/>
              </w:rPr>
            </w:pPr>
          </w:p>
        </w:tc>
      </w:tr>
      <w:tr>
        <w:trPr>
          <w:trHeight w:val="385"/>
        </w:trPr>
        <w:tc>
          <w:tcPr>
            <w:tcW w:w="1160" w:type="dxa"/>
            <w:vAlign w:val="bottom"/>
          </w:tcPr>
          <w:p>
            <w:pPr>
              <w:ind w:left="20"/>
              <w:spacing w:after="0"/>
              <w:rPr>
                <w:sz w:val="20"/>
                <w:szCs w:val="20"/>
                <w:color w:val="auto"/>
              </w:rPr>
            </w:pPr>
            <w:r>
              <w:rPr>
                <w:rFonts w:ascii="Arial" w:cs="Arial" w:eastAsia="Arial" w:hAnsi="Arial"/>
                <w:sz w:val="22"/>
                <w:szCs w:val="22"/>
                <w:color w:val="auto"/>
              </w:rPr>
              <w:t>Name:</w:t>
            </w: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Alan Musso</w:t>
            </w:r>
          </w:p>
        </w:tc>
        <w:tc>
          <w:tcPr>
            <w:tcW w:w="6180" w:type="dxa"/>
            <w:vAlign w:val="bottom"/>
          </w:tcPr>
          <w:p>
            <w:pPr>
              <w:spacing w:after="0"/>
              <w:rPr>
                <w:sz w:val="24"/>
                <w:szCs w:val="24"/>
                <w:color w:val="auto"/>
              </w:rPr>
            </w:pPr>
          </w:p>
        </w:tc>
      </w:tr>
      <w:tr>
        <w:trPr>
          <w:trHeight w:val="556"/>
        </w:trPr>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ind w:left="102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left="360" w:right="174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40" w:firstLine="517"/>
        <w:spacing w:after="0" w:line="342" w:lineRule="auto"/>
        <w:tabs>
          <w:tab w:leader="none" w:pos="689"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517"/>
        <w:spacing w:after="0" w:line="277" w:lineRule="auto"/>
        <w:tabs>
          <w:tab w:leader="none" w:pos="6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40" w:firstLine="517"/>
        <w:spacing w:after="0" w:line="263" w:lineRule="auto"/>
        <w:tabs>
          <w:tab w:leader="none" w:pos="68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80" w:firstLine="506"/>
        <w:spacing w:after="0" w:line="263" w:lineRule="auto"/>
        <w:tabs>
          <w:tab w:leader="none" w:pos="1274"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00" w:firstLine="506"/>
        <w:spacing w:after="0" w:line="263" w:lineRule="auto"/>
        <w:tabs>
          <w:tab w:leader="none" w:pos="1284"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20" w:firstLine="506"/>
        <w:spacing w:after="0" w:line="342" w:lineRule="auto"/>
        <w:tabs>
          <w:tab w:leader="none" w:pos="1274"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00" w:firstLine="506"/>
        <w:spacing w:after="0" w:line="263" w:lineRule="auto"/>
        <w:tabs>
          <w:tab w:leader="none" w:pos="1284"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0" w:firstLine="517"/>
        <w:spacing w:after="0" w:line="308" w:lineRule="auto"/>
        <w:tabs>
          <w:tab w:leader="none" w:pos="689"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40" w:firstLine="506"/>
        <w:spacing w:after="0" w:line="308" w:lineRule="auto"/>
        <w:tabs>
          <w:tab w:leader="none" w:pos="1274"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506"/>
        <w:spacing w:after="0" w:line="277" w:lineRule="auto"/>
        <w:tabs>
          <w:tab w:leader="none" w:pos="1284"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6300" w:val="left"/>
          <w:tab w:leader="none" w:pos="676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Alex C. Sapir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1" w:name="page142"/>
    <w:bookmarkEnd w:id="141"/>
    <w:p>
      <w:pPr>
        <w:ind w:left="102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left="360" w:right="174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40" w:firstLine="517"/>
        <w:spacing w:after="0" w:line="342" w:lineRule="auto"/>
        <w:tabs>
          <w:tab w:leader="none" w:pos="689"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517"/>
        <w:spacing w:after="0" w:line="277" w:lineRule="auto"/>
        <w:tabs>
          <w:tab w:leader="none" w:pos="689"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40" w:firstLine="517"/>
        <w:spacing w:after="0" w:line="263" w:lineRule="auto"/>
        <w:tabs>
          <w:tab w:leader="none" w:pos="68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80" w:firstLine="506"/>
        <w:spacing w:after="0" w:line="263" w:lineRule="auto"/>
        <w:tabs>
          <w:tab w:leader="none" w:pos="1274"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00" w:firstLine="506"/>
        <w:spacing w:after="0" w:line="263" w:lineRule="auto"/>
        <w:tabs>
          <w:tab w:leader="none" w:pos="1284"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20" w:firstLine="506"/>
        <w:spacing w:after="0" w:line="342" w:lineRule="auto"/>
        <w:tabs>
          <w:tab w:leader="none" w:pos="1274"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00" w:firstLine="506"/>
        <w:spacing w:after="0" w:line="263" w:lineRule="auto"/>
        <w:tabs>
          <w:tab w:leader="none" w:pos="1284"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517"/>
        <w:spacing w:after="0" w:line="308" w:lineRule="auto"/>
        <w:tabs>
          <w:tab w:leader="none" w:pos="68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440" w:firstLine="506"/>
        <w:spacing w:after="0" w:line="308" w:lineRule="auto"/>
        <w:tabs>
          <w:tab w:leader="none" w:pos="1274"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506"/>
        <w:spacing w:after="0" w:line="277" w:lineRule="auto"/>
        <w:tabs>
          <w:tab w:leader="none" w:pos="1284"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6300" w:val="left"/>
          <w:tab w:leader="none" w:pos="676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Alan Musso</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September 30, 2023,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3"/>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3"/>
        <w:spacing w:after="0"/>
        <w:tabs>
          <w:tab w:leader="none" w:pos="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tabs>
          <w:tab w:leader="none" w:pos="5560" w:val="left"/>
          <w:tab w:leader="none" w:pos="598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31750</wp:posOffset>
            </wp:positionV>
            <wp:extent cx="33343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Alex C. Sapir</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September 30, 2023,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3"/>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3"/>
        <w:spacing w:after="0"/>
        <w:tabs>
          <w:tab w:leader="none" w:pos="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tabs>
          <w:tab w:leader="none" w:pos="5640" w:val="left"/>
          <w:tab w:leader="none" w:pos="608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Alan Musso</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lowerRoman"/>
      <w:start w:val="1"/>
    </w:lvl>
  </w:abstractNum>
  <w:abstractNum w:abstractNumId="6">
    <w:nsid w:val="57E4CCAF"/>
    <w:multiLevelType w:val="hybridMultilevel"/>
    <w:lvl w:ilvl="0">
      <w:lvlJc w:val="left"/>
      <w:lvlText w:val="(%1)"/>
      <w:numFmt w:val="lowerRoman"/>
      <w:start w:val="3"/>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1)"/>
      <w:numFmt w:val="lowerRoman"/>
      <w:start w:val="2"/>
    </w:lvl>
  </w:abstractNum>
  <w:abstractNum w:abstractNumId="51">
    <w:nsid w:val="1381823A"/>
    <w:multiLevelType w:val="hybridMultilevel"/>
    <w:lvl w:ilvl="0">
      <w:lvlJc w:val="left"/>
      <w:lvlText w:val="(%1)"/>
      <w:numFmt w:val="lowerLetter"/>
      <w:start w:val="2"/>
    </w:lvl>
  </w:abstractNum>
  <w:abstractNum w:abstractNumId="52">
    <w:nsid w:val="5DB70AE5"/>
    <w:multiLevelType w:val="hybridMultilevel"/>
    <w:lvl w:ilvl="0">
      <w:lvlJc w:val="left"/>
      <w:lvlText w:val="(%1)"/>
      <w:numFmt w:val="lowerRoman"/>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1)"/>
      <w:numFmt w:val="lowerRoman"/>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1)"/>
      <w:numFmt w:val="lowerLetter"/>
      <w:start w:val="1"/>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2"/>
    </w:lvl>
  </w:abstractNum>
  <w:abstractNum w:abstractNumId="60">
    <w:nsid w:val="42C296BD"/>
    <w:multiLevelType w:val="hybridMultilevel"/>
    <w:lvl w:ilvl="0">
      <w:lvlJc w:val="left"/>
      <w:lvlText w:val="(%1)"/>
      <w:numFmt w:val="lowerLetter"/>
      <w:start w:val="4"/>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3"/>
    </w:lvl>
  </w:abstractNum>
  <w:abstractNum w:abstractNumId="63">
    <w:nsid w:val="661E3F1E"/>
    <w:multiLevelType w:val="hybridMultilevel"/>
    <w:lvl w:ilvl="0">
      <w:lvlJc w:val="left"/>
      <w:lvlText w:val="\emdash "/>
      <w:numFmt w:val="bullet"/>
      <w:start w:val="1"/>
    </w:lvl>
  </w:abstractNum>
  <w:abstractNum w:abstractNumId="64">
    <w:nsid w:val="5DC79EA8"/>
    <w:multiLevelType w:val="hybridMultilevel"/>
    <w:lvl w:ilvl="0">
      <w:lvlJc w:val="left"/>
      <w:lvlText w:val="(%1)"/>
      <w:numFmt w:val="lowerRoman"/>
      <w:start w:val="1"/>
    </w:lvl>
  </w:abstractNum>
  <w:abstractNum w:abstractNumId="65">
    <w:nsid w:val="540A471C"/>
    <w:multiLevelType w:val="hybridMultilevel"/>
    <w:lvl w:ilvl="0">
      <w:lvlJc w:val="left"/>
      <w:lvlText w:val="(%1)"/>
      <w:numFmt w:val="lowerRoman"/>
      <w:start w:val="4"/>
    </w:lvl>
  </w:abstractNum>
  <w:abstractNum w:abstractNumId="66">
    <w:nsid w:val="7BD3EE7B"/>
    <w:multiLevelType w:val="hybridMultilevel"/>
    <w:lvl w:ilvl="0">
      <w:lvlJc w:val="left"/>
      <w:lvlText w:val="%1"/>
      <w:numFmt w:val="lowerRoman"/>
      <w:start w:val="1"/>
    </w:lvl>
    <w:lvl w:ilvl="1">
      <w:lvlJc w:val="left"/>
      <w:lvlText w:val="(%2)"/>
      <w:numFmt w:val="lowerLetter"/>
      <w:start w:val="3"/>
    </w:lvl>
  </w:abstractNum>
  <w:abstractNum w:abstractNumId="67">
    <w:nsid w:val="51D9C564"/>
    <w:multiLevelType w:val="hybridMultilevel"/>
    <w:lvl w:ilvl="0">
      <w:lvlJc w:val="left"/>
      <w:lvlText w:val="(%1)"/>
      <w:numFmt w:val="lowerRoman"/>
      <w:start w:val="1"/>
    </w:lvl>
    <w:lvl w:ilvl="1">
      <w:lvlJc w:val="left"/>
      <w:lvlText w:val="%2"/>
      <w:numFmt w:val="lowerLetter"/>
      <w:start w:val="1"/>
    </w:lvl>
  </w:abstractNum>
  <w:abstractNum w:abstractNumId="68">
    <w:nsid w:val="613EFDC5"/>
    <w:multiLevelType w:val="hybridMultilevel"/>
    <w:lvl w:ilvl="0">
      <w:lvlJc w:val="left"/>
      <w:lvlText w:val="(%1)"/>
      <w:numFmt w:val="lowerRoman"/>
      <w:start w:val="4"/>
    </w:lvl>
  </w:abstractNum>
  <w:abstractNum w:abstractNumId="69">
    <w:nsid w:val="BF72B14"/>
    <w:multiLevelType w:val="hybridMultilevel"/>
    <w:lvl w:ilvl="0">
      <w:lvlJc w:val="left"/>
      <w:lvlText w:val="%1."/>
      <w:numFmt w:val="decimal"/>
      <w:start w:val="7"/>
    </w:lvl>
  </w:abstractNum>
  <w:abstractNum w:abstractNumId="70">
    <w:nsid w:val="11447B73"/>
    <w:multiLevelType w:val="hybridMultilevel"/>
    <w:lvl w:ilvl="0">
      <w:lvlJc w:val="left"/>
      <w:lvlText w:val="(%1)"/>
      <w:numFmt w:val="decimal"/>
      <w:start w:val="12"/>
    </w:lvl>
    <w:lvl w:ilvl="1">
      <w:lvlJc w:val="left"/>
      <w:lvlText w:val="%2"/>
      <w:numFmt w:val="decimal"/>
      <w:start w:val="1"/>
    </w:lvl>
  </w:abstractNum>
  <w:abstractNum w:abstractNumId="71">
    <w:nsid w:val="42963E5A"/>
    <w:multiLevelType w:val="hybridMultilevel"/>
    <w:lvl w:ilvl="0">
      <w:lvlJc w:val="left"/>
      <w:lvlText w:val="(%1)"/>
      <w:numFmt w:val="decimal"/>
      <w:start w:val="12"/>
    </w:lvl>
    <w:lvl w:ilvl="1">
      <w:lvlJc w:val="left"/>
      <w:lvlText w:val="%2"/>
      <w:numFmt w:val="decimal"/>
      <w:start w:val="1"/>
    </w:lvl>
  </w:abstractNum>
  <w:abstractNum w:abstractNumId="72">
    <w:nsid w:val="A0382C5"/>
    <w:multiLevelType w:val="hybridMultilevel"/>
    <w:lvl w:ilvl="0">
      <w:lvlJc w:val="left"/>
      <w:lvlText w:val="(%1)"/>
      <w:numFmt w:val="lowerRoman"/>
      <w:start w:val="2"/>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1."/>
      <w:numFmt w:val="decimal"/>
      <w:start w:val="8"/>
    </w:lvl>
  </w:abstractNum>
  <w:abstractNum w:abstractNumId="75">
    <w:nsid w:val="3B0FD379"/>
    <w:multiLevelType w:val="hybridMultilevel"/>
    <w:lvl w:ilvl="0">
      <w:lvlJc w:val="left"/>
      <w:lvlText w:val="(%1)"/>
      <w:numFmt w:val="lowerLetter"/>
      <w:start w:val="2"/>
    </w:lvl>
  </w:abstractNum>
  <w:abstractNum w:abstractNumId="76">
    <w:nsid w:val="68EB2F63"/>
    <w:multiLevelType w:val="hybridMultilevel"/>
    <w:lvl w:ilvl="0">
      <w:lvlJc w:val="left"/>
      <w:lvlText w:val="(%1)"/>
      <w:numFmt w:val="lowerRoman"/>
      <w:start w:val="1"/>
    </w:lvl>
  </w:abstractNum>
  <w:abstractNum w:abstractNumId="77">
    <w:nsid w:val="4962813B"/>
    <w:multiLevelType w:val="hybridMultilevel"/>
    <w:lvl w:ilvl="0">
      <w:lvlJc w:val="left"/>
      <w:lvlText w:val="(%1)"/>
      <w:numFmt w:val="lowerRoman"/>
      <w:start w:val="6"/>
    </w:lvl>
  </w:abstractNum>
  <w:abstractNum w:abstractNumId="78">
    <w:nsid w:val="60B6DF70"/>
    <w:multiLevelType w:val="hybridMultilevel"/>
    <w:lvl w:ilvl="0">
      <w:lvlJc w:val="left"/>
      <w:lvlText w:val="(%1)"/>
      <w:numFmt w:val="lowerRoman"/>
      <w:start w:val="3"/>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221" Type="http://schemas.openxmlformats.org/officeDocument/2006/relationships/hyperlink" Target="https://www.sec.gov/Archives/edgar/data/0001680581/000104746919004324/a2239321zex-3_1.htm" TargetMode="External"/><Relationship Id="rId222" Type="http://schemas.openxmlformats.org/officeDocument/2006/relationships/hyperlink" Target="https://www.sec.gov/Archives/edgar/data/1680581/000119312523164435/d463131dex31.htm" TargetMode="External"/><Relationship Id="rId223" Type="http://schemas.openxmlformats.org/officeDocument/2006/relationships/hyperlink" Target="https://www.sec.gov/Archives/edgar/data/0001680581/000104746919004324/a2239321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2023-11-07T06:26:53Z</dcterms:created>
  <dcterms:modified xsi:type="dcterms:W3CDTF">2023-11-07T06:26:53Z</dcterms:modified>
</cp:coreProperties>
</file>