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Sapir Alex</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FULCRUM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9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Fulcrum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FULC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01/24/2025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 -</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4.16</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01/24/2025</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582,000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01/23/2035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582,000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582,000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24, 2025 and is scheduled to vest in equal quarterly installments over four years beginning on the vesting commencement date of January 1, 2025, subject to the reporting person's continued service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&amp; Chief Executive Officer</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4"/>
              </w:rPr>
              <w:t>/s/ Greg Tourangeau as</w:t>
            </w:r>
          </w:p>
        </w:tc>
        <w:tc>
          <w:tcPr>
            <w:tcW w:w="680" w:type="dxa"/>
            <w:vAlign w:val="bottom"/>
            <w:gridSpan w:val="2"/>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01/28/2025</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 for Alex Sapir</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09415"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2025-01-28T15:32:54Z</dcterms:created>
  <dcterms:modified xsi:type="dcterms:W3CDTF">2025-01-28T15:32:54Z</dcterms:modified>
</cp:coreProperties>
</file>