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154305</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170815</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13970</wp:posOffset>
            </wp:positionV>
            <wp:extent cx="7012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13G/A is filed:</w:t>
      </w:r>
    </w:p>
    <w:p>
      <w:pPr>
        <w:spacing w:after="0" w:line="229" w:lineRule="exact"/>
        <w:rPr>
          <w:sz w:val="24"/>
          <w:szCs w:val="24"/>
          <w:color w:val="auto"/>
        </w:rPr>
      </w:pPr>
    </w:p>
    <w:p>
      <w:pPr>
        <w:jc w:val="both"/>
        <w:ind w:left="640" w:right="8840"/>
        <w:spacing w:after="0" w:line="258" w:lineRule="exact"/>
        <w:tabs>
          <w:tab w:leader="none" w:pos="101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5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56"/>
        <w:spacing w:after="0" w:line="242" w:lineRule="auto"/>
        <w:tabs>
          <w:tab w:leader="none" w:pos="7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2"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NAMES OF REPORTING PERSONS</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RTW Investments, LP</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3"/>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Delaware</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5,469,956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5,469,956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5,469,956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8.8%</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PN, IA</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3" w:hanging="263"/>
        <w:spacing w:after="0" w:line="282" w:lineRule="exact"/>
        <w:tabs>
          <w:tab w:leader="none" w:pos="263" w:val="left"/>
        </w:tabs>
        <w:numPr>
          <w:ilvl w:val="0"/>
          <w:numId w:val="5"/>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40" w:type="dxa"/>
            <w:vAlign w:val="bottom"/>
            <w:vMerge w:val="restart"/>
          </w:tcPr>
          <w:p>
            <w:pPr>
              <w:jc w:val="right"/>
              <w:ind w:right="25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20"/>
              <w:spacing w:after="0"/>
              <w:rPr>
                <w:sz w:val="20"/>
                <w:szCs w:val="20"/>
                <w:color w:val="auto"/>
              </w:rPr>
            </w:pPr>
            <w:r>
              <w:rPr>
                <w:rFonts w:ascii="Times New Roman" w:cs="Times New Roman" w:eastAsia="Times New Roman" w:hAnsi="Times New Roman"/>
                <w:sz w:val="16"/>
                <w:szCs w:val="16"/>
                <w:color w:val="auto"/>
                <w:w w:val="99"/>
              </w:rPr>
              <w:t>NAMES OF REPORTING PERSONS</w:t>
            </w:r>
          </w:p>
        </w:tc>
        <w:tc>
          <w:tcPr>
            <w:tcW w:w="0" w:type="dxa"/>
            <w:vAlign w:val="bottom"/>
          </w:tcPr>
          <w:p>
            <w:pPr>
              <w:spacing w:after="0"/>
              <w:rPr>
                <w:sz w:val="1"/>
                <w:szCs w:val="1"/>
                <w:color w:val="auto"/>
              </w:rPr>
            </w:pPr>
          </w:p>
        </w:tc>
      </w:tr>
      <w:tr>
        <w:trPr>
          <w:trHeight w:val="178"/>
        </w:trPr>
        <w:tc>
          <w:tcPr>
            <w:tcW w:w="54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Roderick Wong, M.D.</w:t>
            </w:r>
          </w:p>
        </w:tc>
        <w:tc>
          <w:tcPr>
            <w:tcW w:w="0" w:type="dxa"/>
            <w:vAlign w:val="bottom"/>
          </w:tcPr>
          <w:p>
            <w:pPr>
              <w:spacing w:after="0"/>
              <w:rPr>
                <w:sz w:val="1"/>
                <w:szCs w:val="1"/>
                <w:color w:val="auto"/>
              </w:rPr>
            </w:pPr>
          </w:p>
        </w:tc>
      </w:tr>
      <w:tr>
        <w:trPr>
          <w:trHeight w:val="80"/>
        </w:trPr>
        <w:tc>
          <w:tcPr>
            <w:tcW w:w="54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6"/>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5</w:t>
            </w:r>
          </w:p>
        </w:tc>
        <w:tc>
          <w:tcPr>
            <w:tcW w:w="20" w:type="dxa"/>
            <w:vAlign w:val="bottom"/>
          </w:tcPr>
          <w:p>
            <w:pPr>
              <w:spacing w:after="0"/>
              <w:rPr>
                <w:sz w:val="8"/>
                <w:szCs w:val="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6</w:t>
            </w:r>
          </w:p>
        </w:tc>
        <w:tc>
          <w:tcPr>
            <w:tcW w:w="20" w:type="dxa"/>
            <w:vAlign w:val="bottom"/>
            <w:shd w:val="clear" w:color="auto" w:fill="000000"/>
          </w:tcPr>
          <w:p>
            <w:pPr>
              <w:spacing w:after="0"/>
              <w:rPr>
                <w:sz w:val="19"/>
                <w:szCs w:val="19"/>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5,469,956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7</w:t>
            </w:r>
          </w:p>
        </w:tc>
        <w:tc>
          <w:tcPr>
            <w:tcW w:w="20" w:type="dxa"/>
            <w:vAlign w:val="bottom"/>
            <w:shd w:val="clear" w:color="auto" w:fill="000000"/>
          </w:tcPr>
          <w:p>
            <w:pPr>
              <w:spacing w:after="0"/>
              <w:rPr>
                <w:sz w:val="17"/>
                <w:szCs w:val="17"/>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8</w:t>
            </w:r>
          </w:p>
        </w:tc>
        <w:tc>
          <w:tcPr>
            <w:tcW w:w="20" w:type="dxa"/>
            <w:vAlign w:val="bottom"/>
            <w:shd w:val="clear" w:color="auto" w:fill="000000"/>
          </w:tcPr>
          <w:p>
            <w:pPr>
              <w:spacing w:after="0"/>
              <w:rPr>
                <w:sz w:val="18"/>
                <w:szCs w:val="18"/>
                <w:color w:val="auto"/>
              </w:rPr>
            </w:pPr>
          </w:p>
        </w:tc>
        <w:tc>
          <w:tcPr>
            <w:tcW w:w="522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2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5,469,956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20" w:type="dxa"/>
            <w:vAlign w:val="bottom"/>
            <w:gridSpan w:val="3"/>
            <w:vMerge w:val="restart"/>
          </w:tcPr>
          <w:p>
            <w:pPr>
              <w:ind w:left="480"/>
              <w:spacing w:after="0"/>
              <w:rPr>
                <w:sz w:val="20"/>
                <w:szCs w:val="20"/>
                <w:color w:val="auto"/>
              </w:rPr>
            </w:pPr>
            <w:r>
              <w:rPr>
                <w:rFonts w:ascii="Times New Roman" w:cs="Times New Roman" w:eastAsia="Times New Roman" w:hAnsi="Times New Roman"/>
                <w:sz w:val="20"/>
                <w:szCs w:val="20"/>
                <w:color w:val="auto"/>
              </w:rPr>
              <w:t>5,469,956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1"/>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8.8%</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2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0"/>
                <w:szCs w:val="20"/>
                <w:color w:val="auto"/>
              </w:rPr>
              <w:t>IN, HC</w:t>
            </w:r>
          </w:p>
        </w:tc>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3" w:hanging="263"/>
        <w:spacing w:after="0" w:line="282" w:lineRule="exact"/>
        <w:tabs>
          <w:tab w:leader="none" w:pos="263" w:val="left"/>
        </w:tabs>
        <w:numPr>
          <w:ilvl w:val="0"/>
          <w:numId w:val="8"/>
        </w:numPr>
        <w:rPr>
          <w:rFonts w:ascii="Times New Roman" w:cs="Times New Roman" w:eastAsia="Times New Roman" w:hAnsi="Times New Roman"/>
          <w:sz w:val="19"/>
          <w:szCs w:val="19"/>
          <w:color w:val="auto"/>
        </w:rPr>
      </w:pPr>
      <w:r>
        <w:rPr>
          <w:rFonts w:ascii="MS PGothic" w:cs="MS PGothic" w:eastAsia="MS PGothic" w:hAnsi="MS PGothic"/>
          <w:sz w:val="28"/>
          <w:szCs w:val="28"/>
          <w:color w:val="auto"/>
        </w:rPr>
        <w:t>☐</w:t>
      </w:r>
    </w:p>
    <w:p>
      <w:pPr>
        <w:spacing w:after="0" w:line="203" w:lineRule="exact"/>
        <w:rPr>
          <w:rFonts w:ascii="Times New Roman" w:cs="Times New Roman" w:eastAsia="Times New Roman" w:hAnsi="Times New Roman"/>
          <w:sz w:val="19"/>
          <w:szCs w:val="19"/>
          <w:color w:val="auto"/>
        </w:rPr>
      </w:pPr>
    </w:p>
    <w:p>
      <w:pPr>
        <w:ind w:left="283" w:hanging="283"/>
        <w:spacing w:after="0" w:line="263" w:lineRule="exact"/>
        <w:tabs>
          <w:tab w:leader="none" w:pos="28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497" w:space="720"/>
            <w:col w:w="1023"/>
          </w:cols>
          <w:pgMar w:left="320" w:top="225"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12"/>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name of the issuer is Fulcrum Therapeutics,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59"/>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26 Landsdowne Street, Cambridge, Massachusetts 02139.</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68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w w:val="99"/>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9"/>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80" w:type="dxa"/>
            <w:vAlign w:val="bottom"/>
            <w:gridSpan w:val="12"/>
          </w:tcPr>
          <w:p>
            <w:pPr>
              <w:ind w:left="120"/>
              <w:spacing w:after="0" w:line="209" w:lineRule="exact"/>
              <w:rPr>
                <w:sz w:val="20"/>
                <w:szCs w:val="20"/>
                <w:color w:val="auto"/>
              </w:rPr>
            </w:pPr>
            <w:r>
              <w:rPr>
                <w:rFonts w:ascii="Times New Roman" w:cs="Times New Roman" w:eastAsia="Times New Roman" w:hAnsi="Times New Roman"/>
                <w:sz w:val="20"/>
                <w:szCs w:val="20"/>
                <w:color w:val="auto"/>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8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by the RTW Funds; and</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68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Roderick Wong, M.D. ("Dr.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80" w:type="dxa"/>
            <w:vAlign w:val="bottom"/>
            <w:gridSpan w:val="12"/>
          </w:tcPr>
          <w:p>
            <w:pPr>
              <w:ind w:left="120"/>
              <w:spacing w:after="0"/>
              <w:rPr>
                <w:sz w:val="20"/>
                <w:szCs w:val="20"/>
                <w:color w:val="auto"/>
              </w:rPr>
            </w:pPr>
            <w:r>
              <w:rPr>
                <w:rFonts w:ascii="Times New Roman" w:cs="Times New Roman" w:eastAsia="Times New Roman" w:hAnsi="Times New Roman"/>
                <w:sz w:val="20"/>
                <w:szCs w:val="20"/>
                <w:color w:val="auto"/>
              </w:rPr>
              <w:t>Investments, with respect to the Shares directly held by the RTW Funds.</w:t>
            </w:r>
          </w:p>
        </w:tc>
      </w:tr>
      <w:tr>
        <w:trPr>
          <w:trHeight w:val="412"/>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3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w w:val="98"/>
              </w:rPr>
              <w:t>The filing of this statement should not be construed as an admission that any of the forgoing persons or any Reporting</w:t>
            </w:r>
          </w:p>
        </w:tc>
      </w:tr>
      <w:tr>
        <w:trPr>
          <w:trHeight w:val="258"/>
        </w:trPr>
        <w:tc>
          <w:tcPr>
            <w:tcW w:w="1260" w:type="dxa"/>
            <w:vAlign w:val="bottom"/>
          </w:tcPr>
          <w:p>
            <w:pPr>
              <w:spacing w:after="0"/>
              <w:rPr>
                <w:sz w:val="22"/>
                <w:szCs w:val="22"/>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Person is, for the purposes of Section 13 of the Act, the beneficial owner of the Shares reported herein.</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84"/>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w w:val="98"/>
              </w:rPr>
              <w:t>The address of the business office of each of the Reporting Persons is 40 10</w:t>
            </w:r>
            <w:r>
              <w:rPr>
                <w:rFonts w:ascii="Times New Roman" w:cs="Times New Roman" w:eastAsia="Times New Roman" w:hAnsi="Times New Roman"/>
                <w:sz w:val="32"/>
                <w:szCs w:val="32"/>
                <w:color w:val="auto"/>
                <w:w w:val="98"/>
                <w:vertAlign w:val="superscript"/>
              </w:rPr>
              <w:t>th</w:t>
            </w:r>
            <w:r>
              <w:rPr>
                <w:rFonts w:ascii="Times New Roman" w:cs="Times New Roman" w:eastAsia="Times New Roman" w:hAnsi="Times New Roman"/>
                <w:sz w:val="20"/>
                <w:szCs w:val="20"/>
                <w:color w:val="auto"/>
                <w:w w:val="98"/>
              </w:rPr>
              <w:t xml:space="preserve"> Avenue, Floor 7, New York, New York</w:t>
            </w: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10014.</w:t>
            </w:r>
          </w:p>
        </w:tc>
        <w:tc>
          <w:tcPr>
            <w:tcW w:w="1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RTW Investments is a Delaware limited partnership. Dr. Wong is a citizen of the United States.</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80" w:type="dxa"/>
            <w:vAlign w:val="bottom"/>
            <w:gridSpan w:val="13"/>
          </w:tcPr>
          <w:p>
            <w:pPr>
              <w:ind w:left="440"/>
              <w:spacing w:after="0"/>
              <w:rPr>
                <w:sz w:val="20"/>
                <w:szCs w:val="20"/>
                <w:color w:val="auto"/>
              </w:rPr>
            </w:pPr>
            <w:r>
              <w:rPr>
                <w:rFonts w:ascii="Times New Roman" w:cs="Times New Roman" w:eastAsia="Times New Roman" w:hAnsi="Times New Roman"/>
                <w:sz w:val="20"/>
                <w:szCs w:val="20"/>
                <w:color w:val="auto"/>
              </w:rPr>
              <w:t>Common Stock, par value $0.001 per share (the "Shares").</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359616109</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p>
      <w:pPr>
        <w:spacing w:after="0" w:line="175" w:lineRule="exact"/>
        <w:rPr>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7"/>
        <w:spacing w:after="0" w:line="260" w:lineRule="exact"/>
        <w:tabs>
          <w:tab w:leader="none" w:pos="2572"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53"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75" w:lineRule="exact"/>
        <w:rPr>
          <w:sz w:val="20"/>
          <w:szCs w:val="20"/>
          <w:color w:val="auto"/>
        </w:rPr>
      </w:pPr>
    </w:p>
    <w:p>
      <w:pPr>
        <w:ind w:left="3080" w:right="3280" w:hanging="1287"/>
        <w:spacing w:after="0" w:line="260" w:lineRule="exact"/>
        <w:tabs>
          <w:tab w:leader="none" w:pos="2569"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5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7"/>
        <w:spacing w:after="0" w:line="260" w:lineRule="exact"/>
        <w:tabs>
          <w:tab w:leader="none" w:pos="2572"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6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61"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2677160</wp:posOffset>
            </wp:positionH>
            <wp:positionV relativeFrom="paragraph">
              <wp:posOffset>-46355</wp:posOffset>
            </wp:positionV>
            <wp:extent cx="27012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49"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33" w:lineRule="exact"/>
        <w:rPr>
          <w:sz w:val="20"/>
          <w:szCs w:val="20"/>
          <w:color w:val="auto"/>
        </w:rPr>
      </w:pPr>
    </w:p>
    <w:p>
      <w:pPr>
        <w:ind w:left="1800" w:right="42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73" w:lineRule="exact"/>
        <w:rPr>
          <w:sz w:val="20"/>
          <w:szCs w:val="20"/>
          <w:color w:val="auto"/>
        </w:rPr>
      </w:pPr>
    </w:p>
    <w:p>
      <w:pPr>
        <w:jc w:val="both"/>
        <w:ind w:left="1800" w:right="260"/>
        <w:spacing w:after="0" w:line="254"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61,822,554 Shares outstanding as of October 31, 2023 as reported in the Company's Quarterly Report on Form 10-Q for the quarterly period ended September 30, 2023, filed with the Securities and Exchange Commission on November 7, 2023.</w:t>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00" w:right="260"/>
        <w:spacing w:after="0" w:line="274" w:lineRule="auto"/>
        <w:rPr>
          <w:sz w:val="20"/>
          <w:szCs w:val="20"/>
          <w:color w:val="auto"/>
        </w:rPr>
      </w:pPr>
      <w:r>
        <w:rPr>
          <w:rFonts w:ascii="Times New Roman" w:cs="Times New Roman" w:eastAsia="Times New Roman" w:hAnsi="Times New Roman"/>
          <w:sz w:val="19"/>
          <w:szCs w:val="19"/>
          <w:color w:val="auto"/>
        </w:rPr>
        <w:t>See Item 2. The RTW Funds have the right to receive or the power to direct the receipt of dividends from, or the proceeds from the sale of, the Shares reported herein. RTW Master Fund Ltd., a RTW Fund, has the right to receive or the power to direct the receipt of dividends or the proceeds from the sale of more than 5% of the Shares.</w:t>
      </w:r>
    </w:p>
    <w:p>
      <w:pPr>
        <w:spacing w:after="0" w:line="166" w:lineRule="exact"/>
        <w:rPr>
          <w:sz w:val="20"/>
          <w:szCs w:val="20"/>
          <w:color w:val="auto"/>
        </w:rPr>
      </w:pPr>
    </w:p>
    <w:p>
      <w:pPr>
        <w:ind w:left="100"/>
        <w:spacing w:after="0"/>
        <w:tabs>
          <w:tab w:leader="none" w:pos="1780" w:val="left"/>
          <w:tab w:leader="none" w:pos="3620" w:val="left"/>
          <w:tab w:leader="none" w:pos="4240" w:val="left"/>
          <w:tab w:leader="none" w:pos="6100" w:val="left"/>
          <w:tab w:leader="none" w:pos="6560" w:val="left"/>
          <w:tab w:leader="none" w:pos="716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SECURITY BEING REPORTED ON BY THE PARENT HOLDING COMPANY:</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800" w:right="16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/s/ Roderick Wong, M.D.</w:t>
            </w:r>
          </w:p>
        </w:tc>
        <w:tc>
          <w:tcPr>
            <w:tcW w:w="0" w:type="dxa"/>
            <w:vAlign w:val="bottom"/>
          </w:tcPr>
          <w:p>
            <w:pPr>
              <w:spacing w:after="0"/>
              <w:rPr>
                <w:sz w:val="1"/>
                <w:szCs w:val="1"/>
                <w:color w:val="auto"/>
              </w:rPr>
            </w:pPr>
          </w:p>
        </w:tc>
      </w:tr>
      <w:tr>
        <w:trPr>
          <w:trHeight w:val="23"/>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vMerge w:val="continue"/>
          </w:tcPr>
          <w:p>
            <w:pPr>
              <w:spacing w:after="0"/>
              <w:rPr>
                <w:sz w:val="17"/>
                <w:szCs w:val="17"/>
                <w:color w:val="auto"/>
              </w:rPr>
            </w:pPr>
          </w:p>
        </w:tc>
        <w:tc>
          <w:tcPr>
            <w:tcW w:w="49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Roderick Wong, M.D.</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20"/>
                <w:szCs w:val="20"/>
                <w:color w:val="auto"/>
              </w:rPr>
              <w:t>Managing 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Roderick Wong,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80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8015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 M.D.</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2024-02-14T06:55:44Z</dcterms:created>
  <dcterms:modified xsi:type="dcterms:W3CDTF">2024-02-14T06:55:44Z</dcterms:modified>
</cp:coreProperties>
</file>