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#359616109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1,719,378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1,724,014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1,724,014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2.762%</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1,724,014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1,724,014</w:t>
      </w:r>
    </w:p>
    <w:p>
      <w:pPr>
        <w:spacing w:after="0"/>
        <w:rPr>
          <w:sz w:val="20"/>
          <w:szCs w:val="20"/>
          <w:color w:val="auto"/>
        </w:rPr>
      </w:pPr>
      <w:r>
        <w:rPr>
          <w:rFonts w:ascii="Courier New" w:cs="Courier New" w:eastAsia="Courier New" w:hAnsi="Courier New"/>
          <w:sz w:val="18"/>
          <w:szCs w:val="18"/>
          <w:color w:val="auto"/>
        </w:rPr>
        <w:t>Item 11: 2.762%</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1,724,014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2.762%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1,724,014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FULCRUM THERAPEUTICS INC. No one other person's interest in the COMMON STOCK of FULCRUM THERAPEUTICS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9"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0" w:right="1440" w:bottom="0" w:gutter="0" w:footer="0" w:header="0"/>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The undersigned persons, on October 4, 2024, agree and consent to the joint filing on their behalf of this Schedule 13G in connection with their beneficial ownership of the COMMON STOCK of FULCRUM THERAPEUTICS INC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2024-10-07T10:39:22Z</dcterms:created>
  <dcterms:modified xsi:type="dcterms:W3CDTF">2024-10-07T10:39:22Z</dcterms:modified>
</cp:coreProperties>
</file>