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333-244136</w:t>
      </w:r>
    </w:p>
    <w:p>
      <w:pPr>
        <w:spacing w:after="0" w:line="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August 17, 2020)</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4,000,000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182245</wp:posOffset>
            </wp:positionV>
            <wp:extent cx="2897505"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7505"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offering 4,000,000 shares of our common stock in this offering.</w:t>
      </w:r>
    </w:p>
    <w:p>
      <w:pPr>
        <w:spacing w:after="0" w:line="225" w:lineRule="exact"/>
        <w:rPr>
          <w:sz w:val="24"/>
          <w:szCs w:val="24"/>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 The last reported sales price of our common stock on the Nasdaq Global Market on January 15, 2021 was $11.00 per share.</w:t>
      </w:r>
    </w:p>
    <w:p>
      <w:pPr>
        <w:spacing w:after="0" w:line="182" w:lineRule="exact"/>
        <w:rPr>
          <w:sz w:val="24"/>
          <w:szCs w:val="24"/>
          <w:color w:val="auto"/>
        </w:rPr>
      </w:pPr>
    </w:p>
    <w:tbl>
      <w:tblPr>
        <w:tblLayout w:type="fixed"/>
        <w:tblInd w:w="144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44,000,000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commissions(1)</w:t>
            </w:r>
          </w:p>
        </w:tc>
        <w:tc>
          <w:tcPr>
            <w:tcW w:w="16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0.66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2,640,000</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Fulcrum, before expenses</w:t>
            </w:r>
          </w:p>
        </w:tc>
        <w:tc>
          <w:tcPr>
            <w:tcW w:w="16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41,360,000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4"/>
          <w:szCs w:val="24"/>
          <w:color w:val="auto"/>
        </w:rPr>
      </w:pPr>
    </w:p>
    <w:p>
      <w:pPr>
        <w:ind w:left="540" w:right="220" w:hanging="424"/>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underwriters for certain FINRA-related expenses. See “Underwriting” for additional information regarding the compensation payable to the underwriters.</w:t>
      </w:r>
    </w:p>
    <w:p>
      <w:pPr>
        <w:spacing w:after="0" w:line="1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 600,000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120" w:right="140"/>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risks. See “</w:t>
      </w:r>
      <w:hyperlink w:anchor="page10">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S-7 of this prospectus supplement and in the documents incorporated by reference into this prospectus supplement.</w:t>
      </w:r>
    </w:p>
    <w:p>
      <w:pPr>
        <w:spacing w:after="0" w:line="159" w:lineRule="exact"/>
        <w:rPr>
          <w:sz w:val="24"/>
          <w:szCs w:val="24"/>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to purchasers on or about January 22, 2021.</w:t>
      </w: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41" w:lineRule="exact"/>
        <w:rPr>
          <w:sz w:val="24"/>
          <w:szCs w:val="24"/>
          <w:color w:val="auto"/>
        </w:rPr>
      </w:pPr>
    </w:p>
    <w:p>
      <w:pPr>
        <w:ind w:left="120"/>
        <w:spacing w:after="0"/>
        <w:tabs>
          <w:tab w:leader="none" w:pos="5080" w:val="left"/>
          <w:tab w:leader="none" w:pos="9900" w:val="left"/>
        </w:tabs>
        <w:rPr>
          <w:sz w:val="20"/>
          <w:szCs w:val="20"/>
          <w:color w:val="auto"/>
        </w:rPr>
      </w:pPr>
      <w:r>
        <w:rPr>
          <w:rFonts w:ascii="Times New Roman" w:cs="Times New Roman" w:eastAsia="Times New Roman" w:hAnsi="Times New Roman"/>
          <w:sz w:val="22"/>
          <w:szCs w:val="22"/>
          <w:b w:val="1"/>
          <w:bCs w:val="1"/>
          <w:color w:val="auto"/>
        </w:rPr>
        <w:t>SVB Leerink</w:t>
      </w:r>
      <w:r>
        <w:rPr>
          <w:sz w:val="20"/>
          <w:szCs w:val="20"/>
          <w:color w:val="auto"/>
        </w:rPr>
        <w:tab/>
      </w:r>
      <w:r>
        <w:rPr>
          <w:rFonts w:ascii="Times New Roman" w:cs="Times New Roman" w:eastAsia="Times New Roman" w:hAnsi="Times New Roman"/>
          <w:sz w:val="22"/>
          <w:szCs w:val="22"/>
          <w:b w:val="1"/>
          <w:bCs w:val="1"/>
          <w:color w:val="auto"/>
        </w:rPr>
        <w:t>Piper Sandler</w:t>
      </w:r>
      <w:r>
        <w:rPr>
          <w:sz w:val="20"/>
          <w:szCs w:val="20"/>
          <w:color w:val="auto"/>
        </w:rPr>
        <w:tab/>
      </w:r>
      <w:r>
        <w:rPr>
          <w:rFonts w:ascii="Times New Roman" w:cs="Times New Roman" w:eastAsia="Times New Roman" w:hAnsi="Times New Roman"/>
          <w:sz w:val="21"/>
          <w:szCs w:val="21"/>
          <w:b w:val="1"/>
          <w:bCs w:val="1"/>
          <w:color w:val="auto"/>
        </w:rPr>
        <w:t>Credit Suisse</w:t>
      </w:r>
    </w:p>
    <w:p>
      <w:pPr>
        <w:spacing w:after="0" w:line="21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Lead Manager</w:t>
      </w:r>
    </w:p>
    <w:p>
      <w:pPr>
        <w:spacing w:after="0" w:line="21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H.C. Wainwright &amp; Co.</w:t>
      </w:r>
    </w:p>
    <w:p>
      <w:pPr>
        <w:spacing w:after="0" w:line="2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19, 2021.</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0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ABOUT THIS PROSPECTUS SUPPLEMENT</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S-ii</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PROSPECTUS SUPPLEMENT SUMMARY</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RISK FACTORS</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S-7</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CAUTIONARY NOTE REGARDING FORWARD-LOOKING STATEMENTS AND INDUSTRY DATA</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S-8</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USE OF PROCEEDS</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S-10</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DIVIDEND POLICY</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S-11</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DILUTION</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S-12</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MATERIAL U.S. FEDERAL INCOME AND ESTATE TAX CONSIDERATIONS FOR NON-U.S. HOLDERS OF COMMON STOCK</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S-14</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UNDERWRITING</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S-18</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LEGAL MATTERS</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S-25</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EXPERTS</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S-25</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WHERE YOU CAN FIND MORE INFORMATION</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S-25</w:t>
            </w:r>
          </w:p>
        </w:tc>
      </w:tr>
      <w:tr>
        <w:trPr>
          <w:trHeight w:val="234"/>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INCORPORATION OF CERTAIN INFORMATION BY REFERENCE</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S-25</w:t>
            </w:r>
          </w:p>
        </w:tc>
      </w:tr>
      <w:tr>
        <w:trPr>
          <w:trHeight w:val="648"/>
        </w:trPr>
        <w:tc>
          <w:tcPr>
            <w:tcW w:w="1020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760" w:type="dxa"/>
            <w:vAlign w:val="bottom"/>
          </w:tcPr>
          <w:p>
            <w:pPr>
              <w:spacing w:after="0"/>
              <w:rPr>
                <w:sz w:val="24"/>
                <w:szCs w:val="24"/>
                <w:color w:val="auto"/>
              </w:rPr>
            </w:pPr>
          </w:p>
        </w:tc>
      </w:tr>
      <w:tr>
        <w:trPr>
          <w:trHeight w:val="441"/>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ABOUT THIS PROSPECTUS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WHERE YOU CAN FIND MORE INFORMATION</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INCORPORATION OF CERTAIN DOCUMENTS BY REFERENCE</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CAUTIONARY NOTE REGARDING FORWARD-LOOKING STATEMENTS AND INDUSTRY DATA</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ABOUT FULCRUM THERAPEUTICS, INC</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RISK FACTORS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USE OF PROCEEDS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DESCRIPTION OF DEBT SECURITIES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DESCRIPTION OF CAPITAL STOCK</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DESCRIPTION OF DEPOSITARY SHARES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DESCRIPTION OF UNITS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DESCRIPTION OF WARRANTS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FORMS OF SECURITIES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PLAN OF DISTRIBUTION</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LEGAL MATTERS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EXPERTS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92"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other than that contained or incorporated by reference into this prospectus supplement, the accompanying prospectus or in any free writing prospectus prepared by or on behalf of us or to which we have referred you. We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19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“we,” “our” and “us” refer, collectively, to Fulcrum Therapeutics, Inc., a Delaware corporation, and its consolidated subsidiary.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9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and the accompanying prospectus and in the documents we incorporate by reference herein and therein. This summary does not contain all of the information you should consider before investing in our common stock. You should read this entire prospectus supplement and accompanying prospectus carefully, especially the risks of investing in our common stock discussed under “Risk Factors” beginning on page S-7 of this prospectus supplement and in our Annual Report on Form 10-K for the year ended December 31, 2019 and our Quarterly Report on Form 10-Q for the period ended September 30, 2020, along with our consolidated financial statements and notes to those consolidated financial statements and the other information incorporated by reference into this prospectus supplement and the accompanying prospectus, before making an investment decision.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known as ReDUX4, and a Phase 2 open label clinical trial of losmapimod, our product candidate for FSHD, to evaluate the efficacy and safety of losmapimod in addressing the underlying cause of FSHD. In the fourth quarter of 2020, we initiated a Phase 1 clinical trial of FTX-6058, our product candidate for certain hemoglobinopathies and a novel upregulator of fetal hemoglobin, to evaluate the safety, tolerability and pharmacokinetics of FTX-6058 in healthy volunteers. In addition, we anticipate initiating a clinical trial of FTX-6058 in patients with SCD in the second half of 2021.</w:t>
      </w:r>
    </w:p>
    <w:p>
      <w:pPr>
        <w:spacing w:after="0" w:line="194" w:lineRule="exact"/>
        <w:rPr>
          <w:sz w:val="20"/>
          <w:szCs w:val="20"/>
          <w:color w:val="auto"/>
        </w:rPr>
      </w:pPr>
    </w:p>
    <w:p>
      <w:pPr>
        <w:ind w:left="300"/>
        <w:spacing w:after="0" w:line="272" w:lineRule="auto"/>
        <w:rPr>
          <w:sz w:val="20"/>
          <w:szCs w:val="20"/>
          <w:color w:val="auto"/>
        </w:rPr>
      </w:pPr>
      <w:r>
        <w:rPr>
          <w:rFonts w:ascii="Times New Roman" w:cs="Times New Roman" w:eastAsia="Times New Roman" w:hAnsi="Times New Roman"/>
          <w:sz w:val="17"/>
          <w:szCs w:val="17"/>
          <w:color w:val="auto"/>
        </w:rPr>
        <w:t>ReDUX4 is a randomized, double-blind, placebo-controlled multicenter international Phase 2b clinical trial in 80 subjects with FSHD to investigate the efficacy and safety of oral administration of losmapimod 15 mg twice per day. The primary endpoint is to evaluate the reduction of DUX4-driven gene expression in affected skeletal muscle biopsies. The original design of ReDUX4 included a muscle biopsy at week 16 during the</w:t>
      </w:r>
    </w:p>
    <w:p>
      <w:pPr>
        <w:spacing w:after="0" w:line="2" w:lineRule="exact"/>
        <w:rPr>
          <w:sz w:val="20"/>
          <w:szCs w:val="20"/>
          <w:color w:val="auto"/>
        </w:rPr>
      </w:pPr>
    </w:p>
    <w:p>
      <w:pPr>
        <w:ind w:left="300" w:right="100"/>
        <w:spacing w:after="0" w:line="260" w:lineRule="auto"/>
        <w:rPr>
          <w:sz w:val="20"/>
          <w:szCs w:val="20"/>
          <w:color w:val="auto"/>
        </w:rPr>
      </w:pPr>
      <w:r>
        <w:rPr>
          <w:rFonts w:ascii="Times New Roman" w:cs="Times New Roman" w:eastAsia="Times New Roman" w:hAnsi="Times New Roman"/>
          <w:sz w:val="18"/>
          <w:szCs w:val="18"/>
          <w:color w:val="auto"/>
        </w:rPr>
        <w:t>24-week treatment period followed by an open label extension. Sixteen of the 80 subjects have completed the 24-week treatment period and rolled over to the open label extension portion of the trial.</w:t>
      </w:r>
    </w:p>
    <w:p>
      <w:pPr>
        <w:spacing w:after="0" w:line="181" w:lineRule="exact"/>
        <w:rPr>
          <w:sz w:val="20"/>
          <w:szCs w:val="20"/>
          <w:color w:val="auto"/>
        </w:rPr>
      </w:pPr>
    </w:p>
    <w:p>
      <w:pPr>
        <w:ind w:left="300" w:right="60"/>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we have extended the ReDUX4 treatment period from 24 to 48 weeks through a protocol amendment to ensure the safety of the subjects and to allow for the opportunity for a biopsy at week 16 as originally intended or at week 36. Approximately 68 subjects who did not complete the original 24-week treatment period remain active in the randomized portion of the trial. The extension from 24 to 48 weeks also allows for a longer assessment in a placebo-controlled design of the skeletal muscle MRI secondary endpoint and the various exploratory clinical endpoints, such as reachable workspace, optimized time up and go test for FSHD, muscle function measures and patient reported outcomes. We expect to present full data from the trial in the second quarter of 2021. We believe that the amendment to the trial protocol provides flexibility to address the challenges presented by the COVID-19 pandemic and supports collection of efficacy and safety data to support continued discussions with regulatory agencies regarding potential registration strategies.</w:t>
      </w:r>
    </w:p>
    <w:p>
      <w:pPr>
        <w:spacing w:after="0" w:line="192"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In August 2020, we announced results from a pre-specified interim analysis of the primary endpoint of the ReDUX4 trial, which is the reduction from baseline of DUX4-driven gene expression in affected skeletal muscle after subjects have been treated with losmapimod or placebo. Secondary and exploratory endpoints were not assessed as part of this analysis. Results from the interim analysis in the first 29 randomized subjects indicate that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DUX4-driven gene expression did not show a separation from placebo at 16 weeks. However, in a pre-specified sensitivity analysis, those with the highest pre-treatment DUX4-driven gene expression in their muscle biopsy sample showed a large reduction in DUX4-driven gene expression following treatment with losmapimod compared to placebo. The highest expressing muscle biopsies represent the top quartile of biopsies assessed based on baseline DUX4-driven gene expression.</w:t>
      </w:r>
    </w:p>
    <w:p>
      <w:pPr>
        <w:spacing w:after="0" w:line="180"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The interim results included an analysis of the first 29 subjects who completed their 16-week biopsy out of the 80 subjects enrolled. Pharmacokinetics, demographics and the primary endpoint were assessed. The interim analysis was not powered for statistical significance and did not include individual patient level data. Subjects were randomized to receive an oral dose of losmapimod 15mg (n=15) or placebo (n=14) twice per day. While results showed a significant reduction in DUX4-driven gene expression in the muscle biopsies of subjects whose baseline biopsy showed the highest levels of DUX4 gene expression (38-fold decrease with losmapimod, n=3, and 5.4 fold-decrease with placebo, n=5), the population level data analysis of the reduction in DUX4-driven gene expression from all 29 subjects did not show a separation of losmapimod from placebo (3.7 fold increase with losmapimod, n=15, and 2.8 fold increase with placebo, n=14). Results indicated that muscle biopsies within the higher range of DUX4-driven gene expression at baseline may be needed to observe a reduction.</w:t>
      </w:r>
    </w:p>
    <w:p>
      <w:pPr>
        <w:spacing w:after="0" w:line="192" w:lineRule="exact"/>
        <w:rPr>
          <w:sz w:val="20"/>
          <w:szCs w:val="20"/>
          <w:color w:val="auto"/>
        </w:rPr>
      </w:pPr>
    </w:p>
    <w:p>
      <w:pPr>
        <w:ind w:left="300" w:right="60"/>
        <w:spacing w:after="0" w:line="253" w:lineRule="auto"/>
        <w:rPr>
          <w:sz w:val="20"/>
          <w:szCs w:val="20"/>
          <w:color w:val="auto"/>
        </w:rPr>
      </w:pPr>
      <w:r>
        <w:rPr>
          <w:rFonts w:ascii="Times New Roman" w:cs="Times New Roman" w:eastAsia="Times New Roman" w:hAnsi="Times New Roman"/>
          <w:sz w:val="18"/>
          <w:szCs w:val="18"/>
          <w:color w:val="auto"/>
        </w:rPr>
        <w:t>In June 2020, we announced plans to evaluate losmapimod as a potential treatment for patients with COVID-19. On June 24, 2020, we announced that we received notification from the U.S. Food and Drug Administration, or FDA, that we may proceed with initiating a Phase 3, randomized, double-blind, placebo-controlled trial of losmapimod in higher risk hospitalized adults with COVID-19, or the LOSVID trial. The LOSVID trial is a Phase 3, international, multicenter trial designed to assess the safety and efficacy of a 15 mg twice per day oral dose of losmapimod compared to placebo for 14 days on top of standard of care in approximately 400 patients hospitalized with COVID-19 and at risk of progression to critical illness based on older age and elevated systemic inflammation. We began enrolling patients in the fourth quarter of 2020. The primary endpoint of the trial is the proportion of patients who progress to death or respiratory failure by day 28. The trial’s secondary endpoints include clinical status on days seven and 14 as measured on the nine point World Health Organization ordinal scale of COVID-19 severity, total number of study days free of oxygen supplementation, all-cause mortality, length of hospitalization and intensive care unit stay, adverse events and viral clearance. We intend to conduct an interim analysis for futility and sample size re-estimation using an independent data monitoring committee when approximately 50 percent of subjects complete the 28-day visit. We expect to provide an update regarding the timing of the LOSVID trial by the end of the first quarter of 2021.</w:t>
      </w:r>
    </w:p>
    <w:p>
      <w:pPr>
        <w:spacing w:after="0" w:line="190" w:lineRule="exact"/>
        <w:rPr>
          <w:sz w:val="20"/>
          <w:szCs w:val="20"/>
          <w:color w:val="auto"/>
        </w:rPr>
      </w:pPr>
    </w:p>
    <w:p>
      <w:pPr>
        <w:ind w:left="300" w:right="240"/>
        <w:spacing w:after="0" w:line="256" w:lineRule="auto"/>
        <w:rPr>
          <w:sz w:val="20"/>
          <w:szCs w:val="20"/>
          <w:color w:val="auto"/>
        </w:rPr>
      </w:pPr>
      <w:r>
        <w:rPr>
          <w:rFonts w:ascii="Times New Roman" w:cs="Times New Roman" w:eastAsia="Times New Roman" w:hAnsi="Times New Roman"/>
          <w:sz w:val="18"/>
          <w:szCs w:val="18"/>
          <w:color w:val="auto"/>
        </w:rPr>
        <w:t>In the fourth quarter of 2020, we initiated our Phase 1 clinical trial of FTX-6058 in healthy adult volunteers. In this trial, we are evaluating the safety, tolerability and pharmacokinetics of FTX-6058. The trial is comprised of four parts. Part A will be a randomized, double-blind, placebo-controlled, single ascending dose (SAD) study in up to six cohorts. Part B will be a randomized, double-blind, placebo-controlled, multiple ascending dose (MAD) study in up to four cohorts dosed once daily for 14 days. Part C will be an open label pilot food effect study in subjects randomized to take FTX-6058 with and without a high-fat meal, and Part D will be an open label study to evaluate the potential of FTX-6058 to induce a liver enzyme known as CYP3A, which is involved in drug metabolism.</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right="200"/>
        <w:spacing w:after="0" w:line="282" w:lineRule="auto"/>
        <w:rPr>
          <w:sz w:val="20"/>
          <w:szCs w:val="20"/>
          <w:color w:val="auto"/>
        </w:rPr>
      </w:pPr>
      <w:r>
        <w:rPr>
          <w:rFonts w:ascii="Times New Roman" w:cs="Times New Roman" w:eastAsia="Times New Roman" w:hAnsi="Times New Roman"/>
          <w:sz w:val="18"/>
          <w:szCs w:val="18"/>
          <w:color w:val="auto"/>
        </w:rPr>
        <w:t>Although we have not finalized our full financial results for the fourth quarter and fiscal year ended December 31, 2020, we expect to report that we had cash, cash equivalents and marketable securities of approximately $112.9 million as of December 31, 2020.</w:t>
      </w:r>
    </w:p>
    <w:p>
      <w:pPr>
        <w:spacing w:after="0" w:line="162" w:lineRule="exact"/>
        <w:rPr>
          <w:sz w:val="20"/>
          <w:szCs w:val="20"/>
          <w:color w:val="auto"/>
        </w:rPr>
      </w:pPr>
    </w:p>
    <w:p>
      <w:pPr>
        <w:ind w:left="300" w:right="440"/>
        <w:spacing w:after="0" w:line="282" w:lineRule="auto"/>
        <w:rPr>
          <w:sz w:val="20"/>
          <w:szCs w:val="20"/>
          <w:color w:val="auto"/>
        </w:rPr>
      </w:pPr>
      <w:r>
        <w:rPr>
          <w:rFonts w:ascii="Times New Roman" w:cs="Times New Roman" w:eastAsia="Times New Roman" w:hAnsi="Times New Roman"/>
          <w:sz w:val="18"/>
          <w:szCs w:val="18"/>
          <w:color w:val="auto"/>
        </w:rPr>
        <w:t>The estimated cash figure is preliminary and unaudited, represents a management estimate as of the date of this prospectus supplement and is subject to completion of our financial closing procedures. Our independent</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93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60"/>
        <w:spacing w:after="0" w:line="282" w:lineRule="auto"/>
        <w:rPr>
          <w:sz w:val="20"/>
          <w:szCs w:val="20"/>
          <w:color w:val="auto"/>
        </w:rPr>
      </w:pPr>
      <w:r>
        <w:rPr>
          <w:rFonts w:ascii="Times New Roman" w:cs="Times New Roman" w:eastAsia="Times New Roman" w:hAnsi="Times New Roman"/>
          <w:sz w:val="18"/>
          <w:szCs w:val="18"/>
          <w:color w:val="auto"/>
        </w:rPr>
        <w:t>registered public accounting firm has not conducted an audit or review of, and does not express an opinion or any other form of assurance with respect to, the estimated cash figure.</w:t>
      </w:r>
    </w:p>
    <w:p>
      <w:pPr>
        <w:spacing w:after="0" w:line="162" w:lineRule="exact"/>
        <w:rPr>
          <w:sz w:val="20"/>
          <w:szCs w:val="20"/>
          <w:color w:val="auto"/>
        </w:rPr>
      </w:pPr>
    </w:p>
    <w:p>
      <w:pPr>
        <w:ind w:left="300" w:right="340"/>
        <w:spacing w:after="0" w:line="282" w:lineRule="auto"/>
        <w:rPr>
          <w:sz w:val="20"/>
          <w:szCs w:val="20"/>
          <w:color w:val="auto"/>
        </w:rPr>
      </w:pPr>
      <w:r>
        <w:rPr>
          <w:rFonts w:ascii="Times New Roman" w:cs="Times New Roman" w:eastAsia="Times New Roman" w:hAnsi="Times New Roman"/>
          <w:sz w:val="18"/>
          <w:szCs w:val="18"/>
          <w:color w:val="auto"/>
        </w:rPr>
        <w:t>From October 1, 2020 through December 31, 2020, we sold 550,000 shares of our common stock in an at-the-market offering for aggregate net proceeds of $5.7 million.</w:t>
      </w:r>
    </w:p>
    <w:p>
      <w:pPr>
        <w:spacing w:after="0" w:line="162"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On January 15, 2021, Owen Wallace, our chief scientific officer, notified us of his intent to resign to pursue a new career opportunity. Dr. Wallace is expected to continue in his current role until February 5, 2021. Following his resignation, Dr. Wallace will join our scientific advisory board. We expect Christopher Moxham to serve as chief scientific officer following the effective date of Dr. Wallace’s resignation. Dr. Moxham currently serves as our senior vice president of discovery.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These risks are discussed more fully in the “Risk Factors” section of this prospectus supplement immediately following this prospectus supplement summary, in our Annual Report on Form 10-K for the year ended December 31, 2019 and in our Quarterly Report on Form 10-Q for the period ended September 30, 2020, which are incorporated by reference herein. These risks include, but are not limited to, the following:</w:t>
      </w:r>
    </w:p>
    <w:p>
      <w:pPr>
        <w:spacing w:after="0" w:line="85" w:lineRule="exact"/>
        <w:rPr>
          <w:sz w:val="20"/>
          <w:szCs w:val="20"/>
          <w:color w:val="auto"/>
        </w:rPr>
      </w:pPr>
    </w:p>
    <w:p>
      <w:pPr>
        <w:ind w:left="1240" w:right="1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the next several years and may never achieve or maintain profitability. As of September 30, 2020, we had an accumulated deficit of $203.9 million.</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w:t>
      </w:r>
    </w:p>
    <w:p>
      <w:pPr>
        <w:spacing w:after="0" w:line="67" w:lineRule="exact"/>
        <w:rPr>
          <w:rFonts w:ascii="Times New Roman" w:cs="Times New Roman" w:eastAsia="Times New Roman" w:hAnsi="Times New Roman"/>
          <w:sz w:val="18"/>
          <w:szCs w:val="18"/>
          <w:color w:val="auto"/>
        </w:rPr>
      </w:pPr>
    </w:p>
    <w:p>
      <w:pPr>
        <w:ind w:left="1240" w:right="36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85"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develop losmapimod for the treatment of patients with COVID-19.</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product engine to build a pipeline of product candidates.</w:t>
      </w:r>
    </w:p>
    <w:p>
      <w:pPr>
        <w:spacing w:after="0" w:line="130"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81"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little clinical experience and, in some cases, using new endpoints or methodologies, such as the measurement of DUX4-driven gene expression in muscle biopsies in our Phase 2b clinical trial of losmapimod for the treatment of FSHD, the FDA or other regulatory authorities may not consider the endpoints of our clinical trials to predict or provide clinically meaningful results.</w:t>
      </w:r>
    </w:p>
    <w:p>
      <w:pPr>
        <w:spacing w:after="0" w:line="85"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19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81" w:lineRule="exact"/>
        <w:rPr>
          <w:rFonts w:ascii="Times New Roman" w:cs="Times New Roman" w:eastAsia="Times New Roman" w:hAnsi="Times New Roman"/>
          <w:sz w:val="18"/>
          <w:szCs w:val="18"/>
          <w:color w:val="auto"/>
        </w:rPr>
      </w:pPr>
    </w:p>
    <w:p>
      <w:pPr>
        <w:ind w:left="1240" w:right="7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67"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85"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jc w:val="both"/>
        <w:ind w:left="300" w:right="46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0" w:lineRule="exact"/>
        <w:rPr>
          <w:sz w:val="20"/>
          <w:szCs w:val="20"/>
          <w:color w:val="auto"/>
        </w:rPr>
      </w:pPr>
    </w:p>
    <w:p>
      <w:pPr>
        <w:ind w:left="300" w:right="220"/>
        <w:spacing w:after="0" w:line="258" w:lineRule="auto"/>
        <w:rPr>
          <w:sz w:val="20"/>
          <w:szCs w:val="20"/>
          <w:color w:val="auto"/>
        </w:rPr>
      </w:pPr>
      <w:r>
        <w:rPr>
          <w:rFonts w:ascii="Times New Roman" w:cs="Times New Roman" w:eastAsia="Times New Roman" w:hAnsi="Times New Roman"/>
          <w:sz w:val="18"/>
          <w:szCs w:val="18"/>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symbols, but we will assert, to the fullest extent under applicable law, our rights to our trademarks, service marks and trade names.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spacing w:after="0" w:line="257"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Jumpstart Our Business Startups Act of 2012, or the JOBS Act, and we may remain an emerging growth company until December 31, 2024 or until such earlier time as we have more than $1.07 billion in annual revenue, the market value of our stock held by non-affiliates is more than</w:t>
      </w:r>
    </w:p>
    <w:p>
      <w:pPr>
        <w:spacing w:after="0" w:line="1" w:lineRule="exact"/>
        <w:rPr>
          <w:sz w:val="20"/>
          <w:szCs w:val="20"/>
          <w:color w:val="auto"/>
        </w:rPr>
      </w:pPr>
    </w:p>
    <w:p>
      <w:pPr>
        <w:jc w:val="both"/>
        <w:ind w:left="300" w:right="320"/>
        <w:spacing w:after="0" w:line="255" w:lineRule="auto"/>
        <w:rPr>
          <w:sz w:val="20"/>
          <w:szCs w:val="20"/>
          <w:color w:val="auto"/>
        </w:rPr>
      </w:pPr>
      <w:r>
        <w:rPr>
          <w:rFonts w:ascii="Times New Roman" w:cs="Times New Roman" w:eastAsia="Times New Roman" w:hAnsi="Times New Roman"/>
          <w:sz w:val="18"/>
          <w:szCs w:val="18"/>
          <w:color w:val="auto"/>
        </w:rPr>
        <w:t>$700 million as of our most recently completed second fiscal quarter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w:t>
      </w:r>
    </w:p>
    <w:p>
      <w:pPr>
        <w:spacing w:after="0" w:line="186" w:lineRule="exact"/>
        <w:rPr>
          <w:sz w:val="20"/>
          <w:szCs w:val="20"/>
          <w:color w:val="auto"/>
        </w:rPr>
      </w:pPr>
    </w:p>
    <w:p>
      <w:pPr>
        <w:ind w:left="300" w:right="180"/>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as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or (ii) our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835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8356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annual revenue was less than $100 million during the most recently completed fiscal year and the market value of our stock held by non-affiliates is less than $700 million as of our most recently completed second fiscal quarter. If we are a smaller reporting company at the time we cease to be an emerging growth company, we may continue to rely on exemptions from certain disclosure requirements that are available to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1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60"/>
          </w:cols>
          <w:pgMar w:left="320" w:top="455" w:right="71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Common Stock Offered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4,000,000 shares.</w:t>
      </w:r>
    </w:p>
    <w:p>
      <w:pPr>
        <w:spacing w:after="0" w:line="200"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Common Stock to be Outstanding Immediately</w:t>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Following this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32,067,434 shares.</w:t>
      </w:r>
    </w:p>
    <w:p>
      <w:pPr>
        <w:spacing w:after="0" w:line="445" w:lineRule="exact"/>
        <w:rPr>
          <w:sz w:val="20"/>
          <w:szCs w:val="20"/>
          <w:color w:val="auto"/>
        </w:rPr>
      </w:pPr>
    </w:p>
    <w:p>
      <w:pPr>
        <w:sectPr>
          <w:pgSz w:w="11900" w:h="16838" w:orient="portrait"/>
          <w:cols w:equalWidth="0" w:num="2">
            <w:col w:w="3920" w:space="420"/>
            <w:col w:w="6520"/>
          </w:cols>
          <w:pgMar w:left="320" w:top="455" w:right="719" w:bottom="1440" w:gutter="0" w:footer="0" w:header="0"/>
          <w:type w:val="continuous"/>
        </w:sectPr>
      </w:pP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from us up to an additional 600,000 shares of our common stock.</w:t>
      </w:r>
    </w:p>
    <w:p>
      <w:pPr>
        <w:spacing w:after="0" w:line="185"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$41.2 million, or approximately $47.4 million if the underwriters exercise their option to purchase additional shares in full, in each case after deducting underwriting discounts and commissions and estimated offering expenses payable by us.</w:t>
      </w:r>
    </w:p>
    <w:p>
      <w:pPr>
        <w:spacing w:after="0" w:line="200"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spacing w:after="0" w:line="7" w:lineRule="exact"/>
        <w:rPr>
          <w:sz w:val="20"/>
          <w:szCs w:val="20"/>
          <w:color w:val="auto"/>
        </w:rPr>
      </w:pPr>
    </w:p>
    <w:p>
      <w:pPr>
        <w:ind w:left="43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 marketable securities, to advance losmapimod for FSHD and COVID-19, to advance FTX-6058 for certain hemoglobinopathies, to fund our ongoing product engine and discovery efforts and for working capital and other general corporate purposes. See “Use of Proceeds.”</w:t>
      </w:r>
    </w:p>
    <w:p>
      <w:pPr>
        <w:sectPr>
          <w:pgSz w:w="11900" w:h="16838" w:orient="portrait"/>
          <w:cols w:equalWidth="0" w:num="1">
            <w:col w:w="10860"/>
          </w:cols>
          <w:pgMar w:left="320" w:top="455" w:right="719" w:bottom="1440" w:gutter="0" w:footer="0" w:header="0"/>
          <w:type w:val="continuous"/>
        </w:sect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supplement beginning on page S-7 and in our Annual Report on Form 10-K for the year ended December 31, 2019 and our Quarterly Report on Form 10-Q for the period ended September 30, 2020 for a discussion of factors to consider carefully before deciding to invest in shares of our common stock.</w:t>
      </w:r>
    </w:p>
    <w:p>
      <w:pPr>
        <w:spacing w:after="0" w:line="200"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“FULC”</w:t>
      </w:r>
    </w:p>
    <w:p>
      <w:pPr>
        <w:spacing w:after="0" w:line="200"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spacing w:after="0" w:line="39" w:lineRule="exact"/>
        <w:rPr>
          <w:sz w:val="20"/>
          <w:szCs w:val="20"/>
          <w:color w:val="auto"/>
        </w:rPr>
      </w:pPr>
    </w:p>
    <w:p>
      <w:pPr>
        <w:jc w:val="both"/>
        <w:ind w:left="300" w:right="100"/>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is based on 28,067,434 shares of our common stock outstanding as of January 8, 2021, including 115,646 shares of unvested restricted stock subject to repurchase by us. The number of shares of our common stock to be outstanding after this offering excludes:</w:t>
      </w:r>
    </w:p>
    <w:p>
      <w:pPr>
        <w:spacing w:after="0" w:line="81" w:lineRule="exact"/>
        <w:rPr>
          <w:sz w:val="20"/>
          <w:szCs w:val="20"/>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2,962,315 shares of common stock issuable upon exercise of stock options outstanding as of January 8, 2021, at a weighted average exercise price of $11.57 per share; and</w:t>
      </w:r>
    </w:p>
    <w:p>
      <w:pPr>
        <w:spacing w:after="0" w:line="6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2,851,312 and 746,673 shares of common stock reserved for future issuance under our 2019 Stock Incentive Plan and our 2019 Employee Stock Purchase Plan, respectively, as of January 8, 2021.</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w:t>
      </w:r>
    </w:p>
    <w:p>
      <w:pPr>
        <w:spacing w:after="0" w:line="131"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outstanding stock options described above;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by the underwriters of their option to purchase additional shares of our common stock; and</w:t>
      </w:r>
    </w:p>
    <w:p>
      <w:pPr>
        <w:spacing w:after="0" w:line="130"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potential issuance of shares of our common stock that remain available for sale as of the date of this prospectus supplement under our “at-the-market” offering program, pursuant to which we may sell common stock for remaining gross proceeds of up to $69.1 million from time to time under our equity distribution agreement with Piper Sandler &amp; Co.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60"/>
          </w:cols>
          <w:pgMar w:left="320" w:top="455" w:right="71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20"/>
        <w:spacing w:after="0" w:line="275"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Before you decide to invest in our common stock, you should carefully consider the risks and uncertainties described below and in our Annual Report on Form 10-K for the year ended December 31, 2019 and our Quarterly Report on Form 10-Q for the period ended September 30, 2020, together with all other information contained in this prospectus supplement, the accompanying prospectus and in our filings with the Securities and Exchange Commission, or SEC, that we have incorporated by reference into this prospectus supplement and the accompanying prospectus. If any of the following risks actually occurs, our business, prospects, operating results and financial condition could suffer materially. In such event, the trading price of our common stock could decline and you might lose all or part of your investment.</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will suffer immediate dilution of your investment.</w:t>
      </w:r>
    </w:p>
    <w:p>
      <w:pPr>
        <w:spacing w:after="0" w:line="12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The price of our common stock to be sold in this offering is substantially higher than the net tangible book value per share of our common stock. Therefore, if you purchase shares of our common stock in this offering, you will pay a price per share that substantially exceeds our net tangible book value per share after this offering. Based on the public offering price of $11.00 per share, you will experience immediate dilution of $6.35 per share, representing the difference between our as adjusted net tangible book value per share after giving effect to the sale by us of 4,000,000 shares in this offering at the public offering price. For additional information on the dilution that you will experience immediately after this offering, see the section titled “Dilution” in this prospectus supplement.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During the period from July 18, 2019 to January 15, 2021, the closing price of our common stock ranged from a high of $22.06 per share to a low of $4.46 per share. The stock market in general and the market for smaller biopharmaceutical companies in particular have experienced extreme volatility that has often been unrelated to the operating performance of particular companies.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Although we currently intend to use the net proceeds from this offering, together with our existing cash, cash equivalents and marketable securities, in the manner described in the section titled “Use of Proceeds” in this prospectus supplement, 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operation and development of our business. As a result, capital appreciation, if any, of our common stock will be your sole source of gain for the foreseeable future.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contain forward-looking statements within the meaning of Section 27A of the Securities Act and Section 21E of the Securities Exchange Act of 1934, as amended, that involve substantial risks and uncertainties. All statements, other than statements of historical facts, contained in this prospectus supplement, the accompanying prospectus and the information incorporated by reference herein and therein,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9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the accompanying prospectus and the information incorporated by reference herein and therein include, among other things, statements about:</w:t>
      </w:r>
    </w:p>
    <w:p>
      <w:pPr>
        <w:spacing w:after="0" w:line="67" w:lineRule="exact"/>
        <w:rPr>
          <w:sz w:val="20"/>
          <w:szCs w:val="20"/>
          <w:color w:val="auto"/>
        </w:rPr>
      </w:pPr>
    </w:p>
    <w:p>
      <w:pPr>
        <w:ind w:left="1080" w:right="100" w:hanging="424"/>
        <w:spacing w:after="0" w:line="312" w:lineRule="auto"/>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ongoing clinical trials of losmapimod, including our ongoing Phase 2b and Phase 2 open label clinical trials for the treatment of facioscapulohumeral muscular dystrophy, and our ongoing Phase 3 clinical trial for the treatment of the novel coronavirus, or COVID-19;</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Phase 1 clinical trial of FTX-6058 and our planned clinical trial of FTX-6058 in patients with SCD;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 operations and our future financial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67"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losmapimod and any other product candidates, including in combination with other drugs and therapies;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obtain and maintain regulatory approvals for losmapimod and other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 and proceeds of this offering;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collaborations with Acceleron Pharma Inc. and MyoKardia, Inc.;</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proceeds from this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 and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or a smaller reporting company as defined under the federal securities laws.</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particularly in the “Risk Factors” section in this prospectus supplement and in our Annual Report on Form 10-K for the year ended December 31, 2019 and our Quarterly Report on Form 10-Q for the period ended September 30, 2020, which are incorporated by reference herein,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information incorporated by reference herein and therein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include statistical and other industry and market data that we obtained from industry publications and research, surveys and studies conducted by third parties. All of the market data used in this prospectus supplement, the accompanying prospectus and the information incorporated by reference herein and therein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to us from the issuance and sale of 4,000,000 shares of common stock in this offering will be approximately $41.2 million, or approximately $47.4 million if the underwriters exercise their option to purchase additional shares in full, in each case after deducting underwriting discounts and commissions and estimated offering expenses payable by us.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expect to use the net proceeds from this offering, together with our existing cash, cash equivalents and marketable securities, to advance losmapimod for FSHD and COVID-19, to advance FTX-6058 for certain hemoglobinopathies, to fund our ongoing product engine and discovery efforts and for working capital and other general corporate purposes.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As of September 30, 2020, we had cash, cash equivalents and marketable securities of $127.0 million. From October through December 2020, we sold 550,000 shares of our common stock in an at-the-market offering for aggregate net proceeds of $5.7 million.</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believe that the net proceeds from this offering, together with our existing cash, cash equivalents and marketable securities will enable us to fund our operating expenses and capital expenditure requirements into the fourth quarter of 2022. We have based this estimate on assumptions that may prove to be wrong, and we could use our available capital resources sooner than we currently expect.</w:t>
      </w:r>
    </w:p>
    <w:p>
      <w:pPr>
        <w:spacing w:after="0" w:line="176"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We will require additional capital to complete clinical development of each of our product candidates and to commercialize any of our product candidates, if we receive regulatory approval.</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This expected use of net proceeds from this offering and our existing cash, cash equivalents and marketable securities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 We have no current agreements, commitments or understandings for any material acquisitions or licenses of any products, businesses or technologies.</w:t>
      </w:r>
    </w:p>
    <w:p>
      <w:pPr>
        <w:spacing w:after="0" w:line="18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public offering price per share of our common stock you will pay in this offering and the as adjusted net tangible book value per share of our common stock immediately after this offering.</w:t>
      </w:r>
    </w:p>
    <w:p>
      <w:pPr>
        <w:spacing w:after="0" w:line="176" w:lineRule="exact"/>
        <w:rPr>
          <w:sz w:val="20"/>
          <w:szCs w:val="20"/>
          <w:color w:val="auto"/>
        </w:rPr>
      </w:pPr>
    </w:p>
    <w:p>
      <w:pPr>
        <w:jc w:val="both"/>
        <w:ind w:left="120" w:right="340"/>
        <w:spacing w:after="0" w:line="261" w:lineRule="auto"/>
        <w:rPr>
          <w:sz w:val="20"/>
          <w:szCs w:val="20"/>
          <w:color w:val="auto"/>
        </w:rPr>
      </w:pPr>
      <w:r>
        <w:rPr>
          <w:rFonts w:ascii="Times New Roman" w:cs="Times New Roman" w:eastAsia="Times New Roman" w:hAnsi="Times New Roman"/>
          <w:sz w:val="18"/>
          <w:szCs w:val="18"/>
          <w:color w:val="auto"/>
        </w:rPr>
        <w:t>Our historical net tangible book value as of September 30, 2020 was $105.0 million, or $3.82 per share of common stock. Our historical net tangible book value is the amount of our total tangible assets less our total liabilities. Historical net tangible book value per share represents our historical net tangible book value divided by the 27,459,196 shares of common stock outstanding as of September 30, 2020, including 181,213 shares of unvested restricted stock subject to repurchase by us.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After giving effect to the issuance and sale of 4,000,000 shares of common stock that we are offering at the public offering price of $11.00 per share, and after deducting the underwriting discounts and commissions and estimated offering expenses payable by us, our as adjusted net tangible book value as of September 30, 2020 would have been $146.2 million, or $4.65 per share. This represents an immediate increase of $0.83 in as adjusted net tangible book value per share to existing stockholders and immediate dilution of $6.35 in as adjusted net tangible book value per share to investors purchasing shares of our common stock in this offering. Dilution per share to new investors is determined by subtracting as adjusted net tangible book value per share after this offering from the public offering price per share paid by new investors. The following table illustrates this dilution:</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11.00</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per share as of September 30, 2020</w:t>
            </w:r>
          </w:p>
        </w:tc>
        <w:tc>
          <w:tcPr>
            <w:tcW w:w="11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7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as adjusted net tangible book value per share attributable to new investors</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purchasing shares of common stock in this offering</w:t>
            </w:r>
          </w:p>
        </w:tc>
        <w:tc>
          <w:tcPr>
            <w:tcW w:w="11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immediately after this offering</w:t>
            </w:r>
          </w:p>
        </w:tc>
        <w:tc>
          <w:tcPr>
            <w:tcW w:w="2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40" w:type="dxa"/>
            <w:vAlign w:val="bottom"/>
          </w:tcPr>
          <w:p>
            <w:pPr>
              <w:spacing w:after="0"/>
              <w:rPr>
                <w:sz w:val="20"/>
                <w:szCs w:val="20"/>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of common stock in this offering</w:t>
            </w: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6.35</w:t>
            </w:r>
          </w:p>
        </w:tc>
      </w:tr>
      <w:tr>
        <w:trPr>
          <w:trHeight w:val="20"/>
        </w:trPr>
        <w:tc>
          <w:tcPr>
            <w:tcW w:w="6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in full the immediate dilution in as adjusted net tangible book value per share to investors in this offering would be $6.25 per share.</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table and discussion above are based on the number of shares of our common stock outstanding as of September 30, 2020, including 181,213 shares of unvested restricted stock subject to repurchase by us, and exclude:</w:t>
      </w:r>
    </w:p>
    <w:p>
      <w:pPr>
        <w:spacing w:after="0" w:line="67" w:lineRule="exact"/>
        <w:rPr>
          <w:sz w:val="20"/>
          <w:szCs w:val="20"/>
          <w:color w:val="auto"/>
        </w:rPr>
      </w:pPr>
    </w:p>
    <w:p>
      <w:pPr>
        <w:ind w:left="1080" w:right="2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2,868,693 shares of common stock issuable upon exercise of stock options outstanding as of September 30, 2020, at a weighted average exercise price of $11.62 per share;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319,800 shares of common stock issuable upon exercise of stock options granted after September 30, 2020 at a weighted average exercise price of $10.94 per share;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1,860,978 and 485,497 shares of common stock reserved for future issuance as of September 30, 2020 under our 2019 Stock Incentive Plan and our 2019 Employee Stock Purchase Plan, respectively;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 shares of common stock issued and sold after September 30, 2020 pursuant to our “at-the-market” offering program for aggregate gross sale proceeds of $5.9 million, before deducting sales commissions and offering expenses, and the potential issuance of shares of common stock that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remain available for sale as of the date of this prospectus supplement under our “at-the-market” offering program, pursuant to which we may sell common stock for remaining gross proceeds of up to $69.1 million from time to time under our equity distribution agreement with Piper Sandler &amp; Co.</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To the extent that outstanding stock options are exercised, new stock options are issued, or we issue additional shares of common stock in the future, including pursuant to our equity distribution agreement with Piper Sandler &amp; Co., there will be further dilution to investors purchasing shares of common stock in this offering.</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880"/>
          </w:cols>
          <w:pgMar w:left="320" w:top="455" w:right="6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 TAX CONSIDERATIONS FOR NON-U.S. HOLDERS OF COMMON STOCK</w:t>
      </w:r>
    </w:p>
    <w:p>
      <w:pPr>
        <w:spacing w:after="0" w:line="22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material U.S. federal income and estate tax considerations relating to the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w:t>
      </w:r>
    </w:p>
    <w:p>
      <w:pPr>
        <w:spacing w:after="0" w:line="8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the administration of the trust and one or more U.S. persons has authority to control all substantial decisions of the trust or (2) the trust has a valid election in effect under applicable U.S. Treasury Regulations to be treated as a U.S. person.</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the tax treatment of partnerships or other entities that are pass-through entities for U.S. federal income tax purposes or persons who hold shares of our common stock through partnerships or such other pass-through entities.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the purchase, ownership and disposition of our common stock through a partnership or other pass-through entity, as applicable.</w:t>
      </w:r>
    </w:p>
    <w:p>
      <w:pPr>
        <w:spacing w:after="0" w:line="18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change or differing interpretation could alter the tax consequences to non-U.S. holders described in this prospectus supplement. There can be no assurance that the Internal Revenue Service, or the IRS, will not challenge one or more of the tax consequences described in this prospectus supplement.</w:t>
      </w:r>
    </w:p>
    <w:p>
      <w:pPr>
        <w:spacing w:after="0" w:line="183"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This discussion addresses only non-U.S. holders that hold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8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 that hold our common stock as part of a straddle, hedge, conversion transaction, synthetic security or other integrated investment or who have elected to mark securities to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governments;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w:t>
      </w:r>
    </w:p>
    <w:p>
      <w:pPr>
        <w:spacing w:after="0" w:line="329"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 INCLUDING THE CONSEQUENCES OF ANY PROPOSED CHANGES IN APPLICABLE LAWS.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As discussed under the heading “Dividend Policy” above, we do not expect to pay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Any remaining excess will be treated as capital gain, subject to the tax treatment described below under the heading “Gain on Sale, Exchange or Other Taxable Disposition of Our Common Stock.” Any such distributions will also be subject to the discussions below under the headings “Information Reporting and Backup Withholding” and “FATCA.”</w:t>
      </w:r>
    </w:p>
    <w:p>
      <w:pPr>
        <w:spacing w:after="0" w:line="18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8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Non-U.S. holders are urged to consult their own tax advisors regarding their entitlement to benefits under a relevant income tax treaty and the specific methods available to them to satisfy these requirements.</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 non-U.S. holder that is eligible for a reduced rate of U.S. withholding tax under an income tax treaty may obtain a refund or credit of any excess amounts withheld by timely filing an appropriate claim with the IRS.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Sale, Exchange or Other Taxable Disposition of Our Common Stock</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the headings “Information Reporting and Backup Withholding” and “FATCA,” a non-U.S. holder generally will not be subject to U.S. federal income tax or withholding tax on any gain realized upon such non-U.S. holder’s sale, exchange or other disposition of our common stock unless:</w:t>
      </w:r>
    </w:p>
    <w:p>
      <w:pPr>
        <w:spacing w:after="0" w:line="81" w:lineRule="exact"/>
        <w:rPr>
          <w:sz w:val="20"/>
          <w:szCs w:val="20"/>
          <w:color w:val="auto"/>
        </w:rPr>
      </w:pPr>
    </w:p>
    <w:p>
      <w:pPr>
        <w:ind w:left="1080" w:right="20" w:hanging="424"/>
        <w:spacing w:after="0" w:line="25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with respect to the gain,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92"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85" w:lineRule="exact"/>
        <w:rPr>
          <w:rFonts w:ascii="Times New Roman" w:cs="Times New Roman" w:eastAsia="Times New Roman" w:hAnsi="Times New Roman"/>
          <w:sz w:val="18"/>
          <w:szCs w:val="18"/>
          <w:color w:val="auto"/>
        </w:rPr>
      </w:pPr>
    </w:p>
    <w:p>
      <w:pPr>
        <w:ind w:left="1080" w:right="80" w:hanging="424"/>
        <w:spacing w:after="0" w:line="253"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U.S. persons. Generally, a corporation is a “U.S. real property holding corporation” only if the fair market value of its “U.S.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Shares of our common stock that are owned or treated as owned by an individual who is a non-U.S. holder (as specially defined for U.S. federal estate tax purposes) at the time of death are considered U.S.-situs assets and will be included in the individual’s gross estate for U.S. federal estate tax purposes. Such shares, therefore, may be subject to U.S. federal estate tax, unless an applicable estate tax or other treaty provides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IRS 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62"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Provisions of the Code commonly referred to as the Foreign Account Tax Compliance Act, or FATCA, generally impose a 30% withholding tax on dividends on, and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exempt under FATCA.</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Withholding under FATCA generally applies to payments of dividends on our common stock. While withholding under FATCA may also apply to payments of gross proceeds from a sale or other disposition of our common stock, under proposed U.S. Treasury Regulations, withholding on payments of gross proceeds is not required. Although such proposed regulations are not final, applicable withholding agents may rely on the proposed regulations until final regulations are issued.</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w:t>
      </w:r>
    </w:p>
    <w:p>
      <w:pPr>
        <w:spacing w:after="0" w:line="179" w:lineRule="exact"/>
        <w:rPr>
          <w:sz w:val="20"/>
          <w:szCs w:val="20"/>
          <w:color w:val="auto"/>
        </w:rPr>
      </w:pPr>
    </w:p>
    <w:p>
      <w:pPr>
        <w:ind w:left="120" w:right="42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tax considerations is for information only. It is not, and is not intended to be, legal or tax advice. Prospective investors should consult their own tax advisors regarding the particular U.S. federal, state, local, estate and non-U.S. income and other tax consequences of acquiring, holding and disposing of our common stock, including the consequences of any proposed changes in applicable laws.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SVB Leerink LLC, Piper Sandler &amp; Co. and Credit Suisse Securities (USA) LLC are acting as the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0"/>
        </w:trPr>
        <w:tc>
          <w:tcPr>
            <w:tcW w:w="6440" w:type="dxa"/>
            <w:vAlign w:val="bottom"/>
            <w:gridSpan w:val="3"/>
            <w:vMerge w:val="continue"/>
          </w:tcPr>
          <w:p>
            <w:pPr>
              <w:spacing w:after="0"/>
              <w:rPr>
                <w:sz w:val="13"/>
                <w:szCs w:val="13"/>
                <w:color w:val="auto"/>
              </w:rPr>
            </w:pPr>
          </w:p>
        </w:tc>
        <w:tc>
          <w:tcPr>
            <w:tcW w:w="104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SVB Leerink LLC</w:t>
            </w: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1,520,000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 forth on the cover page of this prospectus supplement and to dealers at that price less a concession not in excess of $0.396 per share. After the initial offering of the shares, the public offering price, concession or any other term of this offering may be changed by the representatives.</w:t>
      </w:r>
    </w:p>
    <w:p>
      <w:pPr>
        <w:spacing w:after="0" w:line="176"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Per</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44,000,000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41,360,000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$200,000. We also have agreed to reimburse the underwriters for up to $10,000 for their FINRA counsel fee. In accordance with FINRA Rule 5110, this reimbursed fee is deemed underwriting compensation for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600,000 additional shares at the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and certain of our other existing security holders have agreed not to sell or transfer any common stock or securities convertible into or exchangeable or exercisable for common stock, for 90 days after the date of this prospectus supplement without first obtaining the written consent of SVB Leerink LLC and Piper Sandler &amp; Co. on behalf of the underwriters. Specifically, we and these other persons have agreed, with certain limited exceptions, not to directly or indirectly:</w:t>
      </w:r>
    </w:p>
    <w:p>
      <w:pPr>
        <w:spacing w:after="0" w:line="85" w:lineRule="exact"/>
        <w:rPr>
          <w:sz w:val="20"/>
          <w:szCs w:val="20"/>
          <w:color w:val="auto"/>
        </w:rPr>
      </w:pPr>
    </w:p>
    <w:p>
      <w:pPr>
        <w:ind w:left="1080" w:right="2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w:t>
      </w:r>
    </w:p>
    <w:p>
      <w:pPr>
        <w:spacing w:after="0" w:line="85"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demand filing of, any registration statement with the SEC relating to the offering of any shares of common stock or any securities convertible into or exercisable or exchangeable for common stock; or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restrictions on transfers or other dispositions by holders of our outstanding securities described in the immediately preceding paragraph do not apply to:</w:t>
      </w:r>
    </w:p>
    <w:p>
      <w:pPr>
        <w:spacing w:after="0" w:line="67" w:lineRule="exact"/>
        <w:rPr>
          <w:sz w:val="20"/>
          <w:szCs w:val="20"/>
          <w:color w:val="auto"/>
        </w:rPr>
      </w:pPr>
    </w:p>
    <w:p>
      <w:pPr>
        <w:ind w:left="1080" w:right="10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such open market transactions;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as a bona fide gift or gifts, or to a charitable organization or educational institution in a transaction not involving a disposition for value;</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to any member of the immediate family of the signatory or any trust for the direct or indirect benefit of the signatory or the immediate family of the signatory in a transaction not involving a disposition for value;</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by will, other testamentary document or intestate succession to the legal representative, heir, beneficiary or a member of the immediate family of the signatory upon the death of the signatory or (ii) solely by operation of law pursuant to a qualified domestic order or in connection with a divorce settlement;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signatory is an entity, transfers or distributions of shares of common stock or any security convertible into common stock to general or limited partners, members or stockholders of the signatory, the signatory’s direct and indirect affiliates, or to an investment fund or other entity that controls or manages, or is under common control with, the signatory;</w:t>
      </w:r>
    </w:p>
    <w:p>
      <w:pPr>
        <w:spacing w:after="0" w:line="81"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us pursuant to any contractual arrangement in effect on the date of the lock-up agreement and disclosed to the underwriters that provides for the repurchase of the signatory’s common stock or other securities by us or in connection with the termination of the signatory’s employment with or service to us; provided that, subject to certain limited exceptions, no filing under Section 16(a) of the Exchange Act reporting a reduction in beneficial ownership of shares of common stock shall be required or shall be voluntarily made during the restricted period in connection with any such transfers or dispositions;</w:t>
      </w:r>
    </w:p>
    <w:p>
      <w:pPr>
        <w:spacing w:after="0" w:line="92"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stock options to purchase shares of common stock granted under plans described in this prospectus and any related transfer to us of shares of common stock, subject to certain limitations, including that any shares of common stock received upon exercise shall be subject to the restrictions on transfer set forth in the lock-up agreement; provided that, subject to certain limited exceptions, no filing under Section 16(a) of the Exchange Act reporting a reduction in beneficial ownership of shares of common stock shall be required or shall be voluntarily made during the restricted period;</w:t>
      </w:r>
    </w:p>
    <w:p>
      <w:pPr>
        <w:spacing w:after="0" w:line="88"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regarding the establishment of such plan, such announcement or filing shall include a statement to the effect that no transfer of common stock may be made under such plan during the restricted period;</w:t>
      </w:r>
    </w:p>
    <w:p>
      <w:pPr>
        <w:spacing w:after="0" w:line="88" w:lineRule="exact"/>
        <w:rPr>
          <w:rFonts w:ascii="Times New Roman" w:cs="Times New Roman" w:eastAsia="Times New Roman" w:hAnsi="Times New Roman"/>
          <w:sz w:val="18"/>
          <w:szCs w:val="18"/>
          <w:color w:val="auto"/>
        </w:rPr>
      </w:pPr>
    </w:p>
    <w:p>
      <w:pPr>
        <w:jc w:val="both"/>
        <w:ind w:left="1080" w:right="2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pursuant to a trading plan established pursuant to Rule 10b5-1 under the Exchange Act prior to the date hereof, which trading plan shall not be amended during the restricted period but may be terminated during the restricted period;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transfers of shares of common stock (or any securities convertible into or exercisable or exchangeable for common stock) pursuant to a bona fide third-party tender offer for shares of our capital stock made to all holders of securities, merger, consolidation or other similar transaction approved by our board of directors the result of which is a change of control or (ii) entry into any lock-up, voting or similar agreement pursuant to which the signatory may agree to transfer, sell, tender or otherwise dispose of shares of common stock or such other securities in connection with such a change of control;</w:t>
      </w:r>
    </w:p>
    <w:p>
      <w:pPr>
        <w:spacing w:after="0" w:line="183" w:lineRule="exact"/>
        <w:rPr>
          <w:sz w:val="20"/>
          <w:szCs w:val="20"/>
          <w:color w:val="auto"/>
        </w:rPr>
      </w:pPr>
    </w:p>
    <w:p>
      <w:pPr>
        <w:ind w:left="120" w:right="260"/>
        <w:spacing w:after="0" w:line="256" w:lineRule="auto"/>
        <w:rPr>
          <w:sz w:val="20"/>
          <w:szCs w:val="20"/>
          <w:color w:val="auto"/>
        </w:rPr>
      </w:pPr>
      <w:r>
        <w:rPr>
          <w:rFonts w:ascii="Times New Roman" w:cs="Times New Roman" w:eastAsia="Times New Roman" w:hAnsi="Times New Roman"/>
          <w:sz w:val="18"/>
          <w:szCs w:val="18"/>
          <w:color w:val="auto"/>
        </w:rPr>
        <w:t>provided that in the case of any transfer, disposition or distribution pursuant to the second, third, fourth or fifth bullet (i) each transferee, donee or distributee shall agree to be subject to the restrictions described in the immediately preceding paragraph and (ii) no filing under Section 16(a) of the Exchange Act, reporting a reduction in beneficial ownership of shares of common stock, shall be required or shall be voluntarily made during the restricted period (other than, in the case of a transfer or other disposition pursuant to the third bullet above, any Form 4 or Form 5 required to be filed under the Exchange Act if the signatory is subject to Section 16 reporting with respect to us under the Exchange Act and indicating by footnote disclosure or otherwise the nature of the transfer or disposition).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restrictions on transfers or other dispositions by us described in the paragraph above do not apply to:</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in this offering;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a warrant or the conversion of a security outstanding on the date of this prospectus pursuant to stock plans disclosed in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80" w:hanging="424"/>
        <w:spacing w:after="0" w:line="289"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by us of any options to purchase shares of common stock or other awards granted under a stock incentive plan or stock purchase plan described in this prospectus, and the issuance by us of shares of common stock upon the exercise thereof, provided that we will cause each recipient of such grant to execute and deliver to the underwriters a lock-up agreement if such recipient has not already delivered one;</w:t>
      </w:r>
    </w:p>
    <w:p>
      <w:pPr>
        <w:spacing w:after="0" w:line="63" w:lineRule="exact"/>
        <w:rPr>
          <w:rFonts w:ascii="Times New Roman" w:cs="Times New Roman" w:eastAsia="Times New Roman" w:hAnsi="Times New Roman"/>
          <w:sz w:val="17"/>
          <w:szCs w:val="17"/>
          <w:color w:val="auto"/>
        </w:rPr>
      </w:pPr>
    </w:p>
    <w:p>
      <w:pPr>
        <w:ind w:left="1080" w:right="2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the us of any registration statement on Form S-8 or a successor form thereto relating to the shares of common stock granted pursuant to or reserved for issuance under a stock incentive plan or stock purchase plan described in this prospectus;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other securities issued in connection with a joint venture, equipment leasing arrangement, licensing or collaboration transaction or other strategic transaction with an unaffiliated third party, provided that (x) the aggregate number of shares issued pursuant to this exception will not exceed 5% of the total number of outstanding shares of common stock immediately following the issuance and sale of the shares to be sold in this offering and (y) the recipient of any such shares of common stock and securities issued pursuant to this exception during the restricted period will enter into a lock-up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19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56"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the United Kingdom</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referred to here as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8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shares shall require us or any of the underwriters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w:t>
      </w:r>
    </w:p>
    <w:p>
      <w:pPr>
        <w:spacing w:after="0" w:line="12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or to whom any offer is made will be deemed to have represented, acknowledged and agreed to and with us and the underwriters that it is a qualified investor within the meaning of the Prospectus Regulation and each person who initially acquires any shares or to whom any offer 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made will be deemed to have represented, acknowledged and agreed to and with each of the underwriters and us that it is a “qualified investor” within the meaning of Article 2(e) of the Prospectus Regulation.</w:t>
      </w:r>
    </w:p>
    <w:p>
      <w:pPr>
        <w:spacing w:after="0" w:line="13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the underwriters and each of our and the underwriters’ respective affiliates will rely upon the truth and accuracy of the foregoing representations, acknowledgements and agreements.</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76"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References to the Prospectus Regulation include, in relation to the United Kingdom, the Prospectus Regulation as it forms part of United Kingdom domestic law by virtue of the European Union (Withdrawal) Act 2018, as amended.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 as amended.</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80"/>
          </w:cols>
          <w:pgMar w:left="320" w:top="455" w:right="4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00"/>
          </w:cols>
          <w:pgMar w:left="320" w:top="455" w:right="5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hereby is being passed upon for us by Wilmer Cutler Pickering Hale and Dorr LLP, Boston, Massachusetts. Ropes &amp; Gray LLP, Boston, Massachusetts is acting as counsel for the underwriters in connection with this offering.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Fulcrum Therapeutics, Inc. appearing in Fulcrum Therapeutics, Inc.’s Annual Report (Form 10-K)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supplement and is not incorporated by reference in this prospectus supplement.</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filed with the SEC. The registration statement contains more information than this prospectus supplement and the accompanying prospectus regarding us and the securities, including certain exhibits and schedules. You can obtain a copy of the registration statement from the SEC’s internet site.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and the accompanying prospectus much of the information we file with the SEC, which means that we can disclose important information to you by referring you to those publicly available documents. The information that we incorporate by reference into this prospectus supplement and the accompanying prospectus is considered to be part of this prospectus supplement and the accompanying prospectus. Because we are incorporating by reference future filings with the SEC, this prospectus supplement and the accompanying prospectus is continually updated and those future filings may modify or supersede some of the information included or incorporated in this prospectus supplement and the accompanying prospectus.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and the accompanying prospectus incorporate by reference the documents listed below (File No. 001-38978) and any future filings we make with the SEC under Sections 13(a), 13(c), 14 or 15(d) of the Securities Exchange Act of 1934, as amended (in each case, other than those documents or the portions of those documents not deemed to be filed), until the offering of the securities under the registration statement is terminated or completed:</w:t>
      </w:r>
    </w:p>
    <w:p>
      <w:pPr>
        <w:spacing w:after="0" w:line="97" w:lineRule="exact"/>
        <w:rPr>
          <w:sz w:val="20"/>
          <w:szCs w:val="20"/>
          <w:color w:val="auto"/>
        </w:rPr>
      </w:pPr>
    </w:p>
    <w:p>
      <w:pPr>
        <w:ind w:left="540" w:right="140" w:hanging="316"/>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4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2019, including the information specifically incorporated by reference into the Annual Report on Form 10-K from our </w:t>
      </w:r>
      <w:hyperlink r:id="rId47">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2020 Annual Meeting of Stockholders;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fiscal quarters ended </w:t>
      </w:r>
      <w:hyperlink r:id="rId48">
        <w:r>
          <w:rPr>
            <w:rFonts w:ascii="Times New Roman" w:cs="Times New Roman" w:eastAsia="Times New Roman" w:hAnsi="Times New Roman"/>
            <w:sz w:val="18"/>
            <w:szCs w:val="18"/>
            <w:u w:val="single" w:color="auto"/>
            <w:color w:val="0000EE"/>
          </w:rPr>
          <w:t>March 31, 2020</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June 30,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0">
        <w:r>
          <w:rPr>
            <w:rFonts w:ascii="Times New Roman" w:cs="Times New Roman" w:eastAsia="Times New Roman" w:hAnsi="Times New Roman"/>
            <w:sz w:val="18"/>
            <w:szCs w:val="18"/>
            <w:u w:val="single" w:color="auto"/>
            <w:color w:val="0000EE"/>
          </w:rPr>
          <w:t>September 30, 2020</w:t>
        </w:r>
      </w:hyperlink>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80" w:hanging="316"/>
        <w:spacing w:after="0" w:line="282" w:lineRule="auto"/>
        <w:tabs>
          <w:tab w:leader="none" w:pos="540" w:val="left"/>
        </w:tabs>
        <w:numPr>
          <w:ilvl w:val="0"/>
          <w:numId w:val="2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on </w:t>
      </w:r>
      <w:hyperlink r:id="rId52">
        <w:r>
          <w:rPr>
            <w:rFonts w:ascii="Times New Roman" w:cs="Times New Roman" w:eastAsia="Times New Roman" w:hAnsi="Times New Roman"/>
            <w:sz w:val="18"/>
            <w:szCs w:val="18"/>
            <w:u w:val="single" w:color="auto"/>
            <w:color w:val="0000EE"/>
          </w:rPr>
          <w:t>January 6, 2020</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April 2, 2020</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June 10,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Item 7.01), </w:t>
      </w:r>
      <w:hyperlink r:id="rId55">
        <w:r>
          <w:rPr>
            <w:rFonts w:ascii="Times New Roman" w:cs="Times New Roman" w:eastAsia="Times New Roman" w:hAnsi="Times New Roman"/>
            <w:sz w:val="18"/>
            <w:szCs w:val="18"/>
            <w:u w:val="single" w:color="auto"/>
            <w:color w:val="0000EE"/>
          </w:rPr>
          <w:t>June 11, 2020</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June 26,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7">
        <w:r>
          <w:rPr>
            <w:rFonts w:ascii="Times New Roman" w:cs="Times New Roman" w:eastAsia="Times New Roman" w:hAnsi="Times New Roman"/>
            <w:sz w:val="18"/>
            <w:szCs w:val="18"/>
            <w:u w:val="single" w:color="auto"/>
            <w:color w:val="0000EE"/>
          </w:rPr>
          <w:t>July 23,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540" w:hanging="316"/>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July 12, 2019,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calling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460" w:right="4840" w:hanging="398"/>
        <w:spacing w:after="0" w:line="472" w:lineRule="auto"/>
        <w:tabs>
          <w:tab w:leader="none" w:pos="550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651-8851 S-26</w:t>
      </w:r>
    </w:p>
    <w:p>
      <w:pPr>
        <w:sectPr>
          <w:pgSz w:w="11900" w:h="16838" w:orient="portrait"/>
          <w:cols w:equalWidth="0" w:num="1">
            <w:col w:w="11020"/>
          </w:cols>
          <w:pgMar w:left="320" w:top="455" w:right="5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182245</wp:posOffset>
            </wp:positionV>
            <wp:extent cx="2897505" cy="711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289750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may offer and sell up to $250,000,000 in the aggregate of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87"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firstLine="440"/>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these securities involves significant risks. See “</w:t>
      </w:r>
      <w:hyperlink w:anchor="page36">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176"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17, 2020</w:t>
      </w:r>
    </w:p>
    <w:p>
      <w:pPr>
        <w:sectPr>
          <w:pgSz w:w="11900" w:h="16838" w:orient="portrait"/>
          <w:cols w:equalWidth="0" w:num="1">
            <w:col w:w="11120"/>
          </w:cols>
          <w:pgMar w:left="320" w:top="455" w:right="4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93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1740" w:type="dxa"/>
            <w:vAlign w:val="bottom"/>
          </w:tcPr>
          <w:p>
            <w:pPr>
              <w:spacing w:after="0"/>
              <w:rPr>
                <w:sz w:val="20"/>
                <w:szCs w:val="20"/>
                <w:color w:val="auto"/>
              </w:rPr>
            </w:pPr>
          </w:p>
        </w:tc>
      </w:tr>
      <w:tr>
        <w:trPr>
          <w:trHeight w:val="513"/>
        </w:trPr>
        <w:tc>
          <w:tcPr>
            <w:tcW w:w="934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40" w:type="dxa"/>
            <w:vAlign w:val="bottom"/>
          </w:tcPr>
          <w:p>
            <w:pPr>
              <w:spacing w:after="0"/>
              <w:rPr>
                <w:sz w:val="24"/>
                <w:szCs w:val="24"/>
                <w:color w:val="auto"/>
              </w:rPr>
            </w:pPr>
          </w:p>
        </w:tc>
      </w:tr>
      <w:tr>
        <w:trPr>
          <w:trHeight w:val="45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ABOUT THIS PROSPECTUS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WHERE YOU CAN FIND MORE INFORMATION</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INCORPORATION OF CERTAIN DOCUMENTS BY REFERENCE</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3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CAUTIONARY NOTE REGARDING FORWARD-LOOKING STATEMENTS AND INDUSTRY DATA</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29"/>
        </w:trPr>
        <w:tc>
          <w:tcPr>
            <w:tcW w:w="9340" w:type="dxa"/>
            <w:vAlign w:val="bottom"/>
          </w:tcPr>
          <w:p>
            <w:pPr>
              <w:ind w:left="1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u w:val="single" w:color="auto"/>
                  <w:color w:val="0000EE"/>
                </w:rPr>
                <w:t>ABOUT FULCRUM THERAPEUTICS, INC</w:t>
              </w:r>
              <w:r>
                <w:rPr>
                  <w:rFonts w:ascii="Times New Roman" w:cs="Times New Roman" w:eastAsia="Times New Roman" w:hAnsi="Times New Roman"/>
                  <w:sz w:val="18"/>
                  <w:szCs w:val="18"/>
                  <w:color w:val="0000EE"/>
                </w:rPr>
                <w:t>.</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RISK FACTORS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USE OF PROCEEDS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DESCRIPTION OF DEBT SECURITIES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DESCRIPTION OF CAPITAL STOCK</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3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DESCRIPTION OF DEPOSITARY SHARES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DESCRIPTION OF UNITS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3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DESCRIPTION OF WARRANTS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FORMS OF SECURITIES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PLAN OF DISTRIBUTION</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3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LEGAL MATTERS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8"/>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EXPERTS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bl>
    <w:p>
      <w:pPr>
        <w:jc w:val="right"/>
        <w:spacing w:after="0"/>
        <w:rPr>
          <w:sz w:val="20"/>
          <w:szCs w:val="20"/>
          <w:color w:val="auto"/>
        </w:rPr>
        <w:sectPr>
          <w:pgSz w:w="11900" w:h="16838" w:orient="portrait"/>
          <w:cols w:equalWidth="0" w:num="1">
            <w:col w:w="11080"/>
          </w:cols>
          <w:pgMar w:left="320" w:top="45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on page 2 of this prospectus.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“we,” “our” and “us” refer, collectively, to Fulcrum Therapeutics, Inc., a Delaware corporation, and its consolidated subsidiary.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221" w:lineRule="exact"/>
        <w:rPr>
          <w:sz w:val="20"/>
          <w:szCs w:val="20"/>
          <w:color w:val="auto"/>
        </w:rPr>
      </w:pPr>
    </w:p>
    <w:p>
      <w:pPr>
        <w:ind w:left="1080" w:right="5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4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2019, including the information specifically incorporated by reference into the Annual Report on Form 10-K from our </w:t>
      </w:r>
      <w:hyperlink r:id="rId47">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2020 Annual Meeting of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fiscal quarters ended </w:t>
      </w:r>
      <w:hyperlink r:id="rId48">
        <w:r>
          <w:rPr>
            <w:rFonts w:ascii="Times New Roman" w:cs="Times New Roman" w:eastAsia="Times New Roman" w:hAnsi="Times New Roman"/>
            <w:sz w:val="18"/>
            <w:szCs w:val="18"/>
            <w:u w:val="single" w:color="auto"/>
            <w:color w:val="0000EE"/>
          </w:rPr>
          <w:t>March 31,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9">
        <w:r>
          <w:rPr>
            <w:rFonts w:ascii="Times New Roman" w:cs="Times New Roman" w:eastAsia="Times New Roman" w:hAnsi="Times New Roman"/>
            <w:sz w:val="18"/>
            <w:szCs w:val="18"/>
            <w:u w:val="single" w:color="auto"/>
            <w:color w:val="0000EE"/>
          </w:rPr>
          <w:t>June 30, 2020</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on </w:t>
      </w:r>
      <w:hyperlink r:id="rId52">
        <w:r>
          <w:rPr>
            <w:rFonts w:ascii="Times New Roman" w:cs="Times New Roman" w:eastAsia="Times New Roman" w:hAnsi="Times New Roman"/>
            <w:sz w:val="18"/>
            <w:szCs w:val="18"/>
            <w:u w:val="single" w:color="auto"/>
            <w:color w:val="0000EE"/>
          </w:rPr>
          <w:t>January 6, 2020</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April 2, 2020</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June 10, 2020</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 xml:space="preserve">June 11, 2020, </w:t>
        </w:r>
      </w:hyperlink>
      <w:hyperlink r:id="rId56">
        <w:r>
          <w:rPr>
            <w:rFonts w:ascii="Times New Roman" w:cs="Times New Roman" w:eastAsia="Times New Roman" w:hAnsi="Times New Roman"/>
            <w:sz w:val="18"/>
            <w:szCs w:val="18"/>
            <w:u w:val="single" w:color="auto"/>
            <w:color w:val="auto"/>
          </w:rPr>
          <w:t xml:space="preserve">June </w:t>
        </w:r>
        <w:r>
          <w:rPr>
            <w:rFonts w:ascii="Times New Roman" w:cs="Times New Roman" w:eastAsia="Times New Roman" w:hAnsi="Times New Roman"/>
            <w:sz w:val="18"/>
            <w:szCs w:val="18"/>
            <w:u w:val="single" w:color="auto"/>
            <w:color w:val="0000EE"/>
          </w:rPr>
          <w:t>26, 2020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7">
        <w:r>
          <w:rPr>
            <w:rFonts w:ascii="Times New Roman" w:cs="Times New Roman" w:eastAsia="Times New Roman" w:hAnsi="Times New Roman"/>
            <w:sz w:val="18"/>
            <w:szCs w:val="18"/>
            <w:u w:val="single" w:color="auto"/>
            <w:color w:val="0000EE"/>
          </w:rPr>
          <w:t>July 23, 2020</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July 12, 2019,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calling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651-8851</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80"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symbols, but we will assert, to the fullest extent under applicable law, our rights to our trademarks, service marks and trade names.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described under “Risk Factors” in our most recent Annual Report on Form 10-K, our most recent Quarterly Report on Form 10-Q and in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potential acquisition of, or investment in, companies, technologies, products or assets that complement our business, and repayment and refinancing of debt. We have not determined the amount of net proceeds to be used specifically for such purposes. As a result, management will retain broad discretion over the allocation of net proceeds.</w:t>
      </w:r>
    </w:p>
    <w:p>
      <w:pPr>
        <w:spacing w:after="0" w:line="10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0"/>
          </w:cols>
          <w:pgMar w:left="320" w:top="455" w:right="7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9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 such debt securities.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our subsidiary.</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type of the debt securities;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 and, with respect to any subordinated debt securities the terms on which they are subordinated;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at which the debt securities will bear interest, or the method of determining such rate or rates;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method of determination of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fund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dates, prices, obligations and restrictions on the debt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features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subject to the defeasance provisions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definitive or global form or in definitive form only upon satisfaction of certain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as to payment or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defaults or covenants in addition to or in lieu of those set forth in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Unless we indicate otherwise in a prospectus supplement with respect to a particular series of senior debt securities, the senior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w:t>
      </w:r>
    </w:p>
    <w:p>
      <w:pPr>
        <w:spacing w:after="0" w:line="180" w:lineRule="exact"/>
        <w:rPr>
          <w:sz w:val="20"/>
          <w:szCs w:val="20"/>
          <w:color w:val="auto"/>
        </w:rPr>
      </w:pPr>
    </w:p>
    <w:p>
      <w:pPr>
        <w:jc w:val="both"/>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Unless we indicate otherwise in a prospectus supplement with respect to a particular series of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any, is a U.S. corporation, limited liability company, partnership or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assumes our obligations on the senior debt securities and under the senior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80"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60"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Protection in the Event of a Change in Control. </w:t>
      </w:r>
      <w:r>
        <w:rPr>
          <w:rFonts w:ascii="Times New Roman" w:cs="Times New Roman" w:eastAsia="Times New Roman" w:hAnsi="Times New Roman"/>
          <w:sz w:val="18"/>
          <w:szCs w:val="18"/>
          <w:color w:val="auto"/>
        </w:rPr>
        <w:t>Unless we indicate otherwise in a prospectus supplement with respect to a particular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indicate otherwise in a prospectus supplement with respect to a particular series of senior debt securities,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are events of default under the senior indenture with respect to senior debt securities of each series:</w:t>
      </w:r>
    </w:p>
    <w:p>
      <w:pPr>
        <w:spacing w:after="0" w:line="66" w:lineRule="exact"/>
        <w:rPr>
          <w:sz w:val="20"/>
          <w:szCs w:val="20"/>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whether or not voluntary;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senior debt securities as may be specified in the applicable prospectus supplement.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default by us under any other debt, including any other series of debt securities, is not a default under the senior indenture.</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8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9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senior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0"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We can satisfy and discharge our obligations to holders of any series of debt securities if:</w:t>
      </w:r>
    </w:p>
    <w:p>
      <w:pPr>
        <w:spacing w:after="0" w:line="133" w:lineRule="exact"/>
        <w:rPr>
          <w:sz w:val="20"/>
          <w:szCs w:val="20"/>
          <w:color w:val="auto"/>
        </w:rPr>
      </w:pPr>
    </w:p>
    <w:p>
      <w:pPr>
        <w:ind w:left="1080" w:right="1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the principal of and interest on all senior debt securities of such series (with certain limited exceptions) when due and payable;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senior trustee for cancellation all senior debt securities of such series theretofore authenticated under the senior indenture (with certain limited exceptions);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74" w:lineRule="exact"/>
        <w:rPr>
          <w:sz w:val="20"/>
          <w:szCs w:val="20"/>
          <w:color w:val="auto"/>
        </w:rPr>
      </w:pPr>
    </w:p>
    <w:p>
      <w:pPr>
        <w:ind w:left="120" w:right="7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Unless the applicable prospectus supplement provides otherwise, the following discussion of legal defeasance and covenant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defeasance will apply to any series of debt securities issued under the indentures.</w:t>
      </w:r>
    </w:p>
    <w:p>
      <w:pPr>
        <w:spacing w:after="0" w:line="158" w:lineRule="exact"/>
        <w:rPr>
          <w:sz w:val="20"/>
          <w:szCs w:val="20"/>
          <w:color w:val="auto"/>
        </w:rPr>
      </w:pPr>
    </w:p>
    <w:p>
      <w:pPr>
        <w:ind w:left="120" w:right="5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We can legally release ourselves from any payment or other obligations on the debt securities of any series (called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defeasance”) if certain conditions are met, including the following:</w:t>
      </w:r>
    </w:p>
    <w:p>
      <w:pPr>
        <w:spacing w:after="0" w:line="66" w:lineRule="exact"/>
        <w:rPr>
          <w:sz w:val="20"/>
          <w:szCs w:val="20"/>
          <w:color w:val="auto"/>
        </w:rPr>
      </w:pPr>
    </w:p>
    <w:p>
      <w:pPr>
        <w:ind w:left="1080" w:right="2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5"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Without any change in current U.S. federal tax law, we can make the same type of deposit described above and be released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87" w:lineRule="exact"/>
        <w:rPr>
          <w:sz w:val="20"/>
          <w:szCs w:val="20"/>
          <w:color w:val="auto"/>
        </w:rPr>
      </w:pPr>
    </w:p>
    <w:p>
      <w:pPr>
        <w:ind w:left="108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We and the trustee may amend or supplement the senior indenture or the senior debt securities of any series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of any holder:</w:t>
      </w:r>
    </w:p>
    <w:p>
      <w:pPr>
        <w:spacing w:after="0" w:line="66"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assets as security for the senior debt securities of one or more series;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1"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requirements of the SEC in order to effect or maintain the qualification of the senior indenture under the Trust Indenture Act of 1939, as amended (the “Trust Indenture Act”);</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add guarantors with respect to the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senior debt securities as permitted by the senior indenture;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senior debt securities of any series so long as no senior debt securities of such series are outstanding;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material respect.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85"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final maturity of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rate, or extends the time for payment of, interest on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amount payable upon the redemption of any senior debt securities of such series;</w:t>
      </w:r>
    </w:p>
    <w:p>
      <w:pPr>
        <w:spacing w:after="0" w:line="130" w:lineRule="exact"/>
        <w:rPr>
          <w:rFonts w:ascii="Times New Roman" w:cs="Times New Roman" w:eastAsia="Times New Roman" w:hAnsi="Times New Roman"/>
          <w:sz w:val="18"/>
          <w:szCs w:val="18"/>
          <w:color w:val="auto"/>
        </w:rPr>
      </w:pPr>
    </w:p>
    <w:p>
      <w:pPr>
        <w:ind w:left="5540" w:right="2640" w:hanging="4884"/>
        <w:spacing w:after="0" w:line="454" w:lineRule="auto"/>
        <w:tabs>
          <w:tab w:leader="none" w:pos="10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currency of payment of principal of or interest on any senior debt securities of such series; 13</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original issue discount securities payable upon acceleration of maturity or the amount provable in bankruptcy;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the right to convert or exchange senior debt securities into common stock or other property in accordance with the terms of the senior debt securities; or</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 Personal Liability of Incorporators, Stockholders, Officers or Directors. </w:t>
      </w:r>
      <w:r>
        <w:rPr>
          <w:rFonts w:ascii="Times New Roman" w:cs="Times New Roman" w:eastAsia="Times New Roman" w:hAnsi="Times New Roman"/>
          <w:sz w:val="18"/>
          <w:szCs w:val="18"/>
          <w:color w:val="auto"/>
        </w:rPr>
        <w:t>The senior indenture provides that no recourse shall be had under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Concerning the Trustee. </w:t>
      </w:r>
      <w:r>
        <w:rPr>
          <w:rFonts w:ascii="Times New Roman" w:cs="Times New Roman" w:eastAsia="Times New Roman" w:hAnsi="Times New Roman"/>
          <w:sz w:val="18"/>
          <w:szCs w:val="18"/>
          <w:color w:val="auto"/>
        </w:rPr>
        <w:t>The senior indenture provides that, except during the continuance of an event of default, the trustee will not be liable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senior trustee in the ordinary course of business.</w:t>
      </w:r>
    </w:p>
    <w:p>
      <w:pPr>
        <w:spacing w:after="0" w:line="223"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Unclaimed Funds. </w:t>
      </w:r>
      <w:r>
        <w:rPr>
          <w:rFonts w:ascii="Times New Roman" w:cs="Times New Roman" w:eastAsia="Times New Roman" w:hAnsi="Times New Roman"/>
          <w:sz w:val="18"/>
          <w:szCs w:val="18"/>
          <w:color w:val="auto"/>
        </w:rPr>
        <w:t>All funds deposited with the trustee or any paying agent for the payment of principal, premium, interest or additional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respect of the senior debt securities that remain unclaimed for</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60"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senior indenture and the senior debt securities will be governed by, and construed in accordance with, the internal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New York.</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Subordinated Debt Securities</w:t>
      </w:r>
    </w:p>
    <w:p>
      <w:pPr>
        <w:spacing w:after="0" w:line="12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or different subordination terms may be specified in the prospectus supplement applicable to a particular series.</w:t>
      </w:r>
    </w:p>
    <w:p>
      <w:pPr>
        <w:spacing w:after="0" w:line="22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The indebtedness evidenced by the subordinated debt securities is subordinate to the prior payment in full of all of our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87"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5"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for money borrowed;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evidenced by notes, debentures, bonds or other securities sold by that person for money;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 obligations that are capitalized on the books of that person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5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7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June 30, 2020, we had issued and outstanding 27,452,872 shares of our common stock held by 75 stockholders of record (not including beneficial owners whose shares are held in “nominee” or “street” name), including 229,076 shares of unvested restricted stock subject to repurchase by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8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89"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45"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stock and the number of shares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elected to offer depositary shares as described under “Description of Depositary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78"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Unless otherwise specified in the prospectus supplement, the preferred stock will, with respect to dividend rights and rights upon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dissolution or winding up of our affairs, rank:</w:t>
      </w:r>
    </w:p>
    <w:p>
      <w:pPr>
        <w:spacing w:after="0" w:line="187" w:lineRule="exact"/>
        <w:rPr>
          <w:sz w:val="20"/>
          <w:szCs w:val="20"/>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188"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88"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223" w:lineRule="exact"/>
        <w:rPr>
          <w:sz w:val="20"/>
          <w:szCs w:val="20"/>
          <w:color w:val="auto"/>
        </w:rPr>
      </w:pPr>
    </w:p>
    <w:p>
      <w:pPr>
        <w:ind w:left="120" w:right="6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preferred stock of each series will be entitled to receive, when, as and if declared by our board of directors,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at such rates and on such dates described in the prospectus supplement.</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7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7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voluntary or involuntary liquidation, dissolution or winding up of our affairs, then, before we make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1"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If so provided in the applicable prospectus supplement, the preferred stock will be subject to mandatory redemption or redemption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option, as a whole or in part, in each case upon the terms, at the times and at the redemption prices set forth in such prospectus supplement.</w:t>
      </w:r>
    </w:p>
    <w:p>
      <w:pPr>
        <w:spacing w:after="0" w:line="16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preferred stock that shall be redeemed by us in each year commencing after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97" w:lineRule="exact"/>
        <w:rPr>
          <w:sz w:val="20"/>
          <w:szCs w:val="20"/>
          <w:color w:val="auto"/>
        </w:rPr>
      </w:pPr>
    </w:p>
    <w:p>
      <w:pPr>
        <w:ind w:left="1080" w:right="2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will not acquire any preferred stock of a series unless:</w:t>
      </w:r>
    </w:p>
    <w:p>
      <w:pPr>
        <w:spacing w:after="0" w:line="131" w:lineRule="exact"/>
        <w:rPr>
          <w:sz w:val="20"/>
          <w:szCs w:val="20"/>
          <w:color w:val="auto"/>
        </w:rPr>
      </w:pPr>
    </w:p>
    <w:p>
      <w:pPr>
        <w:ind w:left="1080" w:right="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76"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45"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preferred stock to be redeemed;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such preferred stock are to be surrendered for payment of 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accrue on such redemption date;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conversion rights, if any, as to such shares shall terminate;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number of shares to be redeemed from each such holder if fewer than all the shares of any series are to be redeemed.</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74"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preferred stock will not have any voting rights, except as required by law or as indicated in the applicable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w:t>
      </w:r>
    </w:p>
    <w:p>
      <w:pPr>
        <w:spacing w:after="0" w:line="16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terms and conditions, if any, upon which any series of preferred stock is convertible into our common stock will be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preferred stock will be set forth in the applicable prospectus supplement.</w:t>
      </w:r>
    </w:p>
    <w:p>
      <w:pPr>
        <w:spacing w:after="0" w:line="331" w:lineRule="exact"/>
        <w:rPr>
          <w:sz w:val="20"/>
          <w:szCs w:val="20"/>
          <w:color w:val="auto"/>
        </w:rPr>
      </w:pPr>
    </w:p>
    <w:p>
      <w:pPr>
        <w:ind w:left="120" w:right="53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Delaware Anti-Takeover Law and Certain Charter and Bylaw Provisions </w:t>
      </w:r>
      <w:r>
        <w:rPr>
          <w:rFonts w:ascii="Times New Roman" w:cs="Times New Roman" w:eastAsia="Times New Roman" w:hAnsi="Times New Roman"/>
          <w:sz w:val="18"/>
          <w:szCs w:val="18"/>
          <w:b w:val="1"/>
          <w:bCs w:val="1"/>
          <w:i w:val="1"/>
          <w:iCs w:val="1"/>
          <w:color w:val="auto"/>
        </w:rPr>
        <w:t>Delaware Law</w:t>
      </w:r>
    </w:p>
    <w:p>
      <w:pPr>
        <w:spacing w:after="0" w:line="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 Removal of Directors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 Advance Notice Requirements for Stockholder Proposals and Director Nominations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w:t>
      </w:r>
    </w:p>
    <w:p>
      <w:pPr>
        <w:spacing w:after="0" w:line="3" w:lineRule="exact"/>
        <w:rPr>
          <w:sz w:val="20"/>
          <w:szCs w:val="20"/>
          <w:color w:val="auto"/>
        </w:rPr>
      </w:pPr>
    </w:p>
    <w:p>
      <w:pPr>
        <w:ind w:left="120" w:right="80" w:hanging="4"/>
        <w:spacing w:after="0" w:line="253" w:lineRule="auto"/>
        <w:tabs>
          <w:tab w:leader="none" w:pos="3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and Form S-3 Registration Rights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Incidental Registration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Computershare Trust Company, N.A.</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139"/>
          </w:cols>
          <w:pgMar w:left="320" w:top="455" w:right="1440"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67"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We may issue units comprised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7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1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relating to the issuance, payment, settlement, transfer or exchange of the units or of the securities comprising the units;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of the governing unit agreement that differ from those described above.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preferred stock or depositary shares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preferred stock or depositary shares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40"/>
          </w:cols>
          <w:pgMar w:left="320" w:top="455" w:right="5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0"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 negotiated sales or competitively bid transactions;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2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40"/>
          </w:cols>
          <w:pgMar w:left="320" w:top="455" w:right="5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Wilmer Cutler Pickering Hale and Dorr LLP.</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Fulcrum Therapeutics, Inc. appearing in Fulcrum Therapeutics, Inc.’s Annual Report (Form 10-K)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65" w:name="page66"/>
    <w:bookmarkEnd w:id="6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1801495</wp:posOffset>
            </wp:positionV>
            <wp:extent cx="2897505" cy="7118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2897505" cy="71183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upperLetter"/>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617"/>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617"/>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4"/>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1"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jpe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jpeg"/><Relationship Id="rId46" Type="http://schemas.openxmlformats.org/officeDocument/2006/relationships/hyperlink" Target="http://www.sec.gov/Archives/edgar/data/1680581/000156459020008951/fulc-10k_20191231.htm" TargetMode="External"/><Relationship Id="rId47" Type="http://schemas.openxmlformats.org/officeDocument/2006/relationships/hyperlink" Target="http://www.sec.gov/Archives/edgar/data/1680581/000119312520124813/d895226ddef14a.htm" TargetMode="External"/><Relationship Id="rId48" Type="http://schemas.openxmlformats.org/officeDocument/2006/relationships/hyperlink" Target="http://www.sec.gov/Archives/edgar/data/1680581/000156459020024866/fulc-10q_20200331.htm" TargetMode="External"/><Relationship Id="rId49" Type="http://schemas.openxmlformats.org/officeDocument/2006/relationships/hyperlink" Target="http://www.sec.gov/Archives/edgar/data/1680581/000156459020039121/fulc-10q_20200630.htm" TargetMode="External"/><Relationship Id="rId50" Type="http://schemas.openxmlformats.org/officeDocument/2006/relationships/hyperlink" Target="http://www.sec.gov/Archives/edgar/data/1680581/000156459020052732/fulc-10q_20200930.htm" TargetMode="External"/><Relationship Id="rId52" Type="http://schemas.openxmlformats.org/officeDocument/2006/relationships/hyperlink" Target="http://www.sec.gov/Archives/edgar/data/1680581/000119312520001768/d831315d8k.htm" TargetMode="External"/><Relationship Id="rId53" Type="http://schemas.openxmlformats.org/officeDocument/2006/relationships/hyperlink" Target="http://www.sec.gov/Archives/edgar/data/1680581/000156459020014860/fulc-8k_20200331.htm" TargetMode="External"/><Relationship Id="rId54" Type="http://schemas.openxmlformats.org/officeDocument/2006/relationships/hyperlink" Target="http://www.sec.gov/Archives/edgar/data/1680581/000119312520165696/d857108d8k.htm" TargetMode="External"/><Relationship Id="rId55" Type="http://schemas.openxmlformats.org/officeDocument/2006/relationships/hyperlink" Target="http://www.sec.gov/Archives/edgar/data/1680581/000119312520166654/d941094d8k.htm" TargetMode="External"/><Relationship Id="rId56" Type="http://schemas.openxmlformats.org/officeDocument/2006/relationships/hyperlink" Target="http://www.sec.gov/Archives/edgar/data/1680581/000119312520181057/d944287d8k.htm" TargetMode="External"/><Relationship Id="rId57" Type="http://schemas.openxmlformats.org/officeDocument/2006/relationships/hyperlink" Target="http://www.sec.gov/Archives/edgar/data/1680581/000119312520197820/d77378d8k.htm" TargetMode="External"/><Relationship Id="rId58" Type="http://schemas.openxmlformats.org/officeDocument/2006/relationships/hyperlink" Target="http://www.sec.gov/Archives/edgar/data/1680581/000110465919040208/a19-3408_7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2021-01-20T15:03:55Z</dcterms:created>
  <dcterms:modified xsi:type="dcterms:W3CDTF">2021-01-20T15:03:55Z</dcterms:modified>
</cp:coreProperties>
</file>