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August 11,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333-239353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Post-Effective Amendment No. 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S-1 on FORM S-3</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tbl>
      <w:tblPr>
        <w:tblLayout w:type="fixed"/>
        <w:tblInd w:w="2020" w:type="dxa"/>
        <w:tblCellMar>
          <w:top w:w="0" w:type="dxa"/>
          <w:left w:w="0" w:type="dxa"/>
          <w:bottom w:w="0" w:type="dxa"/>
          <w:right w:w="0" w:type="dxa"/>
        </w:tblCellMar>
      </w:tblPr>
      <w:tr>
        <w:trPr>
          <w:trHeight w:val="161"/>
        </w:trPr>
        <w:tc>
          <w:tcPr>
            <w:tcW w:w="3740" w:type="dxa"/>
            <w:vAlign w:val="bottom"/>
          </w:tcPr>
          <w:p>
            <w:pPr>
              <w:jc w:val="center"/>
              <w:ind w:right="1968"/>
              <w:spacing w:after="0"/>
              <w:rPr>
                <w:sz w:val="20"/>
                <w:szCs w:val="20"/>
                <w:color w:val="auto"/>
              </w:rPr>
            </w:pPr>
            <w:r>
              <w:rPr>
                <w:rFonts w:ascii="Arial" w:cs="Arial" w:eastAsia="Arial" w:hAnsi="Arial"/>
                <w:sz w:val="14"/>
                <w:szCs w:val="14"/>
                <w:b w:val="1"/>
                <w:bCs w:val="1"/>
                <w:color w:val="auto"/>
                <w:w w:val="94"/>
              </w:rPr>
              <w:t>Delaware</w:t>
            </w:r>
          </w:p>
        </w:tc>
        <w:tc>
          <w:tcPr>
            <w:tcW w:w="3340" w:type="dxa"/>
            <w:vAlign w:val="bottom"/>
          </w:tcPr>
          <w:p>
            <w:pPr>
              <w:jc w:val="center"/>
              <w:ind w:left="1948"/>
              <w:spacing w:after="0"/>
              <w:rPr>
                <w:sz w:val="20"/>
                <w:szCs w:val="20"/>
                <w:color w:val="auto"/>
              </w:rPr>
            </w:pPr>
            <w:r>
              <w:rPr>
                <w:rFonts w:ascii="Arial" w:cs="Arial" w:eastAsia="Arial" w:hAnsi="Arial"/>
                <w:sz w:val="14"/>
                <w:szCs w:val="14"/>
                <w:b w:val="1"/>
                <w:bCs w:val="1"/>
                <w:color w:val="auto"/>
                <w:w w:val="90"/>
              </w:rPr>
              <w:t>47-4839948</w:t>
            </w:r>
          </w:p>
        </w:tc>
      </w:tr>
      <w:tr>
        <w:trPr>
          <w:trHeight w:val="148"/>
        </w:trPr>
        <w:tc>
          <w:tcPr>
            <w:tcW w:w="3740" w:type="dxa"/>
            <w:vAlign w:val="bottom"/>
          </w:tcPr>
          <w:p>
            <w:pPr>
              <w:jc w:val="center"/>
              <w:ind w:right="194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340" w:type="dxa"/>
            <w:vAlign w:val="bottom"/>
          </w:tcPr>
          <w:p>
            <w:pPr>
              <w:jc w:val="center"/>
              <w:ind w:left="1948"/>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3740" w:type="dxa"/>
            <w:vAlign w:val="bottom"/>
          </w:tcPr>
          <w:p>
            <w:pPr>
              <w:jc w:val="center"/>
              <w:ind w:right="1948"/>
              <w:spacing w:after="0"/>
              <w:rPr>
                <w:sz w:val="20"/>
                <w:szCs w:val="20"/>
                <w:color w:val="auto"/>
              </w:rPr>
            </w:pPr>
            <w:r>
              <w:rPr>
                <w:rFonts w:ascii="Arial" w:cs="Arial" w:eastAsia="Arial" w:hAnsi="Arial"/>
                <w:sz w:val="14"/>
                <w:szCs w:val="14"/>
                <w:color w:val="auto"/>
                <w:w w:val="94"/>
              </w:rPr>
              <w:t>incorporation or organization)</w:t>
            </w:r>
          </w:p>
        </w:tc>
        <w:tc>
          <w:tcPr>
            <w:tcW w:w="3340" w:type="dxa"/>
            <w:vAlign w:val="bottom"/>
          </w:tcPr>
          <w:p>
            <w:pPr>
              <w:jc w:val="center"/>
              <w:ind w:left="1948"/>
              <w:spacing w:after="0"/>
              <w:rPr>
                <w:sz w:val="20"/>
                <w:szCs w:val="20"/>
                <w:color w:val="auto"/>
              </w:rPr>
            </w:pPr>
            <w:r>
              <w:rPr>
                <w:rFonts w:ascii="Arial" w:cs="Arial" w:eastAsia="Arial" w:hAnsi="Arial"/>
                <w:sz w:val="14"/>
                <w:szCs w:val="14"/>
                <w:color w:val="auto"/>
                <w:w w:val="96"/>
              </w:rPr>
              <w:t>Identification Number)</w:t>
            </w:r>
          </w:p>
        </w:tc>
      </w:tr>
    </w:tbl>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26 Landsdowne Street</w:t>
      </w:r>
    </w:p>
    <w:p>
      <w:pPr>
        <w:jc w:val="center"/>
        <w:ind w:right="-119"/>
        <w:spacing w:after="0" w:line="226" w:lineRule="auto"/>
        <w:rPr>
          <w:sz w:val="20"/>
          <w:szCs w:val="20"/>
          <w:color w:val="auto"/>
        </w:rPr>
      </w:pPr>
      <w:r>
        <w:rPr>
          <w:rFonts w:ascii="Arial" w:cs="Arial" w:eastAsia="Arial" w:hAnsi="Arial"/>
          <w:sz w:val="14"/>
          <w:szCs w:val="14"/>
          <w:b w:val="1"/>
          <w:bCs w:val="1"/>
          <w:color w:val="auto"/>
        </w:rPr>
        <w:t>Cambridge, Massachusetts 02139</w:t>
      </w:r>
    </w:p>
    <w:p>
      <w:pPr>
        <w:jc w:val="center"/>
        <w:ind w:right="-119"/>
        <w:spacing w:after="0" w:line="221" w:lineRule="auto"/>
        <w:rPr>
          <w:sz w:val="20"/>
          <w:szCs w:val="20"/>
          <w:color w:val="auto"/>
        </w:rPr>
      </w:pPr>
      <w:r>
        <w:rPr>
          <w:rFonts w:ascii="Arial" w:cs="Arial" w:eastAsia="Arial" w:hAnsi="Arial"/>
          <w:sz w:val="14"/>
          <w:szCs w:val="14"/>
          <w:b w:val="1"/>
          <w:bCs w:val="1"/>
          <w:color w:val="auto"/>
        </w:rPr>
        <w:t>(617) 651-8851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Robert J. Gould, Ph.D.</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Fulcrum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26 Landsdowne Street</w:t>
      </w:r>
    </w:p>
    <w:p>
      <w:pPr>
        <w:jc w:val="center"/>
        <w:ind w:right="-119"/>
        <w:spacing w:after="0" w:line="221" w:lineRule="auto"/>
        <w:rPr>
          <w:sz w:val="20"/>
          <w:szCs w:val="20"/>
          <w:color w:val="auto"/>
        </w:rPr>
      </w:pPr>
      <w:r>
        <w:rPr>
          <w:rFonts w:ascii="Arial" w:cs="Arial" w:eastAsia="Arial" w:hAnsi="Arial"/>
          <w:sz w:val="14"/>
          <w:szCs w:val="14"/>
          <w:b w:val="1"/>
          <w:bCs w:val="1"/>
          <w:color w:val="auto"/>
        </w:rPr>
        <w:t>Cambridge, Massachusetts 02139</w:t>
      </w:r>
    </w:p>
    <w:p>
      <w:pPr>
        <w:jc w:val="center"/>
        <w:ind w:right="-119"/>
        <w:spacing w:after="0" w:line="222" w:lineRule="auto"/>
        <w:rPr>
          <w:sz w:val="20"/>
          <w:szCs w:val="20"/>
          <w:color w:val="auto"/>
        </w:rPr>
      </w:pPr>
      <w:r>
        <w:rPr>
          <w:rFonts w:ascii="Arial" w:cs="Arial" w:eastAsia="Arial" w:hAnsi="Arial"/>
          <w:sz w:val="14"/>
          <w:szCs w:val="14"/>
          <w:b w:val="1"/>
          <w:bCs w:val="1"/>
          <w:color w:val="auto"/>
        </w:rPr>
        <w:t>(617) 651-8851</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tbl>
      <w:tblPr>
        <w:tblLayout w:type="fixed"/>
        <w:tblInd w:w="150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472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166"/>
        </w:trPr>
        <w:tc>
          <w:tcPr>
            <w:tcW w:w="3260" w:type="dxa"/>
            <w:vAlign w:val="bottom"/>
          </w:tcPr>
          <w:p>
            <w:pPr>
              <w:jc w:val="center"/>
              <w:ind w:right="388"/>
              <w:spacing w:after="0"/>
              <w:rPr>
                <w:sz w:val="20"/>
                <w:szCs w:val="20"/>
                <w:color w:val="auto"/>
              </w:rPr>
            </w:pPr>
            <w:r>
              <w:rPr>
                <w:rFonts w:ascii="Arial" w:cs="Arial" w:eastAsia="Arial" w:hAnsi="Arial"/>
                <w:sz w:val="14"/>
                <w:szCs w:val="14"/>
                <w:b w:val="1"/>
                <w:bCs w:val="1"/>
                <w:color w:val="auto"/>
                <w:w w:val="95"/>
              </w:rPr>
              <w:t>Lia Der Marderosian, Esq.</w:t>
            </w:r>
          </w:p>
        </w:tc>
        <w:tc>
          <w:tcPr>
            <w:tcW w:w="4720" w:type="dxa"/>
            <w:vAlign w:val="bottom"/>
          </w:tcPr>
          <w:p>
            <w:pPr>
              <w:jc w:val="center"/>
              <w:ind w:left="2585"/>
              <w:spacing w:after="0"/>
              <w:rPr>
                <w:sz w:val="20"/>
                <w:szCs w:val="20"/>
                <w:color w:val="auto"/>
              </w:rPr>
            </w:pPr>
            <w:r>
              <w:rPr>
                <w:rFonts w:ascii="Arial" w:cs="Arial" w:eastAsia="Arial" w:hAnsi="Arial"/>
                <w:sz w:val="14"/>
                <w:szCs w:val="14"/>
                <w:b w:val="1"/>
                <w:bCs w:val="1"/>
                <w:color w:val="auto"/>
                <w:w w:val="96"/>
              </w:rPr>
              <w:t>Bryan E. Stuart</w:t>
            </w:r>
          </w:p>
        </w:tc>
      </w:tr>
      <w:tr>
        <w:trPr>
          <w:trHeight w:val="149"/>
        </w:trPr>
        <w:tc>
          <w:tcPr>
            <w:tcW w:w="32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0"/>
              </w:rPr>
              <w:t>Steven D. Singer, Esq.</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6"/>
              </w:rPr>
              <w:t>Chief Operating Officer</w:t>
            </w:r>
          </w:p>
        </w:tc>
      </w:tr>
      <w:tr>
        <w:trPr>
          <w:trHeight w:val="148"/>
        </w:trPr>
        <w:tc>
          <w:tcPr>
            <w:tcW w:w="32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7"/>
              </w:rPr>
              <w:t>Wilmer Cutler Pickering Hale and Dorr LLP</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4"/>
              </w:rPr>
              <w:t>Fulcrum Therapeutics, Inc.</w:t>
            </w:r>
          </w:p>
        </w:tc>
      </w:tr>
      <w:tr>
        <w:trPr>
          <w:trHeight w:val="149"/>
        </w:trPr>
        <w:tc>
          <w:tcPr>
            <w:tcW w:w="326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60 State Street</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1"/>
              </w:rPr>
              <w:t>26 Landsdowne Street</w:t>
            </w:r>
          </w:p>
        </w:tc>
      </w:tr>
      <w:tr>
        <w:trPr>
          <w:trHeight w:val="148"/>
        </w:trPr>
        <w:tc>
          <w:tcPr>
            <w:tcW w:w="32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89"/>
              </w:rPr>
              <w:t>Boston, Massachusetts 02109</w:t>
            </w:r>
          </w:p>
        </w:tc>
        <w:tc>
          <w:tcPr>
            <w:tcW w:w="4720" w:type="dxa"/>
            <w:vAlign w:val="bottom"/>
          </w:tcPr>
          <w:p>
            <w:pPr>
              <w:jc w:val="center"/>
              <w:ind w:left="2605"/>
              <w:spacing w:after="0" w:line="149" w:lineRule="exact"/>
              <w:rPr>
                <w:sz w:val="20"/>
                <w:szCs w:val="20"/>
                <w:color w:val="auto"/>
              </w:rPr>
            </w:pPr>
            <w:r>
              <w:rPr>
                <w:rFonts w:ascii="Arial" w:cs="Arial" w:eastAsia="Arial" w:hAnsi="Arial"/>
                <w:sz w:val="14"/>
                <w:szCs w:val="14"/>
                <w:b w:val="1"/>
                <w:bCs w:val="1"/>
                <w:color w:val="auto"/>
                <w:w w:val="91"/>
              </w:rPr>
              <w:t>Cambridge, Massachusetts 02139</w:t>
            </w:r>
          </w:p>
        </w:tc>
      </w:tr>
      <w:tr>
        <w:trPr>
          <w:trHeight w:val="186"/>
        </w:trPr>
        <w:tc>
          <w:tcPr>
            <w:tcW w:w="3260" w:type="dxa"/>
            <w:vAlign w:val="bottom"/>
          </w:tcPr>
          <w:p>
            <w:pPr>
              <w:jc w:val="center"/>
              <w:ind w:right="408"/>
              <w:spacing w:after="0"/>
              <w:rPr>
                <w:sz w:val="20"/>
                <w:szCs w:val="20"/>
                <w:color w:val="auto"/>
              </w:rPr>
            </w:pPr>
            <w:r>
              <w:rPr>
                <w:rFonts w:ascii="Arial" w:cs="Arial" w:eastAsia="Arial" w:hAnsi="Arial"/>
                <w:sz w:val="14"/>
                <w:szCs w:val="14"/>
                <w:b w:val="1"/>
                <w:bCs w:val="1"/>
                <w:color w:val="auto"/>
                <w:w w:val="93"/>
              </w:rPr>
              <w:t>(617) 526-6000</w:t>
            </w:r>
          </w:p>
        </w:tc>
        <w:tc>
          <w:tcPr>
            <w:tcW w:w="4720" w:type="dxa"/>
            <w:vAlign w:val="bottom"/>
          </w:tcPr>
          <w:p>
            <w:pPr>
              <w:jc w:val="center"/>
              <w:ind w:left="2585"/>
              <w:spacing w:after="0"/>
              <w:rPr>
                <w:sz w:val="20"/>
                <w:szCs w:val="20"/>
                <w:color w:val="auto"/>
              </w:rPr>
            </w:pPr>
            <w:r>
              <w:rPr>
                <w:rFonts w:ascii="Arial" w:cs="Arial" w:eastAsia="Arial" w:hAnsi="Arial"/>
                <w:sz w:val="14"/>
                <w:szCs w:val="14"/>
                <w:b w:val="1"/>
                <w:bCs w:val="1"/>
                <w:color w:val="auto"/>
                <w:w w:val="93"/>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is declared effective.</w:t>
      </w:r>
    </w:p>
    <w:p>
      <w:pPr>
        <w:spacing w:after="0" w:line="25"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2" w:lineRule="exact"/>
        <w:rPr>
          <w:sz w:val="24"/>
          <w:szCs w:val="24"/>
          <w:color w:val="auto"/>
        </w:rPr>
      </w:pPr>
    </w:p>
    <w:p>
      <w:pPr>
        <w:ind w:left="120" w:right="30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80"/>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7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3" w:lineRule="exact"/>
        <w:rPr>
          <w:sz w:val="24"/>
          <w:szCs w:val="24"/>
          <w:color w:val="auto"/>
        </w:rPr>
      </w:pPr>
    </w:p>
    <w:p>
      <w:pPr>
        <w:ind w:left="120" w:right="200"/>
        <w:spacing w:after="0"/>
        <w:rPr>
          <w:sz w:val="20"/>
          <w:szCs w:val="20"/>
          <w:color w:val="auto"/>
        </w:rPr>
      </w:pPr>
      <w:r>
        <w:rPr>
          <w:rFonts w:ascii="Arial" w:cs="Arial" w:eastAsia="Arial" w:hAnsi="Arial"/>
          <w:sz w:val="14"/>
          <w:szCs w:val="14"/>
          <w:b w:val="1"/>
          <w:bCs w:val="1"/>
          <w:color w:val="auto"/>
        </w:rPr>
        <w:t>This filing constitutes a Post-Effective Amendment to the Registration Statement on Form S-1 (File No. 333-239353), which was initially declared effective on June 26, 2020. This Post-Effective Amendment shall hereafter become effective in accordance with Section 8(c) of the Securities Act of 1933, as amended (the “Securities Act”), on such date as the Securities and Exchange Commission, acting pursuant to Section 8(c)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June 22, 2020, Fulcrum Therapeutics, Inc. filed the Registration Statement on Form S-1 (File No. 333-239353) (the “Registration Statement”) with the Securities and Exchange Commission. The Registration Statement was declared effective on June 26, 2020. This Post-Effective Amendment No. 1 to Form S-1 on Form S-3 is being filed to convert the Registration Statement on Form S-1 to a Registration Statement on Form S-3, and contains an updated prospectus relating to the offering and sale of the shares that were registered for resale on the Form S-1.</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No. 1. All applicable registration fees were paid at the time of the initial filing of the Registration Statement.</w:t>
      </w:r>
    </w:p>
    <w:p>
      <w:pPr>
        <w:sectPr>
          <w:pgSz w:w="11900" w:h="16838" w:orient="portrait"/>
          <w:cols w:equalWidth="0" w:num="1">
            <w:col w:w="10980"/>
          </w:cols>
          <w:pgMar w:left="320" w:top="459" w:right="5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FF4338"/>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the selling stockholders named in this prospectus are not soliciting offers to buy these securities in any state or other jurisdiction where the offer or sale is not permitted.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August 11, 2020</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4,029,411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750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This prospectus relates to the resale, from time to time, of up to 4,029,411 shares of our common stock by the selling stockholders (which term, as used in this prospectus, includes pledgees, donees, transferees or other successors-in-interest) identified in this prospectus. The selling stockholders acquired the shares of our common stock in our June 2020 private placement.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selling any securities under this prospectus and we will not receive any proceeds from the sale of the shares.</w:t>
      </w:r>
    </w:p>
    <w:p>
      <w:pPr>
        <w:spacing w:after="0" w:line="225"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selling stockholders identified in this prospectus may offer the shares from time to time through public or private transactions at prevailing market prices, at prices related to prevailing market prices or at privately negotiated prices. For additional information on the methods of sale that may be used by the selling stockholders, see the section entitled “Plan of Distribution” on page 16. For a list of the selling stockholders, see the section entitled “Selling Stockholders” on page 13.</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70"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Our common stock is listed on the Nasdaq Global Market (“Nasdaq”) under the symbol “FULC.” On August 7, 2020, the closing sale price of our common stock as reported on Nasdaq was $17.13. You are urged to obtain current market quotations for the common stock.</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as such, have elected to comply with certain reduced public company disclosure requirements for this prospectus and future filings. See “Prospectus Summary— 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42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Our business and investment in our common stock involve significant risks. These risks are described in the section titled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4 of this prospectus.</w:t>
      </w:r>
    </w:p>
    <w:p>
      <w:pPr>
        <w:spacing w:after="0" w:line="171"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Cautionary Note Regarding Forward-Looking Statements and Industry Data</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Selling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Incorporation of Certain Documents by Reference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This prospectus may only be used where it is legal to offer and sell shares of our common stock. If it is against the law in any jurisdiction to make an offer to sell these shares, or to solicit an offer from someone to buy these shares, then this prospectus does not apply to any person in that jurisdiction, and no offer or solicitation is made by this prospectus to any such person. You should assume that the information appearing in this prospectus is accurate only as of the date on the front cover of this prospectus, regardless of the time of delivery of this prospectus or of any sale of common stock. Our business, financial condition, results of operations and prospects may have changed since such date.</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included elsewhere in this prospectus or incorporated by reference herein. This summary does not contain all of the information that may be important to you. You should read and carefully consider the entire prospectus, especially the “Risk Factors” section of this prospectus, before deciding to invest in our common stock. Unless the context otherwise requires, we use the terms “company,” “we,” “us” and “our” in this prospectus to refer to Fulcrum Therapeutics, Inc. and our subsidiary.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left="300" w:right="480"/>
        <w:spacing w:after="0" w:line="301" w:lineRule="auto"/>
        <w:rPr>
          <w:sz w:val="20"/>
          <w:szCs w:val="20"/>
          <w:color w:val="auto"/>
        </w:rPr>
      </w:pPr>
      <w:r>
        <w:rPr>
          <w:rFonts w:ascii="Arial" w:cs="Arial" w:eastAsia="Arial" w:hAnsi="Arial"/>
          <w:sz w:val="16"/>
          <w:szCs w:val="16"/>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w:t>
      </w:r>
    </w:p>
    <w:p>
      <w:pPr>
        <w:spacing w:after="0" w:line="2"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90" w:lineRule="exact"/>
        <w:rPr>
          <w:sz w:val="20"/>
          <w:szCs w:val="20"/>
          <w:color w:val="auto"/>
        </w:rPr>
      </w:pPr>
    </w:p>
    <w:p>
      <w:pPr>
        <w:ind w:left="300" w:right="200"/>
        <w:spacing w:after="0" w:line="25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889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1889760"/>
                    </a:xfrm>
                    <a:prstGeom prst="rect">
                      <a:avLst/>
                    </a:prstGeom>
                    <a:noFill/>
                  </pic:spPr>
                </pic:pic>
              </a:graphicData>
            </a:graphic>
          </wp:anchor>
        </w:drawing>
      </w:r>
    </w:p>
    <w:p>
      <w:pPr>
        <w:sectPr>
          <w:pgSz w:w="11900" w:h="16838" w:orient="portrait"/>
          <w:cols w:equalWidth="0" w:num="1">
            <w:col w:w="10680"/>
          </w:cols>
          <w:pgMar w:left="320" w:top="45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selling stockholders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4,029,411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shares in this offering.</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should read the “Risk Factors” section included or incorporated by reference in this prospectus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3660" w:space="680"/>
            <w:col w:w="6340"/>
          </w:cols>
          <w:pgMar w:left="320" w:top="459" w:right="899" w:bottom="1440" w:gutter="0" w:footer="0" w:header="0"/>
          <w:type w:val="continuous"/>
        </w:sectPr>
      </w:pPr>
    </w:p>
    <w:p>
      <w:pPr>
        <w:spacing w:after="0" w:line="11"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“FULC”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50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320" w:top="459" w:right="8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38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384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DESCRIPTION OF PRIVATE PLACEMENT WITH THE SELLING STOCKHOLDERS</w:t>
      </w:r>
    </w:p>
    <w:p>
      <w:pPr>
        <w:spacing w:after="0" w:line="229"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On June 9, 2020, we entered into a securities purchase agreement for a private placement with the selling stockholders whereby, on June 9, 2020, we issued and sold 4,029,411 shares of our common stock at a price of $17.00 per share for gross proceeds of approximately $68.5 million. For a detailed description of the transactions contemplated by the securities purchase agreement with the selling stockholders and the securities issued pursuant thereto, see the section captioned “Selling Stockholders” in this prospectus. We filed the registration statement, of which this prospectus forms a part, to fulfill our contractual obligations under the registration rights agreement entered into concurrently with the securities purchase agreement with the selling stockholders to provide for the resale by the selling stockholders of the shares of common stock offered hereby.</w:t>
      </w:r>
    </w:p>
    <w:p>
      <w:pPr>
        <w:spacing w:after="0" w:line="200" w:lineRule="exact"/>
        <w:rPr>
          <w:sz w:val="20"/>
          <w:szCs w:val="20"/>
          <w:color w:val="auto"/>
        </w:rPr>
      </w:pPr>
    </w:p>
    <w:p>
      <w:pPr>
        <w:spacing w:after="0" w:line="39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320" w:top="459" w:right="8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Investing in our common stock involves a high degree of risk. Before you decide to invest in our common stock, you should carefully consider the risks described in the section captioned “Risk Factors” in our most recent Annual Report on Form 10-K, our most recent Quarterly Report on Form 10-Q and other filings we make with the Securities and Exchange Commission, or SEC, from time to time, which are incorporated by reference herein in their entirety, together with the other information in this prospectus and documents incorporated by reference in this prospectus. The risks described in our most recent Annual Report on Form 10-K, our most recent Quarterly Report on Form 10-Q and the other filings incorporated by reference herein are not the only ones facing our company. Additional risks and uncertainties may also impair our business operations. If any of the risks described in our most recent Annual Report on Form 10-K, our most recent Quarterly Report on Form 10-Q and the other filings incorporated by reference herein occurs, our business, financial condition, results of operations and future growth prospects could be harmed. In these circumstances, the market price of our common stock could decline, and you may lose all or part of your investment.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 contained in this prospectus or incorporated by reference herein,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forward-looking statements contained in this prospectus and incorporated by reference herein include, among other things, statements about:</w:t>
      </w:r>
    </w:p>
    <w:p>
      <w:pPr>
        <w:spacing w:after="0" w:line="142"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ongoing Phase 2b and Phase 2 open label clinical trials of losmapimod;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planned Phase 1 clinical trial of FTX-6058;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Phase 3 clinical trial of losmapimod for hospitalized patients with novel coronavirus, or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obtain and maintain regulatory approvals for losmapimod and other product candidates;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Acceleron Pharma Inc.;</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our most recent Annual Report on Form 10-K, our most recent Quarterly Report on Form 10-Q, and other filings we make with the SEC.</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and incorporated by reference herein,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whether as a result of new information, future events or otherwise, except as required by applicable law.</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includes and incorporates by reference certain statistical and other industry and market data that we obtained from industry publications and research, surveys and studies conducted by third parties as well as our own estimates of potential market opportunities. All of the market data used in or incorporated by reference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are filing the registration statement of which this prospectus is a part to permit holders of the shares of our common stock described in the section entitled “Selling Stockholders” to resell such shares. We are not selling any securities under this prospectus and we will not receive any proceeds from the sale of shares by the selling stockholders.</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selling stockholders will pay any discounts, commissions, fees of underwriters, selling brokers or dealer managers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printing fees, Nasdaq listing fees and fees and expenses of our counsel and our accountants.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June 15, 2020, we had issued and outstanding 27,424,849 shares of our common stock held by 76 stockholders of record (not including beneficial owners whose shares are held in “nominee” or “street”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Under the terms of our certificate of incorporation, our board of directors is authorized to issue up to 5,000,000 shares of “blank check”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As of the date of this prospectus, there are no shares of preferred stock outstanding, and we have no present plans to issue any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 and Unvested Restricted Stock</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June 15, 2020, options to purchase an aggregate of 2,859,882 shares of our common stock, at a weighted average exercise price of $11.70 per share, were outstanding, and 488,362 shares of unvested restricted common stock were outstanding.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60"/>
        <w:spacing w:after="0" w:line="377" w:lineRule="auto"/>
        <w:rPr>
          <w:sz w:val="20"/>
          <w:szCs w:val="20"/>
          <w:color w:val="auto"/>
        </w:rPr>
      </w:pPr>
      <w:r>
        <w:rPr>
          <w:rFonts w:ascii="Arial" w:cs="Arial" w:eastAsia="Arial" w:hAnsi="Arial"/>
          <w:sz w:val="18"/>
          <w:szCs w:val="18"/>
          <w:b w:val="1"/>
          <w:bCs w:val="1"/>
          <w:color w:val="auto"/>
        </w:rPr>
        <w:t xml:space="preserve">Delaware Anti-Takeover Law and Certain Charter and Bylaw Provisions </w:t>
      </w:r>
      <w:r>
        <w:rPr>
          <w:rFonts w:ascii="Arial" w:cs="Arial" w:eastAsia="Arial" w:hAnsi="Arial"/>
          <w:sz w:val="18"/>
          <w:szCs w:val="18"/>
          <w:b w:val="1"/>
          <w:bCs w:val="1"/>
          <w:i w:val="1"/>
          <w:iCs w:val="1"/>
          <w:color w:val="auto"/>
        </w:rPr>
        <w:t>Delaware Law</w:t>
      </w:r>
    </w:p>
    <w:p>
      <w:pPr>
        <w:spacing w:after="0" w:line="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Registration Rights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connection with the private placement that we completed in June 2020, we entered into a registration rights agreement with the selling stockholders under which we have agreed to file the registration statement of which this prospectus is a part with the SEC, covering the resale of the 4,029,411 shares of common stock issued in such June 2020 private placement.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that we are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June 9, 2020, we entered into a securities purchase agreement, or the Purchase Agreement, with the selling stockholders, pursuant to which we issued and sold 4,029,411 shares of our common stock at a price of $17.00 per share for gross proceeds of approximately $68.5 million, which we refer to as the Private Placement. The Private Placement closed on June 9, 2020.</w:t>
      </w:r>
    </w:p>
    <w:p>
      <w:pPr>
        <w:spacing w:after="0" w:line="184"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In connection with the Private Placement, we entered into a registration rights agreement with the selling stockholders, dated as of June 9, 2020, or the Registration Rights Agreement, pursuant to which we agreed to file a registration statement with the SEC covering the resale of the shares of common stock sold in the Private Placement. We agreed to file such registration statement within 15 days after the date of the Registration Rights Agreement.</w:t>
      </w:r>
    </w:p>
    <w:p>
      <w:pPr>
        <w:spacing w:after="0" w:line="2"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8"/>
          <w:szCs w:val="18"/>
          <w:color w:val="auto"/>
        </w:rPr>
        <w:t>The Registration Rights Agreement includes customary indemnification rights in connection with the registration statement. The registration statement of which this prospectus is a part has been filed in accordance with the Registration Rights Agreement.</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foregoing summary descriptions of the Purchase Agreement and the Registration Rights Agreement do not purport to be complete and are qualified in their entirety by reference to the full text of such documents, which were filed as exhibits to our Current Report on Form 8-K, dated June 10, 2020, and are incorporated by reference herein.</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table below sets forth, to our knowledge, information concerning the beneficial ownership of shares of our common stock held by the selling stockholders as of June 15, 2020. The information in the table below with respect to the selling stockholders has been obtained from the selling stockholders. The selling stockholders may sell all, some or none of the shares of common stock subject to this prospectus. See “Plan of Distribution.”</w:t>
      </w:r>
    </w:p>
    <w:p>
      <w:pPr>
        <w:spacing w:after="0" w:line="14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The number of shares of common stock beneficially owned prior to the offering for each selling stockholder includes all shares of common stock held by such selling stockholder as of June 15, 2020, including the shares of common stock purchased by such selling stockholder in the June 2020 private placement. The percentages of shares of common stock beneficially owned prior to and after the offering are based on 27,424,849 shares of common stock outstanding as of June 15, 2020, which includes the shares of common stock offered by this prospectus.</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shares. Unless otherwise indicated below, to our knowledge, all selling stockholders named in the table have sole voting and investment power with respect to their shares of common stock. The inclusion of any shares in this table does not constitute an admission of beneficial ownership for the selling stockholders named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None of the selling stockholders has held any position or office, or has otherwise had a material relationship, with us or our subsidiary within the past three years, other than as described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0"/>
              </w:rPr>
              <w:t>Shares of Common Stock</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23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Shares of Common Stock to</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Shares of</w:t>
            </w:r>
          </w:p>
        </w:tc>
        <w:tc>
          <w:tcPr>
            <w:tcW w:w="2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26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Beneficially Owned Prior to</w:t>
            </w: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3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 Beneficially Owned After</w:t>
            </w:r>
          </w:p>
        </w:tc>
        <w:tc>
          <w:tcPr>
            <w:tcW w:w="0" w:type="dxa"/>
            <w:vAlign w:val="bottom"/>
          </w:tcPr>
          <w:p>
            <w:pPr>
              <w:spacing w:after="0"/>
              <w:rPr>
                <w:sz w:val="1"/>
                <w:szCs w:val="1"/>
                <w:color w:val="auto"/>
              </w:rPr>
            </w:pPr>
          </w:p>
        </w:tc>
      </w:tr>
      <w:tr>
        <w:trPr>
          <w:trHeight w:val="165"/>
        </w:trPr>
        <w:tc>
          <w:tcPr>
            <w:tcW w:w="47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3"/>
          </w:tcPr>
          <w:p>
            <w:pPr>
              <w:jc w:val="center"/>
              <w:ind w:right="1300"/>
              <w:spacing w:after="0" w:line="158" w:lineRule="exact"/>
              <w:rPr>
                <w:sz w:val="20"/>
                <w:szCs w:val="20"/>
                <w:color w:val="auto"/>
              </w:rPr>
            </w:pPr>
            <w:r>
              <w:rPr>
                <w:rFonts w:ascii="Arial" w:cs="Arial" w:eastAsia="Arial" w:hAnsi="Arial"/>
                <w:sz w:val="14"/>
                <w:szCs w:val="14"/>
                <w:b w:val="1"/>
                <w:bCs w:val="1"/>
                <w:color w:val="auto"/>
                <w:w w:val="99"/>
              </w:rPr>
              <w:t>Offering</w:t>
            </w: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Being Offered</w:t>
            </w:r>
          </w:p>
        </w:tc>
        <w:tc>
          <w:tcPr>
            <w:tcW w:w="230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Offering (1)</w:t>
            </w:r>
          </w:p>
        </w:tc>
        <w:tc>
          <w:tcPr>
            <w:tcW w:w="0" w:type="dxa"/>
            <w:vAlign w:val="bottom"/>
          </w:tcPr>
          <w:p>
            <w:pPr>
              <w:spacing w:after="0"/>
              <w:rPr>
                <w:sz w:val="1"/>
                <w:szCs w:val="1"/>
                <w:color w:val="auto"/>
              </w:rPr>
            </w:pPr>
          </w:p>
        </w:tc>
      </w:tr>
      <w:tr>
        <w:trPr>
          <w:trHeight w:val="148"/>
        </w:trPr>
        <w:tc>
          <w:tcPr>
            <w:tcW w:w="1760" w:type="dxa"/>
            <w:vAlign w:val="bottom"/>
            <w:tcBorders>
              <w:top w:val="single" w:sz="8" w:color="auto"/>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Percentage</w:t>
            </w:r>
          </w:p>
        </w:tc>
        <w:tc>
          <w:tcPr>
            <w:tcW w:w="5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Percentage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EcoR1 Capital, LLC (2)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882,353</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882,353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Alyeska Funds (3)</w:t>
            </w:r>
          </w:p>
        </w:tc>
        <w:tc>
          <w:tcPr>
            <w:tcW w:w="780" w:type="dxa"/>
            <w:vAlign w:val="bottom"/>
          </w:tcPr>
          <w:p>
            <w:pPr>
              <w:jc w:val="right"/>
              <w:spacing w:after="0"/>
              <w:rPr>
                <w:sz w:val="20"/>
                <w:szCs w:val="20"/>
                <w:color w:val="auto"/>
              </w:rPr>
            </w:pPr>
            <w:r>
              <w:rPr>
                <w:rFonts w:ascii="Arial" w:cs="Arial" w:eastAsia="Arial" w:hAnsi="Arial"/>
                <w:sz w:val="18"/>
                <w:szCs w:val="18"/>
                <w:color w:val="auto"/>
              </w:rPr>
              <w:t>882,353</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882,353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Boxer Capital, LLC (4)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705,882</w:t>
            </w:r>
          </w:p>
        </w:tc>
        <w:tc>
          <w:tcPr>
            <w:tcW w:w="1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705,882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Casdin Partners Master Fund, L.P. (5)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1,680,461</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6.1%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441,176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1,239,285</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Perceptive Life Sciences Master Fund LTD (6)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294,118</w:t>
            </w:r>
          </w:p>
        </w:tc>
        <w:tc>
          <w:tcPr>
            <w:tcW w:w="1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294,118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Samsara BioCapital, L.P. (7)</w:t>
            </w:r>
          </w:p>
        </w:tc>
        <w:tc>
          <w:tcPr>
            <w:tcW w:w="780" w:type="dxa"/>
            <w:vAlign w:val="bottom"/>
          </w:tcPr>
          <w:p>
            <w:pPr>
              <w:jc w:val="right"/>
              <w:spacing w:after="0"/>
              <w:rPr>
                <w:sz w:val="20"/>
                <w:szCs w:val="20"/>
                <w:color w:val="auto"/>
              </w:rPr>
            </w:pPr>
            <w:r>
              <w:rPr>
                <w:rFonts w:ascii="Arial" w:cs="Arial" w:eastAsia="Arial" w:hAnsi="Arial"/>
                <w:sz w:val="18"/>
                <w:szCs w:val="18"/>
                <w:color w:val="auto"/>
              </w:rPr>
              <w:t>294,118</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294,118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Monashee Investment Management</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 (8)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294,118</w:t>
            </w:r>
          </w:p>
        </w:tc>
        <w:tc>
          <w:tcPr>
            <w:tcW w:w="1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294,118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Foresite Capital Fund IV, L.P. (9)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1,133,948</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235,293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898,655</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20" w:hanging="424"/>
        <w:spacing w:after="0" w:line="285"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do not know when or in what amounts a selling stockholder may offer shares for sale. The selling stockholders might not sell any or all of the shares offered by this prospectus. Because the selling stockholders may offer all or some of the shares pursuant to this offering,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w:t>
      </w:r>
    </w:p>
    <w:p>
      <w:pPr>
        <w:spacing w:after="0" w:line="1"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747,472 shares of common stock held by EcoR1 Capital Fund Qualified, L.P. and (ii) 134,881 shares of common stock held by EcoR1 Capital Fund, L.P., or the EcoR1 Funds. Oleg Nodelman is the Managing Director and owns and controls EcoR1 Capital, LLC the general partner of the EcoR1 Funds, and has voting and disposition power over the shares held by the EcoR1 Funds. As a result, Mr. Nodelman may be deemed to have beneficial ownership of the securities that are held by the EcoR1 Funds. The address of the EcoR1 Funds is 357 Tehama Street #3, San Francisco, CA 94103.</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874,136 shares of common stock held by Alyeska Master Fund, L.P. and (ii) 8,217 shares of common stock held by Alyeska Master Fund 3, L.P., or collectively, the Alyeska Funds. Alyeska Investment Group, L.P., the investment manager of the Alyeska Funds has voting and investment control of the shares held directly by the Alyeska Funds. Anand Parekh, Chief Executive Officer of Alyeska Investment Group, L.P., has the power to vote and dispose of these shares and may be deemed to be the beneficial owner of these shares. Mr. Parekh disclaims beneficial ownership over the shares held by the Alyeska Funds. The business address of the Alyeska Funds is 77 West Wacker, Suite 700, Chicago, Illinois 60601.</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shares of common stock held by Boxer Capital LLC, or Boxer. Boxer Asset Management Inc. is the managing member and majority owner of Boxer. Joseph C. Lewis is the sole indirect beneficial owner of Boxer Asset Management Inc. Boxer Asset Management Inc. and Joseph C. Lewis may be deemed to have shared voting and investment power over the shares held by Boxer. Boxer Asset Management Inc. and Joseph C. Lewis disclaim beneficial ownership of such shares, except to the extent of their pecuniary interest therein. The address of Boxer is 11682 El Camino Real, Suite 320, San Diego, CA 92130.</w:t>
      </w:r>
    </w:p>
    <w:p>
      <w:pPr>
        <w:spacing w:after="0" w:line="1" w:lineRule="exact"/>
        <w:rPr>
          <w:rFonts w:ascii="Arial" w:cs="Arial" w:eastAsia="Arial" w:hAnsi="Arial"/>
          <w:sz w:val="18"/>
          <w:szCs w:val="18"/>
          <w:color w:val="auto"/>
        </w:rPr>
      </w:pPr>
    </w:p>
    <w:p>
      <w:pPr>
        <w:ind w:left="540" w:right="60" w:hanging="424"/>
        <w:spacing w:after="0" w:line="29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shares of common stock held by Casdin Partners Master Fund, L.P. Such securities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Casdin Capital is 1350 Avenue of the Americas, Suite 2600, New York, NY 10019.</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87"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shares held by Perceptive Life Sciences Master Fund LTD, or the Master Fund. Perceptive Advisors LLC is the investment manager to the Master Fund and may be deemed to beneficially own the securities directly held by the Master Fund. Joseph Edelman is the managing member of Perceptive Advisors LLC. Perceptive Advisors LLC and Mr. Edelman may be deemed to beneficially own the shares held by the Master Fund.</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The address of Perceptive is 51 Astor Place, 10th Floor, New York, NY 10003.</w:t>
      </w:r>
    </w:p>
    <w:p>
      <w:pPr>
        <w:spacing w:after="0" w:line="9"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shares of common stock held by Samsara BioCapital, L.P., or Samsara. Samsara Biocapital GP, LLC, or Samsara GP, is the general partner of Samsara. The investment manager of Samsara is Samsara BioCapital, LLC. Dr. Srinivas Akkaraju, M.D., Ph.D. is the managing member of Samsara BioCapital LLC, and Dr. Akkaraju may be deemed to have shared voting and investment power of the shares held by Samsara. Dr. Akkaraju disclaims beneficial ownership of the shares beneficially owned by Samsara, except to the extent of his pecuniary interest therein. The address of Samsara is 628 Middlefield Road, Palo Alto, California 94301.</w:t>
      </w:r>
    </w:p>
    <w:p>
      <w:pPr>
        <w:ind w:left="540" w:right="14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(i) 133,690 shares of common stock held by BEMAP Master Fund LTD, (ii) 80,214 shares of common stock held by Monashee Solitario Fund LP, (iii) 60,160 shares of common stock held by Monashee Pure Alpha SPV I LP and (iv) 20,054 shares of common stock held by SFL SPV I LLC, referred to collectively as the Monashee Funds. Monashee Investment Management LLC is the Investment Advisor for each of the Monashee Funds. The Partners/officers of Monashee Investment Management LLC are Tom Wynn, Gerald Coughlan and Jeff Muller. These individuals may be deemed to have shared voting and investment power of the shares held by the Monashee Funds. Each of Tom Wynn, Gerald Coughlan and Jeff Muller disclaims beneficial ownership over these shares, except to the extent of his or her pecuniary interest therein. The address for Monashee Investment Management LLC is 125 High Street, 28</w:t>
      </w:r>
      <w:r>
        <w:rPr>
          <w:rFonts w:ascii="Arial" w:cs="Arial" w:eastAsia="Arial" w:hAnsi="Arial"/>
          <w:sz w:val="13"/>
          <w:szCs w:val="13"/>
          <w:color w:val="auto"/>
        </w:rPr>
        <w:t>th</w:t>
      </w:r>
      <w:r>
        <w:rPr>
          <w:rFonts w:ascii="Arial" w:cs="Arial" w:eastAsia="Arial" w:hAnsi="Arial"/>
          <w:sz w:val="16"/>
          <w:szCs w:val="16"/>
          <w:color w:val="auto"/>
        </w:rPr>
        <w:t xml:space="preserve"> Floor, Boston, MA 02110.</w:t>
      </w:r>
    </w:p>
    <w:p>
      <w:pPr>
        <w:spacing w:after="0" w:line="4" w:lineRule="exact"/>
        <w:rPr>
          <w:rFonts w:ascii="Arial" w:cs="Arial" w:eastAsia="Arial" w:hAnsi="Arial"/>
          <w:sz w:val="16"/>
          <w:szCs w:val="16"/>
          <w:color w:val="auto"/>
        </w:rPr>
      </w:pPr>
    </w:p>
    <w:p>
      <w:pPr>
        <w:ind w:left="540" w:hanging="424"/>
        <w:spacing w:after="0" w:line="252"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shares of common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 Mr. Tananbaum served on our board of directors until his resignation, which was effective on April 3, 2019.</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validity of the shares of our common stock offered hereby is being passed upon for us by Wilmer Cutler Pickering Hale and Dorr LLP.</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We file annual, quarterly and current reports, proxy statements and other documents with the SEC. Our SEC filings are available to the public over the Internet at the SEC’s website at http://www.sec.gov. Copies of certain information filed by us with the SEC are also available on our website at http://www.fulcrumtx.com. Our website is not a part of this prospectus and is not incorporated by reference in this prospectus.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our securities.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it,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Exchange Act between the date of Post-Effective Amendment No.1 to the Registration Statement and the effectiveness of such Post-Effective Amendment and following the effectiveness of such Post-Effective Amendment No. 1 until the sale of all the shares covered by this prospectus, other than the portions of those documents not deemed to be filed.</w:t>
      </w:r>
    </w:p>
    <w:p>
      <w:pPr>
        <w:spacing w:after="0" w:line="7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with the SEC on </w:t>
      </w:r>
      <w:hyperlink r:id="rId49">
        <w:r>
          <w:rPr>
            <w:rFonts w:ascii="Arial" w:cs="Arial" w:eastAsia="Arial" w:hAnsi="Arial"/>
            <w:sz w:val="18"/>
            <w:szCs w:val="18"/>
            <w:u w:val="single" w:color="auto"/>
            <w:color w:val="0000EE"/>
          </w:rPr>
          <w:t>March 5,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Quarterly Report on Form 10-Q for the quarters ended March 31, 2020 and June 30, 2020, filed with the SEC on </w:t>
      </w:r>
      <w:hyperlink r:id="rId50">
        <w:r>
          <w:rPr>
            <w:rFonts w:ascii="Arial" w:cs="Arial" w:eastAsia="Arial" w:hAnsi="Arial"/>
            <w:sz w:val="18"/>
            <w:szCs w:val="18"/>
            <w:u w:val="single" w:color="auto"/>
            <w:color w:val="0000EE"/>
          </w:rPr>
          <w:t>May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August 11,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2">
        <w:r>
          <w:rPr>
            <w:rFonts w:ascii="Arial" w:cs="Arial" w:eastAsia="Arial" w:hAnsi="Arial"/>
            <w:sz w:val="18"/>
            <w:szCs w:val="18"/>
            <w:u w:val="single" w:color="auto"/>
            <w:color w:val="0000EE"/>
          </w:rPr>
          <w:t>January 6, 2020</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April 2, 2020</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June 10, 2020</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June 11,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June 26, 2020</w:t>
        </w:r>
      </w:hyperlink>
      <w:r>
        <w:rPr>
          <w:rFonts w:ascii="Arial" w:cs="Arial" w:eastAsia="Arial" w:hAnsi="Arial"/>
          <w:sz w:val="18"/>
          <w:szCs w:val="18"/>
          <w:color w:val="auto"/>
        </w:rPr>
        <w:t xml:space="preserve"> and </w:t>
      </w:r>
      <w:hyperlink r:id="rId57">
        <w:r>
          <w:rPr>
            <w:rFonts w:ascii="Arial" w:cs="Arial" w:eastAsia="Arial" w:hAnsi="Arial"/>
            <w:sz w:val="18"/>
            <w:szCs w:val="18"/>
            <w:u w:val="single" w:color="auto"/>
            <w:color w:val="0000EE"/>
          </w:rPr>
          <w:t>July 23,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Our Definitive Proxy Statement on Schedule 14A for the 2020 Annual Meeting of Stockholders filed with the SEC on </w:t>
      </w:r>
      <w:hyperlink r:id="rId58">
        <w:r>
          <w:rPr>
            <w:rFonts w:ascii="Arial" w:cs="Arial" w:eastAsia="Arial" w:hAnsi="Arial"/>
            <w:sz w:val="16"/>
            <w:szCs w:val="16"/>
            <w:u w:val="single" w:color="auto"/>
            <w:color w:val="0000EE"/>
          </w:rPr>
          <w:t>April 29, 2020</w:t>
        </w:r>
      </w:hyperlink>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1080" w:right="7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 filed on </w:t>
      </w:r>
      <w:hyperlink r:id="rId59">
        <w:r>
          <w:rPr>
            <w:rFonts w:ascii="Arial" w:cs="Arial" w:eastAsia="Arial" w:hAnsi="Arial"/>
            <w:sz w:val="18"/>
            <w:szCs w:val="18"/>
            <w:u w:val="single" w:color="auto"/>
            <w:color w:val="0000EE"/>
          </w:rPr>
          <w:t>July 12, 2019</w:t>
        </w:r>
      </w:hyperlink>
      <w:r>
        <w:rPr>
          <w:rFonts w:ascii="Arial" w:cs="Arial" w:eastAsia="Arial" w:hAnsi="Arial"/>
          <w:sz w:val="18"/>
          <w:szCs w:val="18"/>
          <w:color w:val="auto"/>
        </w:rPr>
        <w:t>, including any amendments or reports filed for the purpose of updating such description.</w:t>
      </w:r>
    </w:p>
    <w:p>
      <w:pPr>
        <w:spacing w:after="0" w:line="170" w:lineRule="exact"/>
        <w:rPr>
          <w:rFonts w:ascii="Arial" w:cs="Arial" w:eastAsia="Arial" w:hAnsi="Arial"/>
          <w:sz w:val="16"/>
          <w:szCs w:val="16"/>
          <w:color w:val="auto"/>
        </w:rPr>
      </w:pPr>
    </w:p>
    <w:p>
      <w:pPr>
        <w:ind w:left="120" w:right="80"/>
        <w:spacing w:after="0" w:line="31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 this prospectus, including exhibits to these documents. You should direct any requests for documents to Fulcrum Therapeutics, Inc., 26 Landsdowne Street, Cambridge, Massachusetts 02139 or by telephone at (617) 651-8851. These documents may also be found on our website at the address stated above.</w:t>
      </w:r>
    </w:p>
    <w:p>
      <w:pPr>
        <w:spacing w:after="0" w:line="81"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following table sets forth the various expenses incurred or to be incurred in connection with the sale and distribution of the securities being registered hereby, all of which will be borne by us (except any underwriting discounts and commissions and expenses incurred by the selling stockholders for brokerage, accounting, tax or legal services or any other expenses incurred by the selling stockholders in disposing of the shares). All amounts shown are estimates except the Securities and Exchange Commission, or SEC, registration fee.</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73,771</w:t>
            </w: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6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herein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registration rights agreement we entered into in connection with the private placement of our common stock in June 2020 provides that the selling stockholders will indemnify, under certain conditions, our directors and officers (as well as certain other persons) against certain liabilities arising in connection with this registration statement.</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300" w:type="dxa"/>
            <w:vAlign w:val="bottom"/>
          </w:tcPr>
          <w:p>
            <w:pPr>
              <w:spacing w:after="0"/>
              <w:rPr>
                <w:sz w:val="14"/>
                <w:szCs w:val="14"/>
                <w:color w:val="auto"/>
              </w:rPr>
            </w:pPr>
          </w:p>
        </w:tc>
        <w:tc>
          <w:tcPr>
            <w:tcW w:w="7560" w:type="dxa"/>
            <w:vAlign w:val="bottom"/>
            <w:gridSpan w:val="11"/>
            <w:vMerge w:val="restart"/>
          </w:tcPr>
          <w:p>
            <w:pPr>
              <w:ind w:left="2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114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2300" w:type="dxa"/>
            <w:vAlign w:val="bottom"/>
          </w:tcPr>
          <w:p>
            <w:pPr>
              <w:spacing w:after="0"/>
              <w:rPr>
                <w:sz w:val="13"/>
                <w:szCs w:val="13"/>
                <w:color w:val="auto"/>
              </w:rPr>
            </w:pPr>
          </w:p>
        </w:tc>
        <w:tc>
          <w:tcPr>
            <w:tcW w:w="75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9860" w:type="dxa"/>
            <w:vAlign w:val="bottom"/>
            <w:gridSpan w:val="12"/>
          </w:tcPr>
          <w:p>
            <w:pPr>
              <w:spacing w:after="0" w:line="190"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Restated Certificate of Incorporation of the Registrant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Form 8-K (File No. 001-38978) filed with the Securities and Exchange Commission on July 22, 2019).</w:t>
              </w:r>
            </w:hyperlink>
          </w:p>
        </w:tc>
        <w:tc>
          <w:tcPr>
            <w:tcW w:w="2160" w:type="dxa"/>
            <w:vAlign w:val="bottom"/>
            <w:tcBorders>
              <w:top w:val="single" w:sz="8" w:color="0000EE"/>
            </w:tcBorders>
            <w:gridSpan w:val="5"/>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9860" w:type="dxa"/>
            <w:vAlign w:val="bottom"/>
            <w:gridSpan w:val="12"/>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Amended and Restated Bylaws of the Registrant (incorporated by reference to Exhibit 3.2 to the Registrant’s Current Report on Form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6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8-K (File No. 001-38978) filed with the Securities and Exchange Commission on July 22, 2019).</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9860" w:type="dxa"/>
            <w:vAlign w:val="bottom"/>
            <w:tcBorders>
              <w:bottom w:val="single" w:sz="8" w:color="0000EE"/>
            </w:tcBorders>
            <w:gridSpan w:val="12"/>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Specimen Stock Certificate evidencing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9860" w:type="dxa"/>
            <w:vAlign w:val="bottom"/>
            <w:gridSpan w:val="12"/>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9200" w:type="dxa"/>
            <w:vAlign w:val="bottom"/>
            <w:tcBorders>
              <w:bottom w:val="single" w:sz="8" w:color="0000EE"/>
            </w:tcBorders>
            <w:gridSpan w:val="6"/>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Securities Purchase Agreement, dated June 9, 2020, by and among the Registrant and the other parties thereto (incorporated by</w:t>
              </w:r>
            </w:hyperlink>
          </w:p>
        </w:tc>
        <w:tc>
          <w:tcPr>
            <w:tcW w:w="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reference to Exhibit 10.1 to Registrant’s Current Report on Form 8-K (File No. 001-38978) filed with the Securities and Exchange</w:t>
              </w:r>
            </w:hyperlink>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Commission on June 10, 2020).</w:t>
              </w:r>
            </w:hyperlink>
          </w:p>
        </w:tc>
        <w:tc>
          <w:tcPr>
            <w:tcW w:w="7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9180" w:type="dxa"/>
            <w:vAlign w:val="bottom"/>
            <w:tcBorders>
              <w:bottom w:val="single" w:sz="8" w:color="0000EE"/>
            </w:tcBorders>
            <w:gridSpan w:val="5"/>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Registration Rights Agreement, dated June 9, 2020, by and among the Registrant and the other parties thereto (incorporated by</w:t>
              </w:r>
            </w:hyperlink>
          </w:p>
        </w:tc>
        <w:tc>
          <w:tcPr>
            <w:tcW w:w="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reference to Exhibit 10.2 to Registrant’s Current Report on Form 8-K (File No. 001-38978) filed with the Securities and Exchange</w:t>
              </w:r>
            </w:hyperlink>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Commission on June 10, 2020).</w:t>
              </w:r>
            </w:hyperlink>
          </w:p>
        </w:tc>
        <w:tc>
          <w:tcPr>
            <w:tcW w:w="7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5.1</w:t>
            </w:r>
          </w:p>
        </w:tc>
        <w:tc>
          <w:tcPr>
            <w:tcW w:w="9860" w:type="dxa"/>
            <w:vAlign w:val="bottom"/>
            <w:gridSpan w:val="12"/>
          </w:tcPr>
          <w:p>
            <w:pPr>
              <w:spacing w:after="0"/>
              <w:rPr>
                <w:rFonts w:ascii="Arial" w:cs="Arial" w:eastAsia="Arial" w:hAnsi="Arial"/>
                <w:sz w:val="18"/>
                <w:szCs w:val="18"/>
                <w:color w:val="0000EE"/>
                <w:w w:val="97"/>
              </w:rPr>
            </w:pPr>
            <w:hyperlink r:id="rId68">
              <w:r>
                <w:rPr>
                  <w:rFonts w:ascii="Arial" w:cs="Arial" w:eastAsia="Arial" w:hAnsi="Arial"/>
                  <w:sz w:val="18"/>
                  <w:szCs w:val="18"/>
                  <w:color w:val="0000EE"/>
                  <w:w w:val="97"/>
                </w:rPr>
                <w:t>Opinion of Wilmer Cutler Pickering Hale and Dorr LLP (incorporated by reference to Exhibit 5.1 to the Registrant’s Registration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Statement on Form S-1 filed with the Securities and Exchange Commission on June 22, 2020).</w:t>
              </w:r>
            </w:hyperlink>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682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Consent of Ernst &amp; Young LLP, independent registered public accounting firm.</w:t>
              </w:r>
            </w:hyperlink>
          </w:p>
        </w:tc>
        <w:tc>
          <w:tcPr>
            <w:tcW w:w="30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9860" w:type="dxa"/>
            <w:vAlign w:val="bottom"/>
            <w:gridSpan w:val="12"/>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Consent of Wilmer Cutler Pickering Hale and Dorr LLP (included in Exhibit 5.1).</w:t>
              </w:r>
            </w:hyperlink>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9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Power of Attorney (included on signature to the Registrant’s Registration Statement on Form S-1 filed with the Securities and Exchange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Commission on June 22, 2020).</w:t>
              </w:r>
            </w:hyperlink>
          </w:p>
        </w:tc>
        <w:tc>
          <w:tcPr>
            <w:tcW w:w="7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080" w:hanging="533"/>
        <w:spacing w:after="0"/>
        <w:tabs>
          <w:tab w:leader="none" w:pos="2080" w:val="left"/>
        </w:tabs>
        <w:numPr>
          <w:ilvl w:val="2"/>
          <w:numId w:val="8"/>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142" w:lineRule="exact"/>
        <w:rPr>
          <w:rFonts w:ascii="Arial" w:cs="Arial" w:eastAsia="Arial" w:hAnsi="Arial"/>
          <w:sz w:val="17"/>
          <w:szCs w:val="17"/>
          <w:color w:val="auto"/>
        </w:rPr>
      </w:pPr>
    </w:p>
    <w:p>
      <w:pPr>
        <w:ind w:left="2080" w:hanging="533"/>
        <w:spacing w:after="0" w:line="271" w:lineRule="auto"/>
        <w:tabs>
          <w:tab w:leader="none" w:pos="2080" w:val="left"/>
        </w:tabs>
        <w:numPr>
          <w:ilvl w:val="2"/>
          <w:numId w:val="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2080" w:right="440" w:hanging="533"/>
        <w:spacing w:after="0" w:line="277" w:lineRule="auto"/>
        <w:tabs>
          <w:tab w:leader="none" w:pos="208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(1)(i), (1)(ii) and (1)(iii) do not apply if the information required to be included in a post-effective amendment by</w:t>
      </w:r>
      <w:r>
        <w:rPr>
          <w:rFonts w:ascii="Arial" w:cs="Arial" w:eastAsia="Arial" w:hAnsi="Arial"/>
          <w:sz w:val="17"/>
          <w:szCs w:val="17"/>
          <w:i w:val="1"/>
          <w:iCs w:val="1"/>
          <w:color w:val="auto"/>
        </w:rPr>
        <w:t xml:space="preserve"> </w:t>
      </w:r>
      <w:r>
        <w:rPr>
          <w:rFonts w:ascii="Arial" w:cs="Arial" w:eastAsia="Arial" w:hAnsi="Arial"/>
          <w:sz w:val="17"/>
          <w:szCs w:val="17"/>
          <w:color w:val="auto"/>
        </w:rPr>
        <w:t>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77" w:lineRule="exact"/>
        <w:rPr>
          <w:sz w:val="20"/>
          <w:szCs w:val="20"/>
          <w:color w:val="auto"/>
        </w:rPr>
      </w:pPr>
    </w:p>
    <w:p>
      <w:pPr>
        <w:jc w:val="both"/>
        <w:ind w:left="1540" w:right="80" w:hanging="439"/>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2080" w:right="160" w:hanging="533"/>
        <w:spacing w:after="0" w:line="308" w:lineRule="auto"/>
        <w:tabs>
          <w:tab w:leader="none" w:pos="20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right="20" w:hanging="533"/>
        <w:spacing w:after="0" w:line="286" w:lineRule="auto"/>
        <w:tabs>
          <w:tab w:leader="none" w:pos="2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9" w:lineRule="exact"/>
        <w:rPr>
          <w:rFonts w:ascii="Arial" w:cs="Arial" w:eastAsia="Arial" w:hAnsi="Arial"/>
          <w:sz w:val="16"/>
          <w:szCs w:val="16"/>
          <w:color w:val="auto"/>
        </w:rPr>
      </w:pPr>
    </w:p>
    <w:p>
      <w:pPr>
        <w:jc w:val="both"/>
        <w:ind w:left="1540" w:right="80" w:hanging="439"/>
        <w:spacing w:after="0" w:line="275" w:lineRule="auto"/>
        <w:tabs>
          <w:tab w:leader="none" w:pos="1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2080" w:right="660" w:hanging="533"/>
        <w:spacing w:after="0" w:line="258" w:lineRule="auto"/>
        <w:tabs>
          <w:tab w:leader="none" w:pos="2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w:t>
      </w:r>
    </w:p>
    <w:p>
      <w:pPr>
        <w:spacing w:after="0" w:line="1" w:lineRule="exact"/>
        <w:rPr>
          <w:rFonts w:ascii="Arial" w:cs="Arial" w:eastAsia="Arial" w:hAnsi="Arial"/>
          <w:sz w:val="18"/>
          <w:szCs w:val="18"/>
          <w:color w:val="auto"/>
        </w:rPr>
      </w:pPr>
    </w:p>
    <w:p>
      <w:pPr>
        <w:ind w:left="2080" w:right="500" w:hanging="533"/>
        <w:spacing w:after="0" w:line="250" w:lineRule="auto"/>
        <w:tabs>
          <w:tab w:leader="none" w:pos="2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ind w:left="2080" w:right="760" w:hanging="533"/>
        <w:spacing w:after="0" w:line="265" w:lineRule="auto"/>
        <w:tabs>
          <w:tab w:leader="none" w:pos="20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such undersigned Registrant or its securities provided by or on behalf of such undersigned Registrant; and</w:t>
      </w:r>
    </w:p>
    <w:p>
      <w:pPr>
        <w:ind w:left="2080" w:hanging="533"/>
        <w:spacing w:after="0"/>
        <w:tabs>
          <w:tab w:leader="none" w:pos="2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16" w:lineRule="exact"/>
        <w:rPr>
          <w:rFonts w:ascii="Arial" w:cs="Arial" w:eastAsia="Arial" w:hAnsi="Arial"/>
          <w:sz w:val="18"/>
          <w:szCs w:val="18"/>
          <w:color w:val="auto"/>
        </w:rPr>
      </w:pPr>
    </w:p>
    <w:p>
      <w:pPr>
        <w:ind w:left="1540" w:hanging="43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ind w:left="2080" w:right="120" w:hanging="533"/>
        <w:spacing w:after="0" w:line="311" w:lineRule="auto"/>
        <w:tabs>
          <w:tab w:leader="none" w:pos="2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54" w:lineRule="exact"/>
        <w:rPr>
          <w:rFonts w:ascii="Arial" w:cs="Arial" w:eastAsia="Arial" w:hAnsi="Arial"/>
          <w:sz w:val="16"/>
          <w:szCs w:val="16"/>
          <w:color w:val="auto"/>
        </w:rPr>
      </w:pPr>
    </w:p>
    <w:p>
      <w:pPr>
        <w:ind w:left="2080" w:hanging="533"/>
        <w:spacing w:after="0" w:line="263" w:lineRule="auto"/>
        <w:tabs>
          <w:tab w:leader="none" w:pos="2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this 11th day of August, 2020.</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580"/>
          </w:cols>
          <w:pgMar w:left="320" w:top="459" w:right="9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held on the dates indicated.</w:t>
      </w:r>
    </w:p>
    <w:p>
      <w:pPr>
        <w:sectPr>
          <w:pgSz w:w="11900" w:h="16838" w:orient="portrait"/>
          <w:cols w:equalWidth="0" w:num="1">
            <w:col w:w="10920"/>
          </w:cols>
          <w:pgMar w:left="320" w:top="459" w:right="659" w:bottom="1440" w:gutter="0" w:footer="0" w:header="0"/>
        </w:sectPr>
      </w:pPr>
    </w:p>
    <w:p>
      <w:pPr>
        <w:spacing w:after="0" w:line="189" w:lineRule="exact"/>
        <w:rPr>
          <w:sz w:val="20"/>
          <w:szCs w:val="20"/>
          <w:color w:val="auto"/>
        </w:rPr>
      </w:pPr>
    </w:p>
    <w:p>
      <w:pPr>
        <w:ind w:left="18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J. Gould, Ph.D.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Bryan Stuart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Thomson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J. Collins, Ph.D.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Alan Ezekowitz, MBChB, D. Phil</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Geraghty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588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Haviland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Bryan Stuart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400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President and Chief Executive Officer, Director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0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431"/>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Chief Operating Officer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4"/>
              </w:rPr>
              <w:t>(Principal Financial Officer)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431"/>
        </w:trPr>
        <w:tc>
          <w:tcPr>
            <w:tcW w:w="400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Vice President, Finance &amp; Accounting</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0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(Principal Accounting Officer)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675"/>
        </w:trPr>
        <w:tc>
          <w:tcPr>
            <w:tcW w:w="400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Chairman of the Board</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675"/>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459"/>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vMerge w:val="restart"/>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675"/>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r>
        <w:trPr>
          <w:trHeight w:val="675"/>
        </w:trPr>
        <w:tc>
          <w:tcPr>
            <w:tcW w:w="4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August 11,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II-8</w:t>
      </w:r>
    </w:p>
    <w:p>
      <w:pPr>
        <w:sectPr>
          <w:pgSz w:w="11900" w:h="16838" w:orient="portrait"/>
          <w:cols w:equalWidth="0" w:num="2">
            <w:col w:w="4420" w:space="720"/>
            <w:col w:w="5780"/>
          </w:cols>
          <w:pgMar w:left="320" w:top="459" w:right="65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consent to the reference to our firm under the caption “Experts” in the Post-Effective Amendment No. 1 to the Registration Statement (Form S-1 on Form S-3 No. 333-239353) of Fulcrum Therapeutics, Inc. for the registration of 4,029,411 shares of its common stock and to the incorporation by reference therein of our report dated March 5, 2020, with respect to the consolidated financial statements of Fulcrum Therapeutics, Inc. included in its Annual Report (Form 10-K) for the year ending December 31, 2019,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6"/>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216231B"/>
    <w:multiLevelType w:val="hybridMultilevel"/>
    <w:lvl w:ilvl="0">
      <w:lvlJc w:val="left"/>
      <w:lvlText w:val="(%1)"/>
      <w:numFmt w:val="decimal"/>
      <w:start w:val="2"/>
    </w:lvl>
    <w:lvl w:ilvl="1">
      <w:lvlJc w:val="left"/>
      <w:lvlText w:val="(%2)"/>
      <w:numFmt w:val="lowerRoman"/>
      <w:start w:val="1"/>
    </w:lvl>
  </w:abstractNum>
  <w:abstractNum w:abstractNumId="9">
    <w:nsid w:val="1F16E9E8"/>
    <w:multiLevelType w:val="hybridMultilevel"/>
    <w:lvl w:ilvl="0">
      <w:lvlJc w:val="left"/>
      <w:lvlText w:val="%1"/>
      <w:numFmt w:val="decimal"/>
      <w:start w:val="1"/>
    </w:lvl>
    <w:lvl w:ilvl="1">
      <w:lvlJc w:val="left"/>
      <w:lvlText w:val="(%2)"/>
      <w:numFmt w:val="lowerRoman"/>
      <w:start w:val="2"/>
    </w:lvl>
  </w:abstractNum>
  <w:abstractNum w:abstractNumId="10">
    <w:nsid w:val="1190CDE7"/>
    <w:multiLevelType w:val="hybridMultilevel"/>
    <w:lvl w:ilvl="0">
      <w:lvlJc w:val="left"/>
      <w:lvlText w:val="(%1)"/>
      <w:numFmt w:val="decimal"/>
      <w:start w:val="5"/>
    </w:lvl>
    <w:lvl w:ilvl="1">
      <w:lvlJc w:val="left"/>
      <w:lvlText w:val="(%2)"/>
      <w:numFmt w:val="lowerRoman"/>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49" Type="http://schemas.openxmlformats.org/officeDocument/2006/relationships/hyperlink" Target="http://www.sec.gov/Archives/edgar/data/1680581/000156459020008951/fulc-10k_20191231.htm" TargetMode="External"/><Relationship Id="rId50" Type="http://schemas.openxmlformats.org/officeDocument/2006/relationships/hyperlink" Target="http://www.sec.gov/Archives/edgar/data/1680581/000156459020024866/fulc-10q_20200331.htm" TargetMode="External"/><Relationship Id="rId51" Type="http://schemas.openxmlformats.org/officeDocument/2006/relationships/hyperlink" Target="http://www.sec.gov/Archives/edgar/data/1680581/000156459020039121/fulc-10q_20200630.htm" TargetMode="External"/><Relationship Id="rId52" Type="http://schemas.openxmlformats.org/officeDocument/2006/relationships/hyperlink" Target="http://www.sec.gov/Archives/edgar/data/1680581/000119312520001768/d831315d8k.htm" TargetMode="External"/><Relationship Id="rId53" Type="http://schemas.openxmlformats.org/officeDocument/2006/relationships/hyperlink" Target="http://www.sec.gov/Archives/edgar/data/1680581/000156459020014860/fulc-8k_20200331.htm" TargetMode="External"/><Relationship Id="rId54" Type="http://schemas.openxmlformats.org/officeDocument/2006/relationships/hyperlink" Target="http://www.sec.gov/Archives/edgar/data/1680581/000119312520165696/d857108d8k.htm" TargetMode="External"/><Relationship Id="rId55" Type="http://schemas.openxmlformats.org/officeDocument/2006/relationships/hyperlink" Target="http://www.sec.gov/Archives/edgar/data/1680581/000119312520166654/d941094d8k.htm" TargetMode="External"/><Relationship Id="rId56" Type="http://schemas.openxmlformats.org/officeDocument/2006/relationships/hyperlink" Target="http://www.sec.gov/Archives/edgar/data/1680581/000119312520181057/d944287d8k.htm" TargetMode="External"/><Relationship Id="rId57" Type="http://schemas.openxmlformats.org/officeDocument/2006/relationships/hyperlink" Target="http://www.sec.gov/Archives/edgar/data/1680581/000119312520197820/d77378d8k.htm" TargetMode="External"/><Relationship Id="rId58" Type="http://schemas.openxmlformats.org/officeDocument/2006/relationships/hyperlink" Target="http://www.sec.gov/Archives/edgar/data/1680581/000119312520124813/d895226ddef14a.htm" TargetMode="External"/><Relationship Id="rId59" Type="http://schemas.openxmlformats.org/officeDocument/2006/relationships/hyperlink" Target="http://www.sec.gov/Archives/edgar/data/1680581/000110465919040208/a19-3408_78a12b.htm" TargetMode="External"/><Relationship Id="rId63" Type="http://schemas.openxmlformats.org/officeDocument/2006/relationships/hyperlink" Target="http://www.sec.gov/Archives/edgar/data/1680581/000104746919004324/a2239321zex-3_1.htm" TargetMode="External"/><Relationship Id="rId64" Type="http://schemas.openxmlformats.org/officeDocument/2006/relationships/hyperlink" Target="http://www.sec.gov/Archives/edgar/data/1680581/000104746919004324/a2239321zex-3_2.htm" TargetMode="External"/><Relationship Id="rId65" Type="http://schemas.openxmlformats.org/officeDocument/2006/relationships/hyperlink" Target="http://www.sec.gov/Archives/edgar/data/1680581/000104746919003793/a2239080zex-4_1.htm" TargetMode="External"/><Relationship Id="rId66" Type="http://schemas.openxmlformats.org/officeDocument/2006/relationships/hyperlink" Target="http://www.sec.gov/Archives/edgar/data/1680581/000119312520165696/d857108dex101.htm" TargetMode="External"/><Relationship Id="rId67" Type="http://schemas.openxmlformats.org/officeDocument/2006/relationships/hyperlink" Target="http://www.sec.gov/Archives/edgar/data/1680581/000119312520165696/d857108dex102.htm" TargetMode="External"/><Relationship Id="rId68" Type="http://schemas.openxmlformats.org/officeDocument/2006/relationships/hyperlink" Target="http://www.sec.gov/Archives/edgar/data/1680581/000119312520175588/d943990d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2020-08-11T07:02:29Z</dcterms:created>
  <dcterms:modified xsi:type="dcterms:W3CDTF">2020-08-11T07:02:29Z</dcterms:modified>
</cp:coreProperties>
</file>