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24130</wp:posOffset>
            </wp:positionH>
            <wp:positionV relativeFrom="paragraph">
              <wp:posOffset>-10795</wp:posOffset>
            </wp:positionV>
            <wp:extent cx="142240" cy="1924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9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60" w:hanging="256"/>
        <w:spacing w:after="0" w:line="183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-637540</wp:posOffset>
            </wp:positionV>
            <wp:extent cx="59055" cy="650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4112260</wp:posOffset>
            </wp:positionH>
            <wp:positionV relativeFrom="paragraph">
              <wp:posOffset>-637540</wp:posOffset>
            </wp:positionV>
            <wp:extent cx="59055" cy="650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189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8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6 Dimensions Capital, L.P.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Fulcrum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FULC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309, UGLAND HOUSE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CAYMAN,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1-1104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ISLANDS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441,071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441,071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118,750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559,821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441,071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07/22/2019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3,087,500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 July 22, 2019 the Series B Preferred Stock converted into Common Stock on 7:1 basis upon the closing of the issuer's initial public offering without payment of consideration. The shares had no expiration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Sau Yin Chung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07/22/2019</w:t>
            </w: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firstLine="5"/>
        <w:spacing w:after="0" w:line="314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7958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2019-12-23T20:30:00Z</dcterms:created>
  <dcterms:modified xsi:type="dcterms:W3CDTF">2019-12-23T20:30:00Z</dcterms:modified>
</cp:coreProperties>
</file>