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2, 2023</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FULCRUM THERAPEUTICS, INC.</w:t>
      </w:r>
    </w:p>
    <w:p>
      <w:pPr>
        <w:spacing w:after="0" w:line="94" w:lineRule="exact"/>
        <w:rPr>
          <w:sz w:val="24"/>
          <w:szCs w:val="24"/>
          <w:color w:val="auto"/>
        </w:rPr>
      </w:pPr>
    </w:p>
    <w:tbl>
      <w:tblPr>
        <w:tblLayout w:type="fixed"/>
        <w:tblInd w:w="1120" w:type="dxa"/>
        <w:tblCellMar>
          <w:top w:w="0" w:type="dxa"/>
          <w:left w:w="0" w:type="dxa"/>
          <w:bottom w:w="0" w:type="dxa"/>
          <w:right w:w="0" w:type="dxa"/>
        </w:tblCellMar>
      </w:tblPr>
      <w:tr>
        <w:trPr>
          <w:trHeight w:val="155"/>
        </w:trPr>
        <w:tc>
          <w:tcPr>
            <w:tcW w:w="2020" w:type="dxa"/>
            <w:vAlign w:val="bottom"/>
          </w:tcPr>
          <w:p>
            <w:pPr>
              <w:spacing w:after="0"/>
              <w:rPr>
                <w:sz w:val="13"/>
                <w:szCs w:val="13"/>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300" w:type="dxa"/>
            <w:vAlign w:val="bottom"/>
          </w:tcPr>
          <w:p>
            <w:pPr>
              <w:spacing w:after="0"/>
              <w:rPr>
                <w:sz w:val="13"/>
                <w:szCs w:val="13"/>
                <w:color w:val="auto"/>
              </w:rPr>
            </w:pPr>
          </w:p>
        </w:tc>
      </w:tr>
      <w:tr>
        <w:trPr>
          <w:trHeight w:val="277"/>
        </w:trPr>
        <w:tc>
          <w:tcPr>
            <w:tcW w:w="2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001-38978</w:t>
            </w:r>
          </w:p>
        </w:tc>
        <w:tc>
          <w:tcPr>
            <w:tcW w:w="130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47-4839948</w:t>
            </w:r>
          </w:p>
        </w:tc>
      </w:tr>
      <w:tr>
        <w:trPr>
          <w:trHeight w:val="144"/>
        </w:trPr>
        <w:tc>
          <w:tcPr>
            <w:tcW w:w="202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30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8"/>
              </w:rPr>
              <w:t>(Commission</w:t>
            </w:r>
          </w:p>
        </w:tc>
        <w:tc>
          <w:tcPr>
            <w:tcW w:w="130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0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8"/>
              </w:rPr>
              <w:t>File Number)</w:t>
            </w:r>
          </w:p>
        </w:tc>
        <w:tc>
          <w:tcPr>
            <w:tcW w:w="130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300"/>
        </w:trPr>
        <w:tc>
          <w:tcPr>
            <w:tcW w:w="20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26 Landsdowne Street</w:t>
            </w:r>
          </w:p>
        </w:tc>
        <w:tc>
          <w:tcPr>
            <w:tcW w:w="3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57"/>
        </w:trPr>
        <w:tc>
          <w:tcPr>
            <w:tcW w:w="20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Cambridge, Massachusetts</w:t>
            </w:r>
          </w:p>
        </w:tc>
        <w:tc>
          <w:tcPr>
            <w:tcW w:w="3000" w:type="dxa"/>
            <w:vAlign w:val="bottom"/>
          </w:tcPr>
          <w:p>
            <w:pPr>
              <w:spacing w:after="0"/>
              <w:rPr>
                <w:sz w:val="13"/>
                <w:szCs w:val="13"/>
                <w:color w:val="auto"/>
              </w:rPr>
            </w:pP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02139</w:t>
            </w:r>
          </w:p>
        </w:tc>
      </w:tr>
      <w:tr>
        <w:trPr>
          <w:trHeight w:val="155"/>
        </w:trPr>
        <w:tc>
          <w:tcPr>
            <w:tcW w:w="2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3000" w:type="dxa"/>
            <w:vAlign w:val="bottom"/>
          </w:tcPr>
          <w:p>
            <w:pPr>
              <w:spacing w:after="0"/>
              <w:rPr>
                <w:sz w:val="13"/>
                <w:szCs w:val="13"/>
                <w:color w:val="auto"/>
              </w:rPr>
            </w:pPr>
          </w:p>
        </w:tc>
        <w:tc>
          <w:tcPr>
            <w:tcW w:w="130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0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(617) 651-8851</w:t>
      </w:r>
    </w:p>
    <w:p>
      <w:pPr>
        <w:spacing w:after="0" w:line="12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21"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840" w:right="2539" w:hanging="8"/>
        <w:spacing w:after="0" w:line="477" w:lineRule="auto"/>
        <w:tabs>
          <w:tab w:leader="none" w:pos="1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Trading</w:t>
            </w:r>
          </w:p>
        </w:tc>
        <w:tc>
          <w:tcPr>
            <w:tcW w:w="3160" w:type="dxa"/>
            <w:vAlign w:val="bottom"/>
          </w:tcPr>
          <w:p>
            <w:pPr>
              <w:spacing w:after="0"/>
              <w:rPr>
                <w:sz w:val="12"/>
                <w:szCs w:val="12"/>
                <w:color w:val="auto"/>
              </w:rPr>
            </w:pPr>
          </w:p>
        </w:tc>
      </w:tr>
      <w:tr>
        <w:trPr>
          <w:trHeight w:val="155"/>
        </w:trPr>
        <w:tc>
          <w:tcPr>
            <w:tcW w:w="3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7"/>
        </w:trPr>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FULC</w:t>
            </w:r>
          </w:p>
        </w:tc>
        <w:tc>
          <w:tcPr>
            <w:tcW w:w="6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Global Market</w:t>
            </w:r>
          </w:p>
        </w:tc>
      </w:tr>
    </w:tbl>
    <w:p>
      <w:pPr>
        <w:spacing w:after="0" w:line="91"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3" w:lineRule="exact"/>
        <w:rPr>
          <w:sz w:val="24"/>
          <w:szCs w:val="24"/>
          <w:color w:val="auto"/>
        </w:rPr>
      </w:pPr>
    </w:p>
    <w:p>
      <w:pPr>
        <w:ind w:left="63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3"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08"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To the extent applicable to this Item, the disclosure set forth in Item 8.01 is incorporated by reference herein.</w:t>
      </w:r>
    </w:p>
    <w:p>
      <w:pPr>
        <w:spacing w:after="0" w:line="245" w:lineRule="exact"/>
        <w:rPr>
          <w:sz w:val="20"/>
          <w:szCs w:val="20"/>
          <w:color w:val="auto"/>
        </w:rPr>
      </w:pPr>
    </w:p>
    <w:p>
      <w:pPr>
        <w:ind w:left="1640" w:right="1559" w:hanging="800"/>
        <w:spacing w:after="0" w:line="286" w:lineRule="auto"/>
        <w:tabs>
          <w:tab w:leader="none" w:pos="1620"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2"/>
          <w:szCs w:val="12"/>
          <w:b w:val="1"/>
          <w:bCs w:val="1"/>
          <w:color w:val="auto"/>
        </w:rPr>
        <w:t>Departure of Director or Certain Officers; Election of Directors; Appointment of Certain Officers; Compensatory Arrangements of Certain Officers.</w:t>
      </w:r>
    </w:p>
    <w:p>
      <w:pPr>
        <w:spacing w:after="0" w:line="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 January 2, 2023, Bryan Stuart and Fulcrum Therapeutics, Inc., or Fulcrum, mutually agreed that he would transition from his role as president, chief</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executive officer and as Class II director, and in connection therewith, Fulcrum and Bryan Stuart entered into a severance agreement dated January 2,</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2023. The severance agreement memorializes Mr. Stuart’s transition effective as of January 2, 2023 and provides for payment of the severance benefits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as contemplated by his previously filed employment agreement dated March 31, 2021, as well as for payment of his 2022 bonus in the amount 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$220,000, and an extended exercise period (18-months) for his vested and unexercised options following the January 2, 2023 separation from service.</w:t>
      </w:r>
    </w:p>
    <w:p>
      <w:pPr>
        <w:spacing w:after="0" w:line="139" w:lineRule="exact"/>
        <w:rPr>
          <w:sz w:val="20"/>
          <w:szCs w:val="20"/>
          <w:color w:val="auto"/>
        </w:rPr>
      </w:pPr>
    </w:p>
    <w:p>
      <w:pPr>
        <w:ind w:left="840" w:right="859"/>
        <w:spacing w:after="0" w:line="279" w:lineRule="auto"/>
        <w:rPr>
          <w:sz w:val="20"/>
          <w:szCs w:val="20"/>
          <w:color w:val="auto"/>
        </w:rPr>
      </w:pPr>
      <w:r>
        <w:rPr>
          <w:rFonts w:ascii="Times New Roman" w:cs="Times New Roman" w:eastAsia="Times New Roman" w:hAnsi="Times New Roman"/>
          <w:sz w:val="12"/>
          <w:szCs w:val="12"/>
          <w:color w:val="auto"/>
        </w:rPr>
        <w:t>On January 3, 2023, the board of directors of Fulcrum, or the Board, appointed Robert J. Gould, former chief executive officer and president and current Class III director, as interim president and chief executive officer and as Fulcrum’s principal executive officer, effective January 3, 2023.</w:t>
      </w:r>
    </w:p>
    <w:p>
      <w:pPr>
        <w:spacing w:after="0" w:line="111" w:lineRule="exact"/>
        <w:rPr>
          <w:sz w:val="20"/>
          <w:szCs w:val="20"/>
          <w:color w:val="auto"/>
        </w:rPr>
      </w:pPr>
    </w:p>
    <w:p>
      <w:pPr>
        <w:ind w:left="840" w:right="879"/>
        <w:spacing w:after="0" w:line="253" w:lineRule="auto"/>
        <w:rPr>
          <w:sz w:val="20"/>
          <w:szCs w:val="20"/>
          <w:color w:val="auto"/>
        </w:rPr>
      </w:pPr>
      <w:r>
        <w:rPr>
          <w:rFonts w:ascii="Times New Roman" w:cs="Times New Roman" w:eastAsia="Times New Roman" w:hAnsi="Times New Roman"/>
          <w:sz w:val="12"/>
          <w:szCs w:val="12"/>
          <w:color w:val="auto"/>
        </w:rPr>
        <w:t>Robert J. Gould, Ph.D., age 68, has served as a member of the Board since July 2016, served as Fulcrum’s president and chief executive officer from July 2016 to March 2021, and was appointed interim president and chief executive officer in January 2023.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Hemoshear Therapeutics, Inc., a biotechnology company, Turnstone Biologics Corp, a biotechnology company, and Faeth Therapeutics, Inc., a biotechnology company. Dr. Gould served as a member of the board of directors of Epizyme from March 2010 to March 2016. Dr. Gould received a B.A. from Spring Arbor University and a Ph.D. from the University of Iowa and completed postdoctoral studies at the Johns Hopkins University.</w:t>
      </w:r>
    </w:p>
    <w:p>
      <w:pPr>
        <w:spacing w:after="0" w:line="129" w:lineRule="exact"/>
        <w:rPr>
          <w:sz w:val="20"/>
          <w:szCs w:val="20"/>
          <w:color w:val="auto"/>
        </w:rPr>
      </w:pPr>
    </w:p>
    <w:p>
      <w:pPr>
        <w:ind w:left="840" w:right="1079"/>
        <w:spacing w:after="0" w:line="279" w:lineRule="auto"/>
        <w:rPr>
          <w:sz w:val="20"/>
          <w:szCs w:val="20"/>
          <w:color w:val="auto"/>
        </w:rPr>
      </w:pPr>
      <w:r>
        <w:rPr>
          <w:rFonts w:ascii="Times New Roman" w:cs="Times New Roman" w:eastAsia="Times New Roman" w:hAnsi="Times New Roman"/>
          <w:sz w:val="12"/>
          <w:szCs w:val="12"/>
          <w:color w:val="auto"/>
        </w:rPr>
        <w:t>In connection with his appointment as interim chief executive officer and president, Fulcrum and Dr. Gould entered into a letter agreement effective January 3, 2023 providing for annual salary of $600,000, paid $50,000 monthly.</w:t>
      </w:r>
    </w:p>
    <w:p>
      <w:pPr>
        <w:spacing w:after="0" w:line="111" w:lineRule="exact"/>
        <w:rPr>
          <w:sz w:val="20"/>
          <w:szCs w:val="20"/>
          <w:color w:val="auto"/>
        </w:rPr>
      </w:pPr>
    </w:p>
    <w:p>
      <w:pPr>
        <w:ind w:left="840" w:right="1219"/>
        <w:spacing w:after="0" w:line="279" w:lineRule="auto"/>
        <w:rPr>
          <w:sz w:val="20"/>
          <w:szCs w:val="20"/>
          <w:color w:val="auto"/>
        </w:rPr>
      </w:pPr>
      <w:r>
        <w:rPr>
          <w:rFonts w:ascii="Times New Roman" w:cs="Times New Roman" w:eastAsia="Times New Roman" w:hAnsi="Times New Roman"/>
          <w:sz w:val="12"/>
          <w:szCs w:val="12"/>
          <w:color w:val="auto"/>
        </w:rPr>
        <w:t>Fulcrum intends to file a copy of Mr. Stuart’s severance agreement and a copy of Dr. Gould’s letter agreement as exhibits to its Annual Report on Form 10-K for the year ended December 31, 2022.</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40" w:right="1019"/>
        <w:spacing w:after="0" w:line="265" w:lineRule="auto"/>
        <w:rPr>
          <w:sz w:val="20"/>
          <w:szCs w:val="20"/>
          <w:color w:val="auto"/>
        </w:rPr>
      </w:pPr>
      <w:r>
        <w:rPr>
          <w:rFonts w:ascii="Times New Roman" w:cs="Times New Roman" w:eastAsia="Times New Roman" w:hAnsi="Times New Roman"/>
          <w:sz w:val="12"/>
          <w:szCs w:val="12"/>
          <w:color w:val="auto"/>
        </w:rPr>
        <w:t>On January 4, 2023, Fulcrum Therapeutics, Inc., or Fulcrum, issued a press release providing a business update and 2023 outlook, which will be discussed as part of Fulcrum’s presentation at the 41st Annual J.P. Morgan Healthcare Conference on January 11, 2023. A copy of the press release is filed as Exhibit 99.1 to this current report on Form 8-K and incorporated by reference herein.</w:t>
      </w:r>
    </w:p>
    <w:p>
      <w:pPr>
        <w:spacing w:after="0" w:line="119"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On January 4, 2023, Fulcrum published an updated corporate presentation on its Website that includes an updated pipeline chart and updated clinical data from its ongoing Phase 1b clinical trial of FTX-6058 for the treatment of sickle cell disease. Fulcrum is filing as Exhibit 99.2 to this current report on Form 8-K a copy of the slides from such presentation, which updated information is incorporated by reference herein.</w:t>
      </w:r>
    </w:p>
    <w:p>
      <w:pPr>
        <w:sectPr>
          <w:pgSz w:w="11900" w:h="16838" w:orient="portrait"/>
          <w:cols w:equalWidth="0" w:num="1">
            <w:col w:w="9019"/>
          </w:cols>
          <w:pgMar w:left="1440" w:top="242" w:right="1440" w:bottom="1440" w:gutter="0" w:footer="0" w:header="0"/>
        </w:sectPr>
      </w:pPr>
    </w:p>
    <w:bookmarkStart w:id="2" w:name="page3"/>
    <w:bookmarkEnd w:id="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Forward-Looking Statements</w:t>
      </w:r>
    </w:p>
    <w:p>
      <w:pPr>
        <w:spacing w:after="0" w:line="82" w:lineRule="exact"/>
        <w:rPr>
          <w:sz w:val="20"/>
          <w:szCs w:val="20"/>
          <w:color w:val="auto"/>
        </w:rPr>
      </w:pPr>
    </w:p>
    <w:p>
      <w:pPr>
        <w:ind w:left="840" w:right="859"/>
        <w:spacing w:after="0" w:line="276" w:lineRule="auto"/>
        <w:rPr>
          <w:sz w:val="20"/>
          <w:szCs w:val="20"/>
          <w:color w:val="auto"/>
        </w:rPr>
      </w:pPr>
      <w:r>
        <w:rPr>
          <w:rFonts w:ascii="Times New Roman" w:cs="Times New Roman" w:eastAsia="Times New Roman" w:hAnsi="Times New Roman"/>
          <w:sz w:val="11"/>
          <w:szCs w:val="11"/>
          <w:color w:val="auto"/>
        </w:rPr>
        <w:t>This current report on Form 8-K and the materials filed herewith contain “forward-looking statements” within the meaning of the Private Securities Litigation Reform Act of 1995 that involve substantial risks and uncertainties. All statements, other than statements of historical facts, contained in this current report on Form 8-K and the materials filed herewith are forward-looking statements, including express or implied statements regarding enrollment in Fulcrum’s ongoing clinical trials and timing of completion; potential therapeutic benefit of FTX-6058 and losmapimod; planned data announcements;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any other product candidates; obtain, maintain or protect intellectual property rights related to its product candidates; manage expenses; realize the anticipated benefits of the strategic realignment; manage executive and employee turnover; and raise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current report on Form 8-K and the materials filed herewith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355"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1100" w:hanging="268"/>
        <w:spacing w:after="0"/>
        <w:tabs>
          <w:tab w:leader="none" w:pos="1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following exhibit is furnished herewith:</w:t>
      </w:r>
    </w:p>
    <w:p>
      <w:pPr>
        <w:spacing w:after="0" w:line="16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Press Release dated January 4, 2023</w:t>
      </w:r>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EE"/>
        </w:rPr>
        <w:t>Slide from Corporate Presentation dated January 4, 2023</w:t>
      </w:r>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ectPr>
          <w:pgSz w:w="11900" w:h="16838" w:orient="portrait"/>
          <w:cols w:equalWidth="0" w:num="1">
            <w:col w:w="9019"/>
          </w:cols>
          <w:pgMar w:left="1440" w:top="242"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color w:val="auto"/>
        </w:rPr>
        <w:t>FULCRUM THERAPEUTICS, INC.</w:t>
      </w:r>
    </w:p>
    <w:p>
      <w:pPr>
        <w:spacing w:after="0" w:line="150" w:lineRule="exact"/>
        <w:rPr>
          <w:sz w:val="20"/>
          <w:szCs w:val="20"/>
          <w:color w:val="auto"/>
        </w:rPr>
      </w:pPr>
    </w:p>
    <w:p>
      <w:pPr>
        <w:ind w:left="840"/>
        <w:spacing w:after="0"/>
        <w:tabs>
          <w:tab w:leader="none" w:pos="4500" w:val="left"/>
          <w:tab w:leader="none" w:pos="4920" w:val="left"/>
        </w:tabs>
        <w:rPr>
          <w:sz w:val="20"/>
          <w:szCs w:val="20"/>
          <w:color w:val="auto"/>
        </w:rPr>
      </w:pPr>
      <w:r>
        <w:rPr>
          <w:rFonts w:ascii="Times New Roman" w:cs="Times New Roman" w:eastAsia="Times New Roman" w:hAnsi="Times New Roman"/>
          <w:sz w:val="12"/>
          <w:szCs w:val="12"/>
          <w:color w:val="auto"/>
        </w:rPr>
        <w:t>Date: January 4,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10795</wp:posOffset>
            </wp:positionV>
            <wp:extent cx="205168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15"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2"/>
          <w:szCs w:val="12"/>
          <w:color w:val="auto"/>
        </w:rPr>
        <w:t>Name:</w:t>
        <w:tab/>
        <w:t>Curtis Oltmans</w:t>
      </w:r>
    </w:p>
    <w:p>
      <w:pPr>
        <w:spacing w:after="0" w:line="6"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2"/>
          <w:szCs w:val="12"/>
          <w:color w:val="auto"/>
        </w:rPr>
        <w:t>Title:</w:t>
        <w:tab/>
        <w:t>Chief Legal Officer</w:t>
      </w:r>
    </w:p>
    <w:p>
      <w:pPr>
        <w:sectPr>
          <w:pgSz w:w="11900" w:h="16838" w:orient="portrait"/>
          <w:cols w:equalWidth="0" w:num="1">
            <w:col w:w="9019"/>
          </w:cols>
          <w:pgMar w:left="1440" w:top="242" w:right="1440" w:bottom="1440" w:gutter="0" w:footer="0" w:header="0"/>
        </w:sectPr>
      </w:pPr>
    </w:p>
    <w:bookmarkStart w:id="4" w:name="page5"/>
    <w:bookmarkEnd w:id="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167640</wp:posOffset>
            </wp:positionV>
            <wp:extent cx="1108710" cy="337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871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Fulcrum Therapeutics Provides Business Update and 2023 Outlook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FTX-6058 granted Fast Track Designation for sickle cell disease (SCD) from FDA in December 2022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Completed enrollment in 6 mg and 2 mg dose cohorts of the Phase 1b trial of FTX-6058 in SCD; enrollment ongoing in 12 mg dose cohort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Additional FTX-6058 data from 6 mg cohort of ongoing Phase 1b trial show clinically relevant HbF increases of up to 9.5% —</w:t>
      </w:r>
    </w:p>
    <w:p>
      <w:pPr>
        <w:spacing w:after="0" w:line="15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i w:val="1"/>
          <w:iCs w:val="1"/>
          <w:color w:val="auto"/>
        </w:rPr>
        <w:t>— Plan to complete enrollment in Phase 3 REACH trial of losmapimod in FSHD during 2H’23</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 Fulcrum announces CEO transition; Robert J. Gould, Ph.D., former president and founding chief executive officer of Fulcrum has been appointed as</w:t>
      </w:r>
    </w:p>
    <w:p>
      <w:pPr>
        <w:spacing w:after="0" w:line="1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i w:val="1"/>
          <w:iCs w:val="1"/>
          <w:color w:val="auto"/>
        </w:rPr>
        <w:t>interim CEO as Bryan Stuart departs to pursue other opportunities —</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i w:val="1"/>
          <w:iCs w:val="1"/>
          <w:color w:val="auto"/>
        </w:rPr>
        <w:t>— Presentation at J.P. Morgan Healthcare Conference on Wednesday, January 11, 2023, at 4:30 p.m. PST/7:30 p.m. EST —</w:t>
      </w:r>
    </w:p>
    <w:p>
      <w:pPr>
        <w:spacing w:after="0" w:line="148" w:lineRule="exact"/>
        <w:rPr>
          <w:sz w:val="20"/>
          <w:szCs w:val="20"/>
          <w:color w:val="auto"/>
        </w:rPr>
      </w:pPr>
    </w:p>
    <w:p>
      <w:pPr>
        <w:ind w:left="840" w:right="879"/>
        <w:spacing w:after="0" w:line="232" w:lineRule="auto"/>
        <w:rPr>
          <w:sz w:val="20"/>
          <w:szCs w:val="20"/>
          <w:color w:val="auto"/>
        </w:rPr>
      </w:pPr>
      <w:r>
        <w:rPr>
          <w:rFonts w:ascii="Times New Roman" w:cs="Times New Roman" w:eastAsia="Times New Roman" w:hAnsi="Times New Roman"/>
          <w:sz w:val="12"/>
          <w:szCs w:val="12"/>
          <w:b w:val="1"/>
          <w:bCs w:val="1"/>
          <w:color w:val="auto"/>
        </w:rPr>
        <w:t xml:space="preserve">CAMBRIDGE, Mass. – January 4, 2023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Fulcrum Therapeutics, Inc.</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(Nasdaq: FULC), a clinical-stage biopharmaceutical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improving the lives of patients with genetically defined rare diseases, today outlined its recent accomplishments and expected 2023 milestones. Fulcrum will present at the upcoming 41st Annual J.P. Morgan Healthcare Conference in San Francisco on Wednesday, January 11, 2023, at 4:30 p.m. PST. A live webcast will be available on the Investor Relations section of Fulcrum’s website.</w:t>
      </w:r>
    </w:p>
    <w:p>
      <w:pPr>
        <w:spacing w:after="0" w:line="135" w:lineRule="exact"/>
        <w:rPr>
          <w:sz w:val="20"/>
          <w:szCs w:val="20"/>
          <w:color w:val="auto"/>
        </w:rPr>
      </w:pPr>
    </w:p>
    <w:p>
      <w:pPr>
        <w:ind w:left="840" w:right="859"/>
        <w:spacing w:after="0" w:line="257" w:lineRule="auto"/>
        <w:rPr>
          <w:sz w:val="20"/>
          <w:szCs w:val="20"/>
          <w:color w:val="auto"/>
        </w:rPr>
      </w:pPr>
      <w:r>
        <w:rPr>
          <w:rFonts w:ascii="Times New Roman" w:cs="Times New Roman" w:eastAsia="Times New Roman" w:hAnsi="Times New Roman"/>
          <w:sz w:val="12"/>
          <w:szCs w:val="12"/>
          <w:color w:val="auto"/>
        </w:rPr>
        <w:t>“We are entering 2023 with a tremendous amount of momentum and expect it to be a productive year for our two clinical programs: FTX-6058 for SCD, and losmapimod for FSHD,” said Robert J. Gould, Ph.D., Fulcrum’s interim president and chief executive officer. “FTX-6058 is a potential best-in-class oral HbF inducer candidate that could address critical gaps in the SCD treatment landscape. We are excited by the levels of HbF induction in our initial doses and look forward to further broadening our understanding of its effect at a higher dose. Meanwhile, the Phase 3 REACH trial with losmapimod, a potential first-to-market therapy in FSHD, is expected to complete enrollment in the second half of the year.”</w:t>
      </w:r>
    </w:p>
    <w:p>
      <w:pPr>
        <w:spacing w:after="0" w:line="125" w:lineRule="exact"/>
        <w:rPr>
          <w:sz w:val="20"/>
          <w:szCs w:val="20"/>
          <w:color w:val="auto"/>
        </w:rPr>
      </w:pPr>
    </w:p>
    <w:p>
      <w:pPr>
        <w:ind w:left="840" w:right="1059"/>
        <w:spacing w:after="0" w:line="265" w:lineRule="auto"/>
        <w:rPr>
          <w:sz w:val="20"/>
          <w:szCs w:val="20"/>
          <w:color w:val="auto"/>
        </w:rPr>
      </w:pPr>
      <w:r>
        <w:rPr>
          <w:rFonts w:ascii="Times New Roman" w:cs="Times New Roman" w:eastAsia="Times New Roman" w:hAnsi="Times New Roman"/>
          <w:sz w:val="12"/>
          <w:szCs w:val="12"/>
          <w:color w:val="auto"/>
        </w:rPr>
        <w:t>“We are encouraged by the new FTX-6058 data at 6 mg that show clinically relevant HbF increases, up to 9.5% from baseline with hemolysis and anemia improvement, suggesting its potential for best-in-class therapy for people living with sickle cell disease,” said Santiago Arroyo, M.D., Ph.D., Fulcrum’s chief medical officer.</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Key Business Updates and Upcoming Milestones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FTX-6058</w:t>
      </w:r>
    </w:p>
    <w:p>
      <w:pPr>
        <w:spacing w:after="0" w:line="91" w:lineRule="exact"/>
        <w:rPr>
          <w:sz w:val="20"/>
          <w:szCs w:val="20"/>
          <w:color w:val="auto"/>
        </w:rPr>
      </w:pPr>
    </w:p>
    <w:p>
      <w:pPr>
        <w:ind w:left="1480" w:hanging="288"/>
        <w:spacing w:after="0"/>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Received Fast Track Designation from the U.S. Food and Drug Administration (FDA) for the treatment of SCD in December 2022</w:t>
      </w:r>
    </w:p>
    <w:p>
      <w:pPr>
        <w:spacing w:after="0" w:line="87" w:lineRule="exact"/>
        <w:rPr>
          <w:rFonts w:ascii="Times New Roman" w:cs="Times New Roman" w:eastAsia="Times New Roman" w:hAnsi="Times New Roman"/>
          <w:sz w:val="12"/>
          <w:szCs w:val="12"/>
          <w:color w:val="auto"/>
        </w:rPr>
      </w:pPr>
    </w:p>
    <w:p>
      <w:pPr>
        <w:ind w:left="1480" w:right="899" w:hanging="288"/>
        <w:spacing w:after="0" w:line="279"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1b data from Cohort 1 subjects in the 6 mg cohort (n=10) showed up to 9.5% absolute HbF increases from baseline; data suggest no difference in response in subjects on (n=3) and off (n=7) background hydroxyurea</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Improved biomarkers of hemolysis in evaluable patients dosed at 6 mg</w:t>
      </w:r>
    </w:p>
    <w:p>
      <w:pPr>
        <w:spacing w:after="0" w:line="87" w:lineRule="exact"/>
        <w:rPr>
          <w:rFonts w:ascii="Times New Roman" w:cs="Times New Roman" w:eastAsia="Times New Roman" w:hAnsi="Times New Roman"/>
          <w:sz w:val="12"/>
          <w:szCs w:val="12"/>
          <w:color w:val="auto"/>
        </w:rPr>
      </w:pPr>
    </w:p>
    <w:p>
      <w:pPr>
        <w:ind w:left="1480" w:right="1019" w:hanging="288"/>
        <w:spacing w:after="0" w:line="279"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Phase 1b trial, FTX-6058 appears to have dose dependent and clinically relevant increases in HbF; all subjects adherent to dosing regimen showed a response</w:t>
      </w:r>
    </w:p>
    <w:p>
      <w:pPr>
        <w:sectPr>
          <w:pgSz w:w="11900" w:h="16838" w:orient="portrait"/>
          <w:cols w:equalWidth="0" w:num="1">
            <w:col w:w="9019"/>
          </w:cols>
          <w:pgMar w:left="1440" w:top="125" w:right="1440" w:bottom="1440" w:gutter="0" w:footer="0" w:header="0"/>
        </w:sectPr>
      </w:pPr>
    </w:p>
    <w:bookmarkStart w:id="5" w:name="page6"/>
    <w:bookmarkEnd w:id="5"/>
    <w:p>
      <w:pPr>
        <w:ind w:left="1480" w:right="85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Generally well tolerated with no drug-related treatment emergent serious adverse events and no discontinuations due to treatment emergent adverse events to date</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Enrolling 12 mg dose cohort of the Phase 1b trial</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Next data update planned during the fourth quarter of 2023</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Losmapimod</w:t>
      </w:r>
    </w:p>
    <w:p>
      <w:pPr>
        <w:spacing w:after="0" w:line="91" w:lineRule="exact"/>
        <w:rPr>
          <w:sz w:val="20"/>
          <w:szCs w:val="20"/>
          <w:color w:val="auto"/>
        </w:rPr>
      </w:pPr>
    </w:p>
    <w:p>
      <w:pPr>
        <w:ind w:left="1480" w:hanging="288"/>
        <w:spacing w:after="0"/>
        <w:tabs>
          <w:tab w:leader="none" w:pos="1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Enrollment ongoing in the REACH Phase 3 pivotal trial at sites in the U.S., Canada, and Europe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 to complete enrollment in the second half of 2023</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Financial Guidance</w:t>
      </w:r>
    </w:p>
    <w:p>
      <w:pPr>
        <w:spacing w:after="0" w:line="91" w:lineRule="exact"/>
        <w:rPr>
          <w:sz w:val="20"/>
          <w:szCs w:val="20"/>
          <w:color w:val="auto"/>
        </w:rPr>
      </w:pPr>
    </w:p>
    <w:p>
      <w:pPr>
        <w:ind w:left="1480" w:right="91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Fulcrum maintains its cash runway guidance and expects its existing cash, cash equivalents, and marketable securities will be sufficient to fund its currently planned operating expenses and capital expenditure requirements into late 2024</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Corporate</w:t>
      </w:r>
    </w:p>
    <w:p>
      <w:pPr>
        <w:spacing w:after="0" w:line="91" w:lineRule="exact"/>
        <w:rPr>
          <w:sz w:val="20"/>
          <w:szCs w:val="20"/>
          <w:color w:val="auto"/>
        </w:rPr>
      </w:pPr>
    </w:p>
    <w:p>
      <w:pPr>
        <w:ind w:left="1480" w:right="979" w:hanging="288"/>
        <w:spacing w:after="0" w:line="279"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Fulcrum announced CEO transition today; Robert J. Gould, Ph.D., former president and founding chief executive officer of Fulcrum has been appointed as interim CEO as Bryan Stuart departs to pursue other opportunities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J.P. Morgan Conference Webcast</w:t>
      </w:r>
    </w:p>
    <w:p>
      <w:pPr>
        <w:spacing w:after="0" w:line="91" w:lineRule="exact"/>
        <w:rPr>
          <w:sz w:val="20"/>
          <w:szCs w:val="20"/>
          <w:color w:val="auto"/>
        </w:rPr>
      </w:pPr>
    </w:p>
    <w:p>
      <w:pPr>
        <w:ind w:left="1480" w:right="1219" w:hanging="288"/>
        <w:spacing w:after="0" w:line="265"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live audio webcast of Fulcrum’s presentation at the 41st Annual J.P. Morgan Healthcare Conference will be available through the Investor Relations section of the Fulcrum website at https://ir.fulcrumtx.com/events-and-presentations. An archived replay will be available on Fulcrum’s website for 30 days.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Fulcrum Therapeutics</w:t>
      </w:r>
    </w:p>
    <w:p>
      <w:pPr>
        <w:spacing w:after="0" w:line="82" w:lineRule="exact"/>
        <w:rPr>
          <w:sz w:val="20"/>
          <w:szCs w:val="20"/>
          <w:color w:val="auto"/>
        </w:rPr>
      </w:pPr>
    </w:p>
    <w:p>
      <w:pPr>
        <w:ind w:left="840" w:right="879"/>
        <w:spacing w:after="0" w:line="237" w:lineRule="auto"/>
        <w:rPr>
          <w:sz w:val="20"/>
          <w:szCs w:val="20"/>
          <w:color w:val="auto"/>
        </w:rPr>
      </w:pPr>
      <w:r>
        <w:rPr>
          <w:rFonts w:ascii="Times New Roman" w:cs="Times New Roman" w:eastAsia="Times New Roman" w:hAnsi="Times New Roman"/>
          <w:sz w:val="12"/>
          <w:szCs w:val="12"/>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(SCD) and other hemoglobinopathies, including beta-thalassemia. Fulcrum’s proprietary product engine, FulcrumSeek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identifies drug targets that can modulate gene expression to treat the known root cause of gene mis-expression. For more information, visit www.fulcrumtx.com and follow us on Twitter @FulcrumTx and LinkedIn.</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FTX-6058</w:t>
      </w:r>
    </w:p>
    <w:p>
      <w:pPr>
        <w:spacing w:after="0" w:line="82" w:lineRule="exact"/>
        <w:rPr>
          <w:sz w:val="20"/>
          <w:szCs w:val="20"/>
          <w:color w:val="auto"/>
        </w:rPr>
      </w:pPr>
    </w:p>
    <w:p>
      <w:pPr>
        <w:ind w:left="840" w:right="859"/>
        <w:spacing w:after="0" w:line="237" w:lineRule="auto"/>
        <w:rPr>
          <w:sz w:val="20"/>
          <w:szCs w:val="20"/>
          <w:color w:val="auto"/>
        </w:rPr>
      </w:pPr>
      <w:r>
        <w:rPr>
          <w:rFonts w:ascii="Times New Roman" w:cs="Times New Roman" w:eastAsia="Times New Roman" w:hAnsi="Times New Roman"/>
          <w:sz w:val="12"/>
          <w:szCs w:val="12"/>
          <w:color w:val="auto"/>
        </w:rPr>
        <w:t>FTX-6058 is an investigational oral small-molecule inhibitor of Embryonic Ectoderm Development (EED) that was discovered using FulcrumSeek</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Fulcrum’s proprietary discovery engine. Inhibition of EED leads to potent downregulation of key fetal globin repressors, including BCL11A, thereby causing an increase in fetal hemoglobin (HbF). FTX-6058 is being developed for the treatment of sickle cell disease (SCD) and other hemoglobinopathies. FTX-6058 is currently being evaluated in a Phase 1b multi-center open-label trial in people with SCD (NCT05169580). Initial data demonstrated proof-of-concept and achieved absolute levels of HbF increases associated with potential overall patient benefit. To date, FTX-6058 has been generally well-tolerated in people with SCD with up to three months of exposure, with no serious treatment-emergent adverse events reported.</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Sickle Cell Disease</w:t>
      </w:r>
    </w:p>
    <w:p>
      <w:pPr>
        <w:spacing w:after="0" w:line="80" w:lineRule="exact"/>
        <w:rPr>
          <w:sz w:val="20"/>
          <w:szCs w:val="20"/>
          <w:color w:val="auto"/>
        </w:rPr>
      </w:pPr>
    </w:p>
    <w:p>
      <w:pPr>
        <w:ind w:left="840" w:right="939"/>
        <w:spacing w:after="0" w:line="258" w:lineRule="auto"/>
        <w:rPr>
          <w:sz w:val="20"/>
          <w:szCs w:val="20"/>
          <w:color w:val="auto"/>
        </w:rPr>
      </w:pPr>
      <w:r>
        <w:rPr>
          <w:rFonts w:ascii="Times New Roman" w:cs="Times New Roman" w:eastAsia="Times New Roman" w:hAnsi="Times New Roman"/>
          <w:sz w:val="12"/>
          <w:szCs w:val="12"/>
          <w:color w:val="auto"/>
        </w:rPr>
        <w:t xml:space="preserve">Sickle cell disease is a genetic disorder of the red blood cells caused by a mutation in the </w:t>
      </w:r>
      <w:r>
        <w:rPr>
          <w:rFonts w:ascii="Times New Roman" w:cs="Times New Roman" w:eastAsia="Times New Roman" w:hAnsi="Times New Roman"/>
          <w:sz w:val="12"/>
          <w:szCs w:val="12"/>
          <w:i w:val="1"/>
          <w:iCs w:val="1"/>
          <w:color w:val="auto"/>
        </w:rPr>
        <w:t>HBB</w:t>
      </w:r>
      <w:r>
        <w:rPr>
          <w:rFonts w:ascii="Times New Roman" w:cs="Times New Roman" w:eastAsia="Times New Roman" w:hAnsi="Times New Roman"/>
          <w:sz w:val="12"/>
          <w:szCs w:val="12"/>
          <w:color w:val="auto"/>
        </w:rPr>
        <w:t xml:space="preserve">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sickle cell disease typically suffer from serious clinical consequences, which may include anemia, pain, infections, stroke, heart disease, pulmonary hypertension, kidney failure, liver disease and reduced life expectancy.</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Losmapimod</w:t>
      </w:r>
    </w:p>
    <w:p>
      <w:pPr>
        <w:spacing w:after="0" w:line="82" w:lineRule="exact"/>
        <w:rPr>
          <w:sz w:val="20"/>
          <w:szCs w:val="20"/>
          <w:color w:val="auto"/>
        </w:rPr>
      </w:pPr>
    </w:p>
    <w:p>
      <w:pPr>
        <w:ind w:left="840" w:right="879"/>
        <w:spacing w:after="0" w:line="254" w:lineRule="auto"/>
        <w:rPr>
          <w:sz w:val="20"/>
          <w:szCs w:val="20"/>
          <w:color w:val="auto"/>
        </w:rPr>
      </w:pPr>
      <w:r>
        <w:rPr>
          <w:rFonts w:ascii="Times New Roman" w:cs="Times New Roman" w:eastAsia="Times New Roman" w:hAnsi="Times New Roman"/>
          <w:sz w:val="12"/>
          <w:szCs w:val="12"/>
          <w:color w:val="auto"/>
        </w:rPr>
        <w:t>Losmapimod is a selective p38α/b mitogen activated protein kinase (MAPK) inhibitor. Fulcrum exclusively in-licensed losmapimod from GSK following Fulcrum’s discovery of the role of p38α/b inhibitors in the reduction of DUX4 expression and an extensive review of known compounds. Results reported from the Phase 2b ReDUX4 trial demonstrated slowed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U.S. Food and Drug Administration (FDA) Fast Track designation and Orphan Drug Designation for the treatment of FSHD. Losmapimod is currently being evaluated in a Phase 3 multi-center randomized, double-blind, placebo-controlled, 48-week parallel-group study in people with FSHD (NCT05397470).</w:t>
      </w:r>
    </w:p>
    <w:p>
      <w:pPr>
        <w:sectPr>
          <w:pgSz w:w="11900" w:h="16838" w:orient="portrait"/>
          <w:cols w:equalWidth="0" w:num="1">
            <w:col w:w="9019"/>
          </w:cols>
          <w:pgMar w:left="1440" w:top="228" w:right="1440"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About FSHD</w:t>
      </w:r>
    </w:p>
    <w:p>
      <w:pPr>
        <w:spacing w:after="0" w:line="82"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2"/>
          <w:szCs w:val="12"/>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profound decreases in the ability to perform activities of daily living, loss of upper limb function, loss of mobility and independence and chronic pain. FSHD is one of the most common forms of muscular dystrophy and has an estimated patient population of 16,000 to 38,000 in the United States alone.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left="840" w:right="859"/>
        <w:spacing w:after="0" w:line="276" w:lineRule="auto"/>
        <w:rPr>
          <w:sz w:val="20"/>
          <w:szCs w:val="20"/>
          <w:color w:val="auto"/>
        </w:rPr>
      </w:pPr>
      <w:r>
        <w:rPr>
          <w:rFonts w:ascii="Times New Roman" w:cs="Times New Roman" w:eastAsia="Times New Roman" w:hAnsi="Times New Roman"/>
          <w:sz w:val="11"/>
          <w:szCs w:val="11"/>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enrollment in Fulcrum’s ongoing clinical trials and timing of completion; potential therapeutic benefit of FTX-6058 and losmapimod; planned data announcements;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any other product candidates; obtain, maintain or protect intellectual property rights related to its product candidates; manage expenses; realize the anticipated benefits of the strategic realignment; manage executive and employee turnover; and raise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Investors: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Stephanie Ascher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Stern Investor Relations, Inc.</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stephanie.ascher@sternir.com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212-362-1200</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Media:</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Dee Smith</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Executive Director, Corporate Communications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Fulcrum Therapeutics, Inc.</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dsmith@fulcrumtx.com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202-746-1324</w:t>
      </w:r>
    </w:p>
    <w:p>
      <w:pPr>
        <w:sectPr>
          <w:pgSz w:w="11900" w:h="16838" w:orient="portrait"/>
          <w:cols w:equalWidth="0" w:num="1">
            <w:col w:w="9019"/>
          </w:cols>
          <w:pgMar w:left="1440" w:top="224"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2023-01-04T06:14:35Z</dcterms:created>
  <dcterms:modified xsi:type="dcterms:W3CDTF">2023-01-04T06:14:35Z</dcterms:modified>
</cp:coreProperties>
</file>