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fulc-20260630.htm"/>
      <w:bookmarkStart w:id="1" w:name="ksfulc20260630"/>
      <w:bookmarkEnd w:id="0"/>
      <w:bookmarkEnd w:id="1"/>
      <w:r>
        <w:rPr/>
        <w:t> </w:t>
      </w:r>
    </w:p>
    <w:p>
      <w:pPr>
        <w:pStyle w:val="TextBody"/>
        <w:pBdr>
          <w:bottom w:val="doub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spacing w:before="40" w:after="283"/>
        <w:jc w:val="center"/>
        <w:rPr/>
      </w:pPr>
      <w:r>
        <w:rPr/>
        <w:t> </w:t>
      </w:r>
    </w:p>
    <w:p>
      <w:pPr>
        <w:pStyle w:val="TextBody"/>
        <w:bidi w:val="0"/>
        <w:spacing w:before="120" w:after="283"/>
        <w:jc w:val="left"/>
        <w:rPr>
          <w:rFonts w:ascii="Times New Roman" w:hAnsi="Times New Roman"/>
          <w:b/>
          <w:color w:val="000000"/>
          <w:sz w:val="16"/>
        </w:rPr>
      </w:pPr>
      <w:r>
        <w:rPr>
          <w:rFonts w:ascii="Times New Roman" w:hAnsi="Times New Roman"/>
          <w:b/>
          <w:color w:val="000000"/>
          <w:sz w:val="16"/>
        </w:rPr>
        <w:t>(Mark One)</w:t>
      </w:r>
    </w:p>
    <w:p>
      <w:pPr>
        <w:pStyle w:val="TextBody"/>
        <w:bidi w:val="0"/>
        <w:spacing w:before="120" w:after="283"/>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June 30, 2026</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sz w:val="20"/>
        </w:rPr>
      </w:pPr>
      <w:r>
        <w:rPr>
          <w:rFonts w:ascii="Times New Roman" w:hAnsi="Times New Roman"/>
          <w:b/>
          <w:color w:val="000000"/>
          <w:sz w:val="20"/>
        </w:rPr>
        <w:t>For the transition period from</w:t>
      </w:r>
      <w:r>
        <w:rPr>
          <w:rFonts w:ascii="Times New Roman" w:hAnsi="Times New Roman"/>
          <w:color w:val="000000"/>
          <w:sz w:val="20"/>
          <w:u w:val="single"/>
        </w:rPr>
        <w:t xml:space="preserve"> </w:t>
      </w:r>
      <w:r>
        <w:rPr>
          <w:rFonts w:ascii="Times New Roman" w:hAnsi="Times New Roman"/>
          <w:b/>
          <w:color w:val="000000"/>
          <w:sz w:val="20"/>
        </w:rPr>
        <w:t>to</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Commission File Number: 001-38978</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48"/>
        </w:rPr>
      </w:pPr>
      <w:r>
        <w:rPr>
          <w:rFonts w:ascii="Times New Roman" w:hAnsi="Times New Roman"/>
          <w:b/>
          <w:color w:val="000000"/>
          <w:sz w:val="48"/>
        </w:rPr>
        <w:t>FULCRUM THERAPEUTICS, INC.</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7307" w:type="dxa"/>
        <w:jc w:val="left"/>
        <w:tblInd w:w="0" w:type="dxa"/>
        <w:tblLayout w:type="fixed"/>
        <w:tblCellMar>
          <w:top w:w="28" w:type="dxa"/>
          <w:left w:w="28" w:type="dxa"/>
          <w:bottom w:w="28" w:type="dxa"/>
          <w:right w:w="28" w:type="dxa"/>
        </w:tblCellMar>
      </w:tblPr>
      <w:tblGrid>
        <w:gridCol w:w="4561"/>
        <w:gridCol w:w="2746"/>
      </w:tblGrid>
      <w:tr>
        <w:trPr/>
        <w:tc>
          <w:tcPr>
            <w:tcW w:w="4561" w:type="dxa"/>
            <w:tcBorders/>
            <w:vAlign w:val="center"/>
          </w:tcPr>
          <w:p>
            <w:pPr>
              <w:pStyle w:val="TableContents"/>
              <w:bidi w:val="0"/>
              <w:spacing w:before="0" w:after="283"/>
              <w:jc w:val="left"/>
              <w:rPr>
                <w:sz w:val="4"/>
                <w:szCs w:val="4"/>
              </w:rPr>
            </w:pPr>
            <w:r>
              <w:rPr>
                <w:sz w:val="4"/>
                <w:szCs w:val="4"/>
              </w:rPr>
            </w:r>
          </w:p>
        </w:tc>
        <w:tc>
          <w:tcPr>
            <w:tcW w:w="2746" w:type="dxa"/>
            <w:tcBorders/>
            <w:vAlign w:val="center"/>
          </w:tcPr>
          <w:p>
            <w:pPr>
              <w:pStyle w:val="TableContents"/>
              <w:bidi w:val="0"/>
              <w:spacing w:before="0" w:after="283"/>
              <w:jc w:val="left"/>
              <w:rPr>
                <w:sz w:val="4"/>
                <w:szCs w:val="4"/>
              </w:rPr>
            </w:pPr>
            <w:r>
              <w:rPr>
                <w:sz w:val="4"/>
                <w:szCs w:val="4"/>
              </w:rPr>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47-4839948</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(State or other jurisdiction of incorporation or organization)</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(I.R.S. Employer Identification No.)</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26 Landsdowne Street</w:t>
              <w:br/>
              <w:t>Cambridge, Massachusetts</w:t>
            </w:r>
            <w:r>
              <w:rPr>
                <w:rFonts w:ascii="Times New Roman" w:hAnsi="Times New Roman"/>
                <w:color w:val="000000"/>
                <w:sz w:val="20"/>
              </w:rPr>
              <w:t xml:space="preserve"> </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02139</w:t>
            </w:r>
          </w:p>
        </w:tc>
      </w:tr>
      <w:tr>
        <w:trPr/>
        <w:tc>
          <w:tcPr>
            <w:tcW w:w="45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27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(617) 651-8851</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pBdr>
          <w:bottom w:val="single" w:sz="4" w:space="1" w:color="000000"/>
        </w:pBdr>
        <w:bidi w:val="0"/>
        <w:jc w:val="center"/>
        <w:rPr/>
      </w:pPr>
      <w:r>
        <w:rPr/>
        <w:t> </w:t>
      </w:r>
    </w:p>
    <w:p>
      <w:pPr>
        <w:pStyle w:val="TextBody"/>
        <w:bidi w:val="0"/>
        <w:spacing w:before="120" w:after="283"/>
        <w:jc w:val="left"/>
        <w:rPr>
          <w:rFonts w:ascii="Times New Roman" w:hAnsi="Times New Roman"/>
          <w:sz w:val="20"/>
        </w:rPr>
      </w:pPr>
      <w:r>
        <w:rPr>
          <w:rFonts w:ascii="Times New Roman" w:hAnsi="Times New Roman"/>
          <w:color w:val="000000"/>
          <w:sz w:val="19"/>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8635" w:type="dxa"/>
        <w:jc w:val="left"/>
        <w:tblInd w:w="0" w:type="dxa"/>
        <w:tblLayout w:type="fixed"/>
        <w:tblCellMar>
          <w:top w:w="28" w:type="dxa"/>
          <w:left w:w="28" w:type="dxa"/>
          <w:bottom w:w="28" w:type="dxa"/>
          <w:right w:w="28" w:type="dxa"/>
        </w:tblCellMar>
      </w:tblPr>
      <w:tblGrid>
        <w:gridCol w:w="3571"/>
        <w:gridCol w:w="146"/>
        <w:gridCol w:w="1456"/>
        <w:gridCol w:w="146"/>
        <w:gridCol w:w="3316"/>
      </w:tblGrid>
      <w:tr>
        <w:trPr/>
        <w:tc>
          <w:tcPr>
            <w:tcW w:w="3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57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pPr>
            <w:r>
              <w:rPr/>
              <w:t> </w:t>
            </w:r>
          </w:p>
        </w:tc>
        <w:tc>
          <w:tcPr>
            <w:tcW w:w="145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pPr>
            <w:r>
              <w:rPr/>
              <w:t> </w:t>
            </w:r>
          </w:p>
        </w:tc>
        <w:tc>
          <w:tcPr>
            <w:tcW w:w="331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57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Common stock, par value $0.001 per share</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145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FULC</w:t>
            </w:r>
          </w:p>
        </w:tc>
        <w:tc>
          <w:tcPr>
            <w:tcW w:w="14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pPr>
            <w:r>
              <w:rPr/>
              <w:t> </w:t>
            </w:r>
          </w:p>
        </w:tc>
        <w:tc>
          <w:tcPr>
            <w:tcW w:w="3316" w:type="dxa"/>
            <w:tcBorders>
              <w:bottom w:val="single" w:sz="4" w:space="0" w:color="000000"/>
              <w:right w:val="single" w:sz="4" w:space="0" w:color="000000"/>
            </w:tcBorders>
            <w:tcMar>
              <w:top w:w="0" w:type="dxa"/>
              <w:left w:w="0" w:type="dxa"/>
            </w:tcMar>
            <w:vAlign w:val="center"/>
          </w:tcPr>
          <w:p>
            <w:pPr>
              <w:pStyle w:val="TableContents"/>
              <w:bidi w:val="0"/>
              <w:spacing w:before="0" w:after="283"/>
              <w:jc w:val="center"/>
              <w:rPr>
                <w:rFonts w:ascii="Times New Roman" w:hAnsi="Times New Roman"/>
                <w:color w:val="000000"/>
                <w:sz w:val="19"/>
              </w:rPr>
            </w:pPr>
            <w:r>
              <w:rPr>
                <w:rFonts w:ascii="Times New Roman" w:hAnsi="Times New Roman"/>
                <w:color w:val="000000"/>
                <w:sz w:val="19"/>
              </w:rPr>
              <w:t>The Nasdaq Global Market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120" w:after="283"/>
        <w:jc w:val="left"/>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120" w:after="283"/>
        <w:jc w:val="left"/>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5347" w:type="dxa"/>
        <w:jc w:val="left"/>
        <w:tblInd w:w="0" w:type="dxa"/>
        <w:tblLayout w:type="fixed"/>
        <w:tblCellMar>
          <w:top w:w="28" w:type="dxa"/>
          <w:left w:w="28" w:type="dxa"/>
          <w:bottom w:w="28" w:type="dxa"/>
          <w:right w:w="28" w:type="dxa"/>
        </w:tblCellMar>
      </w:tblPr>
      <w:tblGrid>
        <w:gridCol w:w="1921"/>
        <w:gridCol w:w="146"/>
        <w:gridCol w:w="316"/>
        <w:gridCol w:w="146"/>
        <w:gridCol w:w="2311"/>
        <w:gridCol w:w="146"/>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45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9"/>
        </w:rPr>
      </w:pPr>
      <w:r>
        <w:rPr>
          <w:rFonts w:ascii="Times New Roman" w:hAnsi="Times New Roman"/>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20" w:after="283"/>
        <w:jc w:val="left"/>
        <w:rPr>
          <w:rFonts w:ascii="Times New Roman" w:hAnsi="Times New Roman"/>
          <w:sz w:val="20"/>
        </w:rPr>
      </w:pPr>
      <w:r>
        <w:rPr>
          <w:rFonts w:ascii="Times New Roman" w:hAnsi="Times New Roman"/>
          <w:color w:val="000000"/>
          <w:sz w:val="19"/>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9"/>
        </w:rPr>
        <w:t>As of July 23, 2026, the registrant had 76,297,257</w:t>
      </w:r>
      <w:r>
        <w:rPr>
          <w:rFonts w:ascii="Times New Roman" w:hAnsi="Times New Roman"/>
          <w:color w:val="000000"/>
          <w:sz w:val="20"/>
        </w:rPr>
        <w:t xml:space="preserve"> </w:t>
      </w:r>
      <w:r>
        <w:rPr>
          <w:rFonts w:ascii="Times New Roman" w:hAnsi="Times New Roman"/>
          <w:color w:val="000000"/>
          <w:sz w:val="19"/>
        </w:rPr>
        <w:t>shares of common stock, $0.001 par value per share,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jc w:val="center"/>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Quarterly Report on Form 10-Q contains forward-looking statements, which reflect our current views with respect to, among other things, our operations and financial performance. All statements other than statements of historical facts contained in this Quarterly Report on Form 10-Q, including statements regarding our strategy, future operations, future financial position, future revenue, projected costs, prospects, plans, objectives of management and expected market growth are forward-looking statements. The words “anticipate,” “believe,” “continue,” “could,” “estimate,” “expect,” “intend,” “may,” “might,” “outlook,” “plan,” “potential,” “predict,” “project,” “should,” “target,” “would,” and the negative version of these words and other similar expressions are intended to identify forward-looking statements, although not all forward-looking statements contain these identifying words and include, among other statements, express or implied statements regarding:</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comprehensive review of strategic alternatives intended to maximize stockholder value, including, but not limited to, a merger, acquisition, business combination, or other strategic transactions involving our company or our assets;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decision to cease clinical development of pociredir, and subsequent efforts to significantly reduce our operating expenses and preserve capital, including a workforce reduction;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expectations regarding our ability to fund our operating expenses and capital expenditure requirements with our cash, cash equivalents, and marketable securities, including our estimates regarding expenses, future revenue, timing of any future revenue, capital requirements and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with respect to our product candidate research and development activities, including the initiation, timing, progress and results of our preclinical studies and clinical trials (including investigational new drug, or IND, application filings) and our research and development programs, and related interactions with regulatory authorities;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to develop and, if approved, subsequently commercialize any product candidates, including in combination with other drugs and therapies;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potential advantages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and clinical utility of our products,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estimates regarding the potential market opportunity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commercialization, marketing and manufacturing capabilities and strategy;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initiation, timing, progress and results of our drug target discovery screening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intellectual property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identify, in-license, acquire or develop additional products, product candidates or technologies with significant commercial potential that are consistent with our commercial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government laws and regulations, including uncertainty resulting from changes in the administration, shifts in government policy and the evolving regulatory environment;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competitive position;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developments relating to our competitors and our industry;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and establish collaborations, license agreements or obtain additional funding;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impact of global pandemics or other geopolitical events or prolonged government shutdowns on our business and operations, including our clinical trials and development plans, as well as our future financial results.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may not actually achieve the plans, intentions or expectations disclosed in our forward-looking statements, and you should not place undue reliance on our forward-looking statements. Such forward looking statements are subject to various risks and uncertainties. Actual results or events could differ materially from the plans, intentions and expectations disclosed in the forward-looking statements we make. We have included important factors in the cautionary statements included in this Quarterly Report on Form 10-Q, particularly in the “Risk Factors” and “Management’s Discussion and Analysis of Results of Operations” sections, that we believe could cause actual results or events to differ materially from the forward-looking statements that we make. Our forward-looking statements do not reflect the potential impact of any future acquisitions, mergers, dispositions, collaborations, joint ventures or investments we may make or enter into.</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You should read this Quarterly Report on Form 10-Q and the documents that we have filed as exhibits to this Quarterly Report on Form 10-Q completely and with the understanding that our actual future results may be materially different from what we expect. The forward-looking statements contained in this Quarterly Report on Form 10-Q are made as of the date of this Quarterly Report on Form 10-Q, and we do not assume any obligation to update any forward-looking statements, whether as a result of new information, future events or otherwise, except as required by applicable law.</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SUMMARY RISK FACTORS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business is subject to a number of risks that if realized could materially affect our business, financial condition, results of operations, cash flows and access to liquidity. These risks are discussed more fully in the “Risk Factors” section of this Quarterly Report on Form 10-Q. Our principal risks include the following:</w:t>
      </w:r>
    </w:p>
    <w:p>
      <w:pPr>
        <w:pStyle w:val="TextBody"/>
        <w:bidi w:val="0"/>
        <w:spacing w:before="240" w:after="283"/>
        <w:jc w:val="left"/>
        <w:rPr>
          <w:color w:val="000000"/>
        </w:rPr>
      </w:pPr>
      <w:r>
        <w:rPr>
          <w:color w:val="000000"/>
        </w:rPr>
        <w: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incurred significant losses since our inception. Our net loss was $74.9 million for the year ended December 31, 2025. Our net loss was $45.1 million for the six months ended June 30, 2026. We expect to incur losses over the next several years and may never achieve or maintain profitability. As of June 30, 2026, we had an accumulated deficit of $639.3 million.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able to identify, negotiate or consummate a financial or strategic option, and any such option we pursue may not be 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most recent restructuring plan may not result in the anticipated savings and may adversely affect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resume our product development efforts, we will need substantial additional funding. If we are unable to raise capital when needed, we could be forced to delay, reduce or eliminate our product development programs or commercialization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product candidates in active clinical development. If we shift our focus back to research and development and we are unable to eventually commercialize directly or out-license to a third party any of our product candidates or experience significant delays in doing so, our business will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Clinical drug development involves a lengthy and expensive process, with an uncertain outcome. The results of preclinical studies and early clinical trials may not be predictive of future results. If we resume our research and development efforts, we may incur additional costs or experience further delays in completing, or ultimately be unable to complete, the development and commercialization of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serious adverse events or unacceptable side effects are identified during the development of product candidates, including others’ product candidates in the same class of drugs, we may need to abandon or limit our development of some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not be successful in our efforts to use our discovery approach to build a pipeline of product candidates, or to in-license or acquire additional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face substantial competition, which may result in others discovering, developing or commercializing products before or more successfully than we do.</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if we resume product development activities, expect to continue to rely, on contract manufacturing organizations, or CMOs, to manufacture our product candidates. If we are unable to enter into such arrangements as expected or if such organizations do not meet our supply requirements, development and/or commercialization of our product candidates may be delayed.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and if we resume product development activities expect to continue to rely, on third parties to conduct our clinical trials, and those third parties may not perform satisfactorily, including failing to meet deadlines for the completion of such trials, which may harm our business.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entered into, and may in the future enter into, collaborations and license agreements with third parties for the discovery, development or commercialization of product candidates. If our collaborations are not successful or we are not able to develop product candidates that we license-in, we may not be able to capitalize on the market potential of these product candidates and our business could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was negatively impacted by the COVID-19 pandemic and may in the future be impacted by any future pandemics, as well as other geopolitical events that can impact our clinical trials or the supply chain, both ex-U.S. and domestically, or changes in U.S. economic policy announced by the current administration. These events may adversely impact the U.S. economy and/or economies worldwide, which could result in adverse effects on our business and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849"/>
        <w:gridCol w:w="8844"/>
        <w:gridCol w:w="512"/>
      </w:tblGrid>
      <w:tr>
        <w:trPr/>
        <w:tc>
          <w:tcPr>
            <w:tcW w:w="849" w:type="dxa"/>
            <w:tcBorders/>
            <w:vAlign w:val="center"/>
          </w:tcPr>
          <w:p>
            <w:pPr>
              <w:pStyle w:val="TableContents"/>
              <w:bidi w:val="0"/>
              <w:spacing w:before="0" w:after="283"/>
              <w:jc w:val="left"/>
              <w:rPr>
                <w:sz w:val="4"/>
                <w:szCs w:val="4"/>
              </w:rPr>
            </w:pPr>
            <w:r>
              <w:rPr>
                <w:sz w:val="4"/>
                <w:szCs w:val="4"/>
              </w:rPr>
            </w:r>
          </w:p>
        </w:tc>
        <w:tc>
          <w:tcPr>
            <w:tcW w:w="8844"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color w:val="0000FF"/>
                  <w:sz w:val="20"/>
                  <w:u w:val="single"/>
                </w:rPr>
                <w:t>FINANCIAL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r>
              <w:rPr>
                <w:rFonts w:ascii="Times New Roman" w:hAnsi="Times New Roman"/>
                <w:color w:val="0000FF"/>
                <w:sz w:val="20"/>
              </w:rPr>
              <w:t xml:space="preserve"> </w:t>
            </w:r>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June 30, 2026 and December 31,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Times New Roman" w:hAnsi="Times New Roman"/>
                  <w:color w:val="0000FF"/>
                  <w:sz w:val="20"/>
                  <w:u w:val="single"/>
                </w:rPr>
                <w:t>Consolidated Statements of Operations and Comprehensive Loss for the three and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onvertible_pref">
              <w:r>
                <w:rPr>
                  <w:rStyle w:val="InternetLink"/>
                  <w:rFonts w:ascii="Times New Roman" w:hAnsi="Times New Roman"/>
                  <w:color w:val="0000FF"/>
                  <w:sz w:val="20"/>
                  <w:u w:val="single"/>
                </w:rPr>
                <w:t>Consolidated Statements of Stockholders’ Equity for the three and six months ended June 30, 2026 and 2025</w:t>
              </w:r>
            </w:hyperlink>
            <w:hyperlink w:anchor="consolidated_statements_convertible_pref">
              <w:r>
                <w:rPr>
                  <w:rStyle w:val="InternetLink"/>
                  <w:rFonts w:ascii="Times New Roman" w:hAnsi="Times New Roman"/>
                  <w:color w:val="0000FF"/>
                  <w:sz w:val="20"/>
                </w:rPr>
                <w:t xml:space="preserve"> </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six months ended June 30, 2026 and 2025</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4</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_iior_information_1">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1a_risk_factors_1">
              <w:r>
                <w:rPr>
                  <w:rStyle w:val="InternetLink"/>
                  <w:rFonts w:ascii="Times New Roman" w:hAnsi="Times New Roman"/>
                  <w:color w:val="0000FF"/>
                  <w:sz w:val="20"/>
                  <w:u w:val="single"/>
                </w:rPr>
                <w:t>Risk Factors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2_unregistered_sales_equity_secur_1">
              <w:r>
                <w:rPr>
                  <w:rStyle w:val="InternetLink"/>
                  <w:rFonts w:ascii="Times New Roman" w:hAnsi="Times New Roman"/>
                  <w:color w:val="0000FF"/>
                  <w:sz w:val="20"/>
                  <w:u w:val="single"/>
                </w:rPr>
                <w:t>Unregistered Sales of Equity Securities and Use of Proceeds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3_default_upon_senior_securities_1">
              <w:r>
                <w:rPr>
                  <w:rStyle w:val="InternetLink"/>
                  <w:rFonts w:ascii="Times New Roman" w:hAnsi="Times New Roman"/>
                  <w:color w:val="0000FF"/>
                  <w:sz w:val="20"/>
                  <w:u w:val="single"/>
                </w:rPr>
                <w:t>Defaults Upon Senior Securities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4_mine_safety_disclosures_1">
              <w:r>
                <w:rPr>
                  <w:rStyle w:val="InternetLink"/>
                  <w:rFonts w:ascii="Times New Roman" w:hAnsi="Times New Roman"/>
                  <w:color w:val="0000FF"/>
                  <w:sz w:val="20"/>
                  <w:u w:val="single"/>
                </w:rPr>
                <w:t>Mine Safety Disclosures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5_other_information_1">
              <w:r>
                <w:rPr>
                  <w:rStyle w:val="InternetLink"/>
                  <w:rFonts w:ascii="Times New Roman" w:hAnsi="Times New Roman"/>
                  <w:color w:val="0000FF"/>
                  <w:sz w:val="20"/>
                  <w:u w:val="single"/>
                </w:rPr>
                <w:t>Other Information</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r>
      <w:tr>
        <w:trPr/>
        <w:tc>
          <w:tcPr>
            <w:tcW w:w="8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8844"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r>
      <w:tr>
        <w:trPr/>
        <w:tc>
          <w:tcPr>
            <w:tcW w:w="969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this Quarterly Report on Form 10-Q, unless otherwise stated or as the context otherwise requires, references to “Fulcrum,” “Fulcrum Therapeutics,” “the Company,” “we,” “us,” “our” and similar references refer to Fulcrum Therapeutics, Inc. together with its consolidated subsidiary. The Fulcrum Therapeutics logo and other trademarks or service marks of Fulcrum Therapeutics, Inc. appearing in this Quarterly Report on Form 10-Q are the property of Fulcrum Therapeutics, Inc. This Quarterly Report on Form 10-Q also contains registered marks, trademarks and trade names of other companies. All other trademarks, registered marks and trade names appearing herein are the property of their respective holders.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w:t>
      </w:r>
    </w:p>
    <w:p>
      <w:pPr>
        <w:pStyle w:val="TextBody"/>
        <w:bidi w:val="0"/>
        <w:spacing w:before="240" w:after="283"/>
        <w:jc w:val="center"/>
        <w:rPr>
          <w:rFonts w:ascii="Times New Roman" w:hAnsi="Times New Roman"/>
          <w:sz w:val="20"/>
        </w:rPr>
      </w:pPr>
      <w:r>
        <w:rPr>
          <w:rFonts w:ascii="Times New Roman" w:hAnsi="Times New Roman"/>
          <w:b/>
          <w:color w:val="000000"/>
          <w:sz w:val="20"/>
        </w:rPr>
        <w:t>Fulcrum Therapeutics,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4" w:name="consolidated_balance_sheets"/>
      <w:bookmarkEnd w:id="4"/>
      <w:r>
        <w:rPr>
          <w:rFonts w:ascii="Times New Roman" w:hAnsi="Times New Roman"/>
          <w:b/>
          <w:color w:val="000000"/>
          <w:sz w:val="20"/>
        </w:rPr>
        <w:t>Consolidated Balance Sheets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and per share amounts)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5"/>
        <w:gridCol w:w="146"/>
        <w:gridCol w:w="211"/>
        <w:gridCol w:w="841"/>
        <w:gridCol w:w="166"/>
        <w:gridCol w:w="146"/>
        <w:gridCol w:w="214"/>
        <w:gridCol w:w="854"/>
        <w:gridCol w:w="592"/>
      </w:tblGrid>
      <w:tr>
        <w:trPr/>
        <w:tc>
          <w:tcPr>
            <w:tcW w:w="7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197,533</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154,773</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322,851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357,480</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4,241</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1,201</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538</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366,284</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1,592</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9,052</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2,404</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13,048</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liability, excluding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4,039</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 excluding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17,284</w:t>
            </w:r>
          </w:p>
        </w:tc>
        <w:tc>
          <w:tcPr>
            <w:tcW w:w="5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no shares issued or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Common stock, $0.001 par value; 200,000,000 shares authorized; 76,285,157 and 66,578,891 shares issued and outstanding as of June 30, 2026 and December 31,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950,536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943,037</w:t>
            </w:r>
          </w:p>
        </w:tc>
        <w:tc>
          <w:tcPr>
            <w:tcW w:w="59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(loss) gain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59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(639,348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(594,278</w:t>
            </w:r>
          </w:p>
        </w:tc>
        <w:tc>
          <w:tcPr>
            <w:tcW w:w="5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310,697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349,000</w:t>
            </w:r>
          </w:p>
        </w:tc>
        <w:tc>
          <w:tcPr>
            <w:tcW w:w="5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323,952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366,284</w:t>
            </w:r>
          </w:p>
        </w:tc>
        <w:tc>
          <w:tcPr>
            <w:tcW w:w="5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Fulcrum Therapeutics,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5" w:name="consolidated_statements_operations_compr"/>
      <w:bookmarkEnd w:id="5"/>
      <w:r>
        <w:rPr>
          <w:rFonts w:ascii="Times New Roman" w:hAnsi="Times New Roman"/>
          <w:b/>
          <w:color w:val="000000"/>
          <w:sz w:val="20"/>
        </w:rPr>
        <w:t>Consolidated Statements of Operations and Comprehensive Loss</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per share data)</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24"/>
        <w:gridCol w:w="146"/>
        <w:gridCol w:w="211"/>
        <w:gridCol w:w="736"/>
        <w:gridCol w:w="166"/>
        <w:gridCol w:w="146"/>
        <w:gridCol w:w="211"/>
        <w:gridCol w:w="736"/>
        <w:gridCol w:w="166"/>
        <w:gridCol w:w="146"/>
        <w:gridCol w:w="211"/>
        <w:gridCol w:w="736"/>
        <w:gridCol w:w="166"/>
        <w:gridCol w:w="146"/>
        <w:gridCol w:w="211"/>
        <w:gridCol w:w="736"/>
        <w:gridCol w:w="511"/>
      </w:tblGrid>
      <w:tr>
        <w:trPr/>
        <w:tc>
          <w:tcPr>
            <w:tcW w:w="482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26,391</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13,827</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(40,218</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(34,951</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(0.56</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common shares outstanding,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76,264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76,240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62,506</w:t>
            </w:r>
          </w:p>
        </w:tc>
        <w:tc>
          <w:tcPr>
            <w:tcW w:w="5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(34,951</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other comprehensive (loss) gain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(26,233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(17,284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(34,999</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Fulcrum Therapeutics, Inc.</w:t>
      </w:r>
      <w:r>
        <w:rPr>
          <w:rFonts w:ascii="Times New Roman" w:hAnsi="Times New Roman"/>
          <w:color w:val="000000"/>
          <w:sz w:val="20"/>
        </w:rPr>
        <w:t xml:space="preserve"> </w:t>
      </w:r>
    </w:p>
    <w:p>
      <w:pPr>
        <w:pStyle w:val="TextBody"/>
        <w:bidi w:val="0"/>
        <w:spacing w:before="120" w:after="283"/>
        <w:jc w:val="center"/>
        <w:rPr>
          <w:rFonts w:ascii="Times New Roman" w:hAnsi="Times New Roman"/>
          <w:b/>
          <w:color w:val="000000"/>
          <w:sz w:val="20"/>
        </w:rPr>
      </w:pPr>
      <w:bookmarkStart w:id="6" w:name="consolidated_statements_convertible_pref"/>
      <w:bookmarkEnd w:id="6"/>
      <w:r>
        <w:rPr>
          <w:rFonts w:ascii="Times New Roman" w:hAnsi="Times New Roman"/>
          <w:b/>
          <w:color w:val="000000"/>
          <w:sz w:val="20"/>
        </w:rPr>
        <w:t>Consolidated Statements of Stockholders’ Equity</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 except share amounts)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spacing w:before="120" w:after="283"/>
        <w:jc w:val="center"/>
        <w:rPr/>
      </w:pPr>
      <w:r>
        <w:rPr/>
        <w:t> </w:t>
      </w:r>
    </w:p>
    <w:tbl>
      <w:tblPr>
        <w:tblW w:w="10205" w:type="dxa"/>
        <w:jc w:val="left"/>
        <w:tblInd w:w="0" w:type="dxa"/>
        <w:tblLayout w:type="fixed"/>
        <w:tblCellMar>
          <w:top w:w="28" w:type="dxa"/>
          <w:left w:w="28" w:type="dxa"/>
          <w:bottom w:w="28" w:type="dxa"/>
          <w:right w:w="28" w:type="dxa"/>
        </w:tblCellMar>
      </w:tblPr>
      <w:tblGrid>
        <w:gridCol w:w="1832"/>
        <w:gridCol w:w="146"/>
        <w:gridCol w:w="146"/>
        <w:gridCol w:w="916"/>
        <w:gridCol w:w="146"/>
        <w:gridCol w:w="146"/>
        <w:gridCol w:w="271"/>
        <w:gridCol w:w="480"/>
        <w:gridCol w:w="146"/>
        <w:gridCol w:w="146"/>
        <w:gridCol w:w="205"/>
        <w:gridCol w:w="726"/>
        <w:gridCol w:w="166"/>
        <w:gridCol w:w="146"/>
        <w:gridCol w:w="405"/>
        <w:gridCol w:w="901"/>
        <w:gridCol w:w="166"/>
        <w:gridCol w:w="146"/>
        <w:gridCol w:w="233"/>
        <w:gridCol w:w="893"/>
        <w:gridCol w:w="166"/>
        <w:gridCol w:w="146"/>
        <w:gridCol w:w="246"/>
        <w:gridCol w:w="872"/>
        <w:gridCol w:w="413"/>
      </w:tblGrid>
      <w:tr>
        <w:trPr/>
        <w:tc>
          <w:tcPr>
            <w:tcW w:w="18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8"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4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3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Gain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53,968,303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762,248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243,034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Vesting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3,167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(17,655</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53,979,306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765,415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(537,053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228,486</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under employee benefit plans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103,780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Vesting of restricted stock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8,502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2,875</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4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(17,296</w:t>
            </w:r>
          </w:p>
        </w:tc>
        <w:tc>
          <w:tcPr>
            <w:tcW w:w="4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54,091,588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768,591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(554,349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214,378</w:t>
            </w:r>
          </w:p>
        </w:tc>
        <w:tc>
          <w:tcPr>
            <w:tcW w:w="4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66,578,891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943,037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(594,278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349,000</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under employee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Vesting of restricted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3,860</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(687</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(18,891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(18,891</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66,608,096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946,918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(613,169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333,303</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under employee benefit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355</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pursuant to pre-funded warrant exercise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9,608,859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3,271</w:t>
            </w:r>
          </w:p>
        </w:tc>
        <w:tc>
          <w:tcPr>
            <w:tcW w:w="41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Unrealized loss on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41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18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(26,179</w:t>
            </w:r>
          </w:p>
        </w:tc>
        <w:tc>
          <w:tcPr>
            <w:tcW w:w="4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8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76,285,157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950,536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(639,348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310,697</w:t>
            </w:r>
          </w:p>
        </w:tc>
        <w:tc>
          <w:tcPr>
            <w:tcW w:w="4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Fulcrum Therapeutics, Inc.</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bookmarkStart w:id="7" w:name="consolidated_statements_cash_flows"/>
      <w:bookmarkEnd w:id="7"/>
      <w:r>
        <w:rPr>
          <w:rFonts w:ascii="Times New Roman" w:hAnsi="Times New Roman"/>
          <w:b/>
          <w:color w:val="000000"/>
          <w:sz w:val="20"/>
        </w:rPr>
        <w:t>Consolidated Statements of Cash Flows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(In thousands)</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32"/>
        <w:gridCol w:w="146"/>
        <w:gridCol w:w="211"/>
        <w:gridCol w:w="841"/>
        <w:gridCol w:w="166"/>
        <w:gridCol w:w="146"/>
        <w:gridCol w:w="211"/>
        <w:gridCol w:w="841"/>
        <w:gridCol w:w="611"/>
      </w:tblGrid>
      <w:tr>
        <w:trPr/>
        <w:tc>
          <w:tcPr>
            <w:tcW w:w="70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accretion of discounts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Unbilled 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1,544</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expenses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(179,553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(136,790</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Maturities of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150,011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received on pending sale of equipment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Purchases of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13,156</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Payments of offering costs associated with the issuance of common stock and pre-funded warrants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under benefit plans,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59,413</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43,793</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32"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Reclassification of equipment to assets held for sale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following table provides a reconciliation of the cash, cash equivalents, and restricted cash balances as of each of the periods shown above: </w:t>
      </w:r>
    </w:p>
    <w:p>
      <w:pPr>
        <w:pStyle w:val="TextBody"/>
        <w:bidi w:val="0"/>
        <w:jc w:val="left"/>
        <w:rPr/>
      </w:pPr>
      <w:r>
        <w:rPr/>
        <w:t> </w:t>
      </w:r>
    </w:p>
    <w:tbl>
      <w:tblPr>
        <w:tblW w:w="6394" w:type="dxa"/>
        <w:jc w:val="left"/>
        <w:tblInd w:w="0" w:type="dxa"/>
        <w:tblLayout w:type="fixed"/>
        <w:tblCellMar>
          <w:top w:w="28" w:type="dxa"/>
          <w:left w:w="28" w:type="dxa"/>
          <w:bottom w:w="28" w:type="dxa"/>
          <w:right w:w="28" w:type="dxa"/>
        </w:tblCellMar>
      </w:tblPr>
      <w:tblGrid>
        <w:gridCol w:w="3991"/>
        <w:gridCol w:w="146"/>
        <w:gridCol w:w="211"/>
        <w:gridCol w:w="676"/>
        <w:gridCol w:w="146"/>
        <w:gridCol w:w="146"/>
        <w:gridCol w:w="211"/>
        <w:gridCol w:w="676"/>
        <w:gridCol w:w="19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The accompanying notes are an integral part of these financial statements.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Fulcrum Therapeutics, Inc.</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bookmarkStart w:id="8" w:name="notes_to_consolidated_financial_statemen"/>
      <w:bookmarkEnd w:id="8"/>
      <w:r>
        <w:rPr>
          <w:rFonts w:ascii="Times New Roman" w:hAnsi="Times New Roman"/>
          <w:b/>
          <w:color w:val="000000"/>
          <w:sz w:val="20"/>
        </w:rPr>
        <w:t>Notes to Consolidated Financial Statements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1. Nature of the Business and 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Fulcrum Therapeutics, Inc. (the “Company”) was incorporated in Delaware on August 18, 2015. The Company has historically focused on developing small molecules to improve the lives of patients with genetically-defined rare diseases in areas of high unmet medical need.</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On June 1, 2026, the Company announced the discontinuation of its pociredir program for the treatment of sickle cell disease (“SCD”), following receipt of meeting minutes from recent end-of-phase interactions with the U.S. Food and Drug Administration (the “FDA”). The minutes reflected heightened FDA concerns regarding pociredir’s benefit-risk profile in SCD. FDA’s position left no viable regulatory path forward for further clinical development of pociredir. On May 31, 2026, the Company’s board of directors approved a restructuring plan to significantly reduce the Company’s operating expenses and preserve capital, reducing the Company’s workforce by approximately 85%, from 57 to nine full-time employees. In connection with the restructuring, the Company has ceased its research and development activities. The Company has also initiated a comprehensive review of strategic alternatives intended to maximize stockholder value, including, but not limited to, a merger, acquisition, business combination, sale or licensing of assets, or other strategic transaction involving the Company or its assets, and has engaged Leerink Partners LLC as its financial advisor. See Note 16, “Restructuring Activities.”</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Company is subject to a number of risks and uncertainties, including, but not limited to, the outcome of its review of strategic alternatives, its ability to preserve capital, dependence on key personnel following the workforce reduction, its ability to satisfy its remaining obligations, and the need to comply with government regulations and public-company reporting requirements.</w:t>
      </w:r>
    </w:p>
    <w:p>
      <w:pPr>
        <w:pStyle w:val="TextBody"/>
        <w:bidi w:val="0"/>
        <w:spacing w:before="200" w:after="283"/>
        <w:jc w:val="left"/>
        <w:rPr>
          <w:rFonts w:ascii="Times New Roman" w:hAnsi="Times New Roman"/>
          <w:sz w:val="20"/>
        </w:rPr>
      </w:pPr>
      <w:r>
        <w:rPr>
          <w:rFonts w:ascii="Times New Roman" w:hAnsi="Times New Roman"/>
          <w:b/>
          <w:i/>
          <w:color w:val="000000"/>
          <w:sz w:val="20"/>
        </w:rPr>
        <w:t>Basis of Presentation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Accounting Standards Updates (“ASU”) of the Financial Accounting Standards Board (“FASB”).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and footnotes to the financial statements have been prepared on the same basis as the most recently audited annual consolidated financial statements and, in the opinion of management, reflect all normal recurring adjustments necessary for the fair presentation of the Company’s financial position as of June 30, 2026 and the results of its operations and its cash flows for the three and six months ended June 30, 2026 and 2025. The results for the three and six months ended June 30, 2026 are not necessarily indicative of results to be expected for the year ending December 31, 2026, any other interim periods, or any future year or period. These consolidated financial statements should be read in conjunction with the Company’s audited consolidated financial statements and the notes thereto for the year ended December 31, 2025 included in the Company’s Annual Report on Form 10-K filed with the Securities and Exchange Commission (the “SEC”) on February 24, 2026 (the “Annual Report on Form 10-K”).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incurred recurring losses and negative cash flows from operations since inception and has primarily funded its operations with proceeds from the sale of shares of its capital stock and from upfront payments received from collaboration and license agreements. As of June 30, 2026, the Company had an accumulated deficit of $639.3 million. Following the discontinuation of the pociredir program and the restructuring, the Company expects its operating expenses and negative operating cash flows to decrease substantially in future periods, offset in the near term by cash outflows for restructuring, potential costs to exit its leased facility, and professional and advisory fees incurred in connection with its evaluation of strategic alternatives.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expects that its cash, cash equivalents, and marketable securities will be sufficient to fund its operating expenses and capital expenditure requirements for at least 12 months from the date of issuance of these financial statements. However, the Company has based this estimate on assumptions that may prove to be wrong, and its operating plan may change as a result of many factors currently unknown to 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Principles of Consolidation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accompanying consolidated financial statements include the accounts of the Company and its wholly owned subsidiary, Fulcrum Therapeutics Securities Corp., which is a Massachusetts subsidiary created to buy, sell, and hold securities. All intercompany transactions and balances have been eliminated. </w:t>
      </w:r>
    </w:p>
    <w:p>
      <w:pPr>
        <w:pStyle w:val="TextBody"/>
        <w:bidi w:val="0"/>
        <w:spacing w:before="360" w:after="283"/>
        <w:jc w:val="left"/>
        <w:rPr>
          <w:rFonts w:ascii="Times New Roman" w:hAnsi="Times New Roman"/>
          <w:sz w:val="20"/>
        </w:rPr>
      </w:pPr>
      <w:r>
        <w:rPr>
          <w:rFonts w:ascii="Times New Roman" w:hAnsi="Times New Roman"/>
          <w:b/>
          <w:i/>
          <w:color w:val="000000"/>
          <w:sz w:val="20"/>
        </w:rPr>
        <w:t>Summary of Significant Accounting Policies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significant accounting policies and estimates used in the preparation of the accompanying consolidated financial statements are described in the Company’s audited consolidated financial statements for the year ended December 31, 2025 included in the Company’s Annual Report on Form 10-K. There have been no material changes in the Company’s significant accounting policies during the six months ended June 30, 2026, other than as described below.</w:t>
      </w:r>
    </w:p>
    <w:p>
      <w:pPr>
        <w:pStyle w:val="TextBody"/>
        <w:bidi w:val="0"/>
        <w:spacing w:before="36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preparation of financial statements in accordance with GAAP requires management to make certain estimates and assumptions that affect the reported amounts of assets and liabilities and disclosure of contingent assets and liabilities as of the date of the financial statements, and the reported amount of expenses during the reported periods. Estimates inherent in the preparation of these consolidated financial statements include, but are not limited to, estimates related to accrued expenses, the fair value of long-lived assets (including the fair value of the operating lease right-of-use asset) in connection with impairment assessments, restructuring accruals, stock-based compensation expense, and income taxes. The Company bases its estimates on historical experience and other market specific or other relevant assumptions it believes to be reasonable under the circumstances. On an ongoing basis, management evaluates its estimates as there are changes in circumstances, facts and experience. Actual results could differ from those estimates or assumptions. </w:t>
      </w:r>
    </w:p>
    <w:p>
      <w:pPr>
        <w:pStyle w:val="TextBody"/>
        <w:bidi w:val="0"/>
        <w:spacing w:before="360" w:after="100"/>
        <w:jc w:val="left"/>
        <w:rPr>
          <w:rFonts w:ascii="Times New Roman" w:hAnsi="Times New Roman"/>
          <w:b/>
          <w:i/>
          <w:color w:val="000000"/>
          <w:sz w:val="20"/>
        </w:rPr>
      </w:pPr>
      <w:r>
        <w:rPr>
          <w:rFonts w:ascii="Times New Roman" w:hAnsi="Times New Roman"/>
          <w:b/>
          <w:i/>
          <w:color w:val="000000"/>
          <w:sz w:val="20"/>
        </w:rPr>
        <w:t>Long-Lived Assets and Impairment</w:t>
      </w:r>
    </w:p>
    <w:p>
      <w:pPr>
        <w:pStyle w:val="TextBody"/>
        <w:bidi w:val="0"/>
        <w:spacing w:before="140" w:after="160"/>
        <w:jc w:val="left"/>
        <w:rPr>
          <w:rFonts w:ascii="Times New Roman" w:hAnsi="Times New Roman"/>
          <w:color w:val="000000"/>
          <w:sz w:val="20"/>
        </w:rPr>
      </w:pPr>
      <w:r>
        <w:rPr>
          <w:rFonts w:ascii="Times New Roman" w:hAnsi="Times New Roman"/>
          <w:color w:val="000000"/>
          <w:sz w:val="20"/>
        </w:rPr>
        <w:t>Long-lived assets consist of property and equipment and operating lease right-of-use assets. The Company reviews long-lived assets for impairment whenever events or changes in circumstances indicate that the carrying amount of an asset (or asset group) may not be recoverable. The Company groups long-lived assets with other assets and liabilities at the lowest level for which identifiable cash flows are largely independent of the cash flows of other assets and liabilities. Recoverability is measured by comparing the carrying amount of an asset group to the estimated undiscounted future cash flows expected to result from its use and eventual disposition. If the carrying amount is not recoverable, an impairment loss is recognized equal to the amount by which the carrying amount exceeds fair value, with fair value estimated using the income, market or cost approach as appropriate. During the three months ended June 30, 2026, the cessation of research and development activities and the decision to dispose of assets used in those activities were identified as indicators of impairment. See Note 3, “Fair Value Measurements,” and Note 5, “Property and Equipment, Net.”</w:t>
      </w:r>
    </w:p>
    <w:p>
      <w:pPr>
        <w:pStyle w:val="TextBody"/>
        <w:bidi w:val="0"/>
        <w:spacing w:before="200" w:after="100"/>
        <w:jc w:val="left"/>
        <w:rPr>
          <w:rFonts w:ascii="Times New Roman" w:hAnsi="Times New Roman"/>
          <w:b/>
          <w:i/>
          <w:color w:val="000000"/>
          <w:sz w:val="20"/>
        </w:rPr>
      </w:pPr>
      <w:r>
        <w:rPr>
          <w:rFonts w:ascii="Times New Roman" w:hAnsi="Times New Roman"/>
          <w:b/>
          <w:i/>
          <w:color w:val="000000"/>
          <w:sz w:val="20"/>
        </w:rPr>
        <w:t>Assets Held for Sale</w:t>
      </w:r>
    </w:p>
    <w:p>
      <w:pPr>
        <w:pStyle w:val="TextBody"/>
        <w:bidi w:val="0"/>
        <w:spacing w:before="140" w:after="160"/>
        <w:jc w:val="left"/>
        <w:rPr>
          <w:rFonts w:ascii="Times New Roman" w:hAnsi="Times New Roman"/>
          <w:color w:val="000000"/>
          <w:sz w:val="20"/>
        </w:rPr>
      </w:pPr>
      <w:r>
        <w:rPr>
          <w:rFonts w:ascii="Times New Roman" w:hAnsi="Times New Roman"/>
          <w:color w:val="000000"/>
          <w:sz w:val="20"/>
        </w:rPr>
        <w:t>The Company classifies long-lived assets as held for sale when the applicable criteria in ASC 360-10-45 are met, including that the sale is probable and expected to be completed within one year. Assets held for sale are measured at the lower of carrying amount or fair value less costs to sell and are no longer depreciated. Amounts received from a buyer prior to the transfer of control are recorded as a deposit (contract liability) until the criteria for recognizing the sale are met.</w:t>
      </w:r>
    </w:p>
    <w:p>
      <w:pPr>
        <w:pStyle w:val="TextBody"/>
        <w:bidi w:val="0"/>
        <w:spacing w:before="200" w:after="283"/>
        <w:jc w:val="left"/>
        <w:rPr>
          <w:rFonts w:ascii="Times New Roman" w:hAnsi="Times New Roman"/>
          <w:sz w:val="20"/>
        </w:rPr>
      </w:pPr>
      <w:r>
        <w:rPr>
          <w:rFonts w:ascii="Times New Roman" w:hAnsi="Times New Roman"/>
          <w:b/>
          <w:i/>
          <w:color w:val="000000"/>
          <w:sz w:val="20"/>
        </w:rPr>
        <w:t>Off-Balance Sheet Risk and Concentrations of Credit Risk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no significant off-balance sheet risk such as foreign exchange contracts, option contracts, or other foreign hedging arrangements. Financial instruments that potentially expose the Company to concentrations of credit risk consist primarily of cash, cash equivalents, marketable securities, and restricted cash. The Company’s cash, cash equivalents, and restricted cash are deposited in accounts at large financial institutions. The Company believes it is not exposed to significant credit risk due to the financial strength of the depository institutions in which the cash, cash equivalents and restricted cash are held. The Company maintains its cash equivalents in U.S. Treasury securities and money market funds that invest in U.S. Treasury securities. The Company’s marketable securities consist of U.S. Treasury securities and corporate bonds, and potentially subject the Company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concentrations of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In November 2024, the FASB issued ASU No. 2024-03, </w:t>
      </w:r>
      <w:r>
        <w:rPr>
          <w:rFonts w:ascii="Times New Roman" w:hAnsi="Times New Roman"/>
          <w:i/>
          <w:color w:val="000000"/>
          <w:sz w:val="20"/>
        </w:rPr>
        <w:t>Income Statement—Reporting Comprehensive Income—Expense Disaggregation Disclosures</w:t>
      </w:r>
      <w:r>
        <w:rPr>
          <w:rFonts w:ascii="Times New Roman" w:hAnsi="Times New Roman"/>
          <w:color w:val="000000"/>
          <w:sz w:val="20"/>
        </w:rPr>
        <w:t>, which requires disclosure of additional information about specific expense categories in the notes to the financial statements on an interim and annual basis. The standard is effective for fiscal years beginning after December 15, 2026, and for interim periods beginning after December 15, 2027, with early adoption permitted. The Company is currently evaluating the disclosure requirements related to this new standard.</w:t>
      </w:r>
    </w:p>
    <w:p>
      <w:pPr>
        <w:pStyle w:val="TextBody"/>
        <w:bidi w:val="0"/>
        <w:spacing w:before="360" w:after="283"/>
        <w:jc w:val="left"/>
        <w:rPr>
          <w:rFonts w:ascii="Times New Roman" w:hAnsi="Times New Roman"/>
          <w:sz w:val="20"/>
        </w:rPr>
      </w:pPr>
      <w:r>
        <w:rPr>
          <w:rFonts w:ascii="Times New Roman" w:hAnsi="Times New Roman"/>
          <w:b/>
          <w:color w:val="000000"/>
          <w:sz w:val="20"/>
        </w:rPr>
        <w:t>3. Fair Value Measurements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tables present information about the Company’s financial assets measured at fair value on a recurring basis and indicate the fair value hierarchy classification of such fair values as of June 30, 2026 and December 31, 2025 (in thousands): </w:t>
      </w:r>
    </w:p>
    <w:p>
      <w:pPr>
        <w:pStyle w:val="TextBody"/>
        <w:bidi w:val="0"/>
        <w:jc w:val="left"/>
        <w:rPr/>
      </w:pPr>
      <w:r>
        <w:rPr/>
        <w:t> </w:t>
      </w:r>
    </w:p>
    <w:tbl>
      <w:tblPr>
        <w:tblW w:w="7525" w:type="dxa"/>
        <w:jc w:val="left"/>
        <w:tblInd w:w="0" w:type="dxa"/>
        <w:tblLayout w:type="fixed"/>
        <w:tblCellMar>
          <w:top w:w="28" w:type="dxa"/>
          <w:left w:w="28" w:type="dxa"/>
          <w:bottom w:w="28" w:type="dxa"/>
          <w:right w:w="28" w:type="dxa"/>
        </w:tblCellMar>
      </w:tblPr>
      <w:tblGrid>
        <w:gridCol w:w="2211"/>
        <w:gridCol w:w="346"/>
        <w:gridCol w:w="211"/>
        <w:gridCol w:w="781"/>
        <w:gridCol w:w="146"/>
        <w:gridCol w:w="146"/>
        <w:gridCol w:w="211"/>
        <w:gridCol w:w="676"/>
        <w:gridCol w:w="146"/>
        <w:gridCol w:w="146"/>
        <w:gridCol w:w="211"/>
        <w:gridCol w:w="781"/>
        <w:gridCol w:w="146"/>
        <w:gridCol w:w="146"/>
        <w:gridCol w:w="239"/>
        <w:gridCol w:w="391"/>
        <w:gridCol w:w="591"/>
      </w:tblGrid>
      <w:tr>
        <w:trPr/>
        <w:tc>
          <w:tcPr>
            <w:tcW w:w="2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2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2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318,840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270,374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7985" w:type="dxa"/>
        <w:jc w:val="left"/>
        <w:tblInd w:w="0" w:type="dxa"/>
        <w:tblLayout w:type="fixed"/>
        <w:tblCellMar>
          <w:top w:w="28" w:type="dxa"/>
          <w:left w:w="28" w:type="dxa"/>
          <w:bottom w:w="28" w:type="dxa"/>
          <w:right w:w="28" w:type="dxa"/>
        </w:tblCellMar>
      </w:tblPr>
      <w:tblGrid>
        <w:gridCol w:w="2766"/>
        <w:gridCol w:w="146"/>
        <w:gridCol w:w="211"/>
        <w:gridCol w:w="781"/>
        <w:gridCol w:w="146"/>
        <w:gridCol w:w="146"/>
        <w:gridCol w:w="211"/>
        <w:gridCol w:w="781"/>
        <w:gridCol w:w="146"/>
        <w:gridCol w:w="146"/>
        <w:gridCol w:w="211"/>
        <w:gridCol w:w="781"/>
        <w:gridCol w:w="146"/>
        <w:gridCol w:w="146"/>
        <w:gridCol w:w="239"/>
        <w:gridCol w:w="391"/>
        <w:gridCol w:w="591"/>
      </w:tblGrid>
      <w:tr>
        <w:trPr/>
        <w:tc>
          <w:tcPr>
            <w:tcW w:w="2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8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agency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151,272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6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352,306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197,533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154,773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transfers between fair value levels during the three and six months ended June 30, 2026. </w:t>
      </w:r>
    </w:p>
    <w:p>
      <w:pPr>
        <w:pStyle w:val="TextBody"/>
        <w:bidi w:val="0"/>
        <w:spacing w:before="160" w:after="100"/>
        <w:jc w:val="left"/>
        <w:rPr>
          <w:rFonts w:ascii="Times New Roman" w:hAnsi="Times New Roman"/>
          <w:b/>
          <w:i/>
          <w:color w:val="000000"/>
          <w:sz w:val="20"/>
        </w:rPr>
      </w:pPr>
      <w:r>
        <w:rPr>
          <w:rFonts w:ascii="Times New Roman" w:hAnsi="Times New Roman"/>
          <w:b/>
          <w:i/>
          <w:color w:val="000000"/>
          <w:sz w:val="20"/>
        </w:rPr>
        <w:t>Assets Measured at Fair Value on a Nonrecurring Basis</w:t>
      </w:r>
    </w:p>
    <w:p>
      <w:pPr>
        <w:pStyle w:val="TextBody"/>
        <w:bidi w:val="0"/>
        <w:spacing w:before="140" w:after="160"/>
        <w:jc w:val="left"/>
        <w:rPr>
          <w:rFonts w:ascii="Times New Roman" w:hAnsi="Times New Roman"/>
          <w:color w:val="000000"/>
          <w:sz w:val="20"/>
        </w:rPr>
      </w:pPr>
      <w:r>
        <w:rPr>
          <w:rFonts w:ascii="Times New Roman" w:hAnsi="Times New Roman"/>
          <w:color w:val="000000"/>
          <w:sz w:val="20"/>
        </w:rPr>
        <w:t>During the three months ended June 30, 2026, the Company measured certain long-lived assets at fair value on a nonrecurring basis in connection with impairment charges recorded as a result of the discontinuation of the pociredir program and the related restructuring. The Company’s operating lease right-of-use asset was written down to its estimated fair value of zero, determined using an income approach based on the present value of estimated net sublease cash flows over the remaining lease term (a Level 3 measurement using significant unobservable inputs, including estimated sublease rates, expected downtime, free rent and other concessions, and a discount rate). The related leasehold improvements were written down to an estimated fair value of zero. Laboratory equipment classified as held for sale was measured at fair value less costs to sell, based on the $0.9 million contracted sale price under an executed asset purchase agreement (a Level 2 measurement based on the observable transaction price). See Note 5, “Property and Equipment, Net,” and Note 16, “Restructuring Activities.”</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4. Cash Equivalents and Marketable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Cash equivalents and marketable securities consisted of the following as of June 30, 2026 and December 31, 2025 (in thousands): </w:t>
      </w:r>
    </w:p>
    <w:p>
      <w:pPr>
        <w:pStyle w:val="TextBody"/>
        <w:bidi w:val="0"/>
        <w:jc w:val="left"/>
        <w:rPr/>
      </w:pPr>
      <w:r>
        <w:rPr/>
        <w:t> </w:t>
      </w:r>
    </w:p>
    <w:tbl>
      <w:tblPr>
        <w:tblW w:w="9840" w:type="dxa"/>
        <w:jc w:val="left"/>
        <w:tblInd w:w="0" w:type="dxa"/>
        <w:tblLayout w:type="fixed"/>
        <w:tblCellMar>
          <w:top w:w="28" w:type="dxa"/>
          <w:left w:w="28" w:type="dxa"/>
          <w:bottom w:w="28" w:type="dxa"/>
          <w:right w:w="28" w:type="dxa"/>
        </w:tblCellMar>
      </w:tblPr>
      <w:tblGrid>
        <w:gridCol w:w="4451"/>
        <w:gridCol w:w="146"/>
        <w:gridCol w:w="211"/>
        <w:gridCol w:w="781"/>
        <w:gridCol w:w="146"/>
        <w:gridCol w:w="146"/>
        <w:gridCol w:w="335"/>
        <w:gridCol w:w="551"/>
        <w:gridCol w:w="146"/>
        <w:gridCol w:w="146"/>
        <w:gridCol w:w="270"/>
        <w:gridCol w:w="616"/>
        <w:gridCol w:w="166"/>
        <w:gridCol w:w="146"/>
        <w:gridCol w:w="211"/>
        <w:gridCol w:w="781"/>
        <w:gridCol w:w="591"/>
      </w:tblGrid>
      <w:tr>
        <w:trPr/>
        <w:tc>
          <w:tcPr>
            <w:tcW w:w="4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June 30, 2026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48,466</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48,466</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39,646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230,728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270,941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270,374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319,407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318,840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9840" w:type="dxa"/>
        <w:jc w:val="left"/>
        <w:tblInd w:w="0" w:type="dxa"/>
        <w:tblLayout w:type="fixed"/>
        <w:tblCellMar>
          <w:top w:w="28" w:type="dxa"/>
          <w:left w:w="28" w:type="dxa"/>
          <w:bottom w:w="28" w:type="dxa"/>
          <w:right w:w="28" w:type="dxa"/>
        </w:tblCellMar>
      </w:tblPr>
      <w:tblGrid>
        <w:gridCol w:w="4451"/>
        <w:gridCol w:w="146"/>
        <w:gridCol w:w="211"/>
        <w:gridCol w:w="781"/>
        <w:gridCol w:w="146"/>
        <w:gridCol w:w="146"/>
        <w:gridCol w:w="295"/>
        <w:gridCol w:w="591"/>
        <w:gridCol w:w="146"/>
        <w:gridCol w:w="146"/>
        <w:gridCol w:w="318"/>
        <w:gridCol w:w="568"/>
        <w:gridCol w:w="166"/>
        <w:gridCol w:w="146"/>
        <w:gridCol w:w="211"/>
        <w:gridCol w:w="781"/>
        <w:gridCol w:w="591"/>
      </w:tblGrid>
      <w:tr>
        <w:trPr/>
        <w:tc>
          <w:tcPr>
            <w:tcW w:w="4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 Measurements at</w:t>
              <w:br/>
              <w:t>December 31, 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197,533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197,533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bonds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151,100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151,272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154,599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154,773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4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352,132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352,306</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There were no sales of marketable securities during the three and six months ended June 30, 2026. As of June 30, 2026, the Company held 36 debt securities that were in an unrealized loss position for less than 12 months with an aggregate fair value of $208.8 million. As of June 30, 2026, the Company held 3 debt securities that were in an unrealized loss position for greater than 12 months with a fair value of $12.0 million. As of June 30, 2026, the aggregate fair value of marketable securities with a remaining contractual maturity of greater than one year was $14.9 million. </w:t>
      </w:r>
    </w:p>
    <w:p>
      <w:pPr>
        <w:pStyle w:val="TextBody"/>
        <w:bidi w:val="0"/>
        <w:spacing w:before="240" w:after="283"/>
        <w:jc w:val="left"/>
        <w:rPr>
          <w:rFonts w:ascii="Times New Roman" w:hAnsi="Times New Roman"/>
          <w:sz w:val="20"/>
        </w:rPr>
      </w:pPr>
      <w:r>
        <w:rPr>
          <w:rFonts w:ascii="Times New Roman" w:hAnsi="Times New Roman"/>
          <w:color w:val="000000"/>
          <w:sz w:val="20"/>
        </w:rPr>
        <w:t>The Company has the intent and ability to hold its debt securities until recovery. The Company did not record any charges for credit-related impairments for its marketable securities for the three and six months ended June 30, 2026</w:t>
      </w:r>
      <w:r>
        <w:rPr>
          <w:rFonts w:ascii="Times New Roman" w:hAnsi="Times New Roman"/>
          <w:color w:val="212529"/>
          <w:sz w:val="20"/>
        </w:rPr>
        <w:t>.</w:t>
      </w:r>
    </w:p>
    <w:p>
      <w:pPr>
        <w:pStyle w:val="TextBody"/>
        <w:bidi w:val="0"/>
        <w:spacing w:before="360" w:after="283"/>
        <w:jc w:val="left"/>
        <w:rPr>
          <w:rFonts w:ascii="Times New Roman" w:hAnsi="Times New Roman"/>
          <w:sz w:val="20"/>
        </w:rPr>
      </w:pPr>
      <w:r>
        <w:rPr>
          <w:rFonts w:ascii="Times New Roman" w:hAnsi="Times New Roman"/>
          <w:b/>
          <w:color w:val="000000"/>
          <w:sz w:val="20"/>
        </w:rPr>
        <w:t>5. Property and Equipment,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Property and equipment, net consisted of the following (in thousands): </w:t>
      </w:r>
    </w:p>
    <w:p>
      <w:pPr>
        <w:pStyle w:val="TextBody"/>
        <w:bidi w:val="0"/>
        <w:jc w:val="left"/>
        <w:rPr/>
      </w:pPr>
      <w:r>
        <w:rPr/>
        <w:t> </w:t>
      </w:r>
    </w:p>
    <w:tbl>
      <w:tblPr>
        <w:tblW w:w="5292" w:type="dxa"/>
        <w:jc w:val="left"/>
        <w:tblInd w:w="0" w:type="dxa"/>
        <w:tblLayout w:type="fixed"/>
        <w:tblCellMar>
          <w:top w:w="28" w:type="dxa"/>
          <w:left w:w="28" w:type="dxa"/>
          <w:bottom w:w="28" w:type="dxa"/>
          <w:right w:w="28" w:type="dxa"/>
        </w:tblCellMar>
      </w:tblPr>
      <w:tblGrid>
        <w:gridCol w:w="2686"/>
        <w:gridCol w:w="146"/>
        <w:gridCol w:w="211"/>
        <w:gridCol w:w="631"/>
        <w:gridCol w:w="166"/>
        <w:gridCol w:w="146"/>
        <w:gridCol w:w="244"/>
        <w:gridCol w:w="851"/>
        <w:gridCol w:w="211"/>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Software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Depreciation expense for the three months ended June 30, 2026 and 2025 was $0.2 million and $0.3 million, respectively. Depreciation expense for the six months ended June 30, 2026 and 2025 was $0.6 million and $0.7 million, respectively.</w:t>
      </w:r>
    </w:p>
    <w:p>
      <w:pPr>
        <w:pStyle w:val="TextBody"/>
        <w:bidi w:val="0"/>
        <w:jc w:val="left"/>
        <w:rPr/>
      </w:pPr>
      <w:r>
        <w:rPr/>
        <w:t>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In connection with the discontinuation of the pociredir program and the related restructuring, during the three months ended June 30, 2026 the Company ceased use of its laboratory and recognized impairment and disposal charges related to its long-lived assets. The Company recorded an impairment charge of $1.3 million to write off its leasehold improvements in full. In June 2026, the Company entered into an asset purchase agreement to sell substantially all of its laboratory equipment for a purchase price of $0.9 million, of which $0.5 million was received as a deposit as of June 30, 2026. The laboratory equipment was reclassified to assets held for sale (included in prepaid expenses and other current assets) at its fair value less costs to sell, resulting in an additional impairment charge of $0.1 million, and the related deposit is recorded within accrued expenses and other current liabilities. The impairment charges are included in impairment of long-lived assets in the consolidated statements of operations. See Note 3, “Fair Value Measurements.”</w:t>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6. Additional Balance Sheet Detail</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Prepaid expenses and other current assets consisted of the following (in thousands): </w:t>
      </w:r>
    </w:p>
    <w:p>
      <w:pPr>
        <w:pStyle w:val="TextBody"/>
        <w:bidi w:val="0"/>
        <w:jc w:val="left"/>
        <w:rPr/>
      </w:pPr>
      <w:r>
        <w:rPr/>
        <w:t> </w:t>
      </w:r>
    </w:p>
    <w:tbl>
      <w:tblPr>
        <w:tblW w:w="6992" w:type="dxa"/>
        <w:jc w:val="left"/>
        <w:tblInd w:w="0" w:type="dxa"/>
        <w:tblLayout w:type="fixed"/>
        <w:tblCellMar>
          <w:top w:w="28" w:type="dxa"/>
          <w:left w:w="28" w:type="dxa"/>
          <w:bottom w:w="28" w:type="dxa"/>
          <w:right w:w="28" w:type="dxa"/>
        </w:tblCellMar>
      </w:tblPr>
      <w:tblGrid>
        <w:gridCol w:w="4486"/>
        <w:gridCol w:w="146"/>
        <w:gridCol w:w="211"/>
        <w:gridCol w:w="571"/>
        <w:gridCol w:w="146"/>
        <w:gridCol w:w="146"/>
        <w:gridCol w:w="294"/>
        <w:gridCol w:w="801"/>
        <w:gridCol w:w="19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income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sign-on bonuses subject to vesting provisions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Accrued expenses and other current liabilities consisted of the following (in thousands): </w:t>
      </w:r>
    </w:p>
    <w:p>
      <w:pPr>
        <w:pStyle w:val="TextBody"/>
        <w:bidi w:val="0"/>
        <w:jc w:val="left"/>
        <w:rPr/>
      </w:pPr>
      <w:r>
        <w:rPr/>
        <w:t> </w:t>
      </w:r>
    </w:p>
    <w:tbl>
      <w:tblPr>
        <w:tblW w:w="6767" w:type="dxa"/>
        <w:jc w:val="left"/>
        <w:tblInd w:w="0" w:type="dxa"/>
        <w:tblLayout w:type="fixed"/>
        <w:tblCellMar>
          <w:top w:w="28" w:type="dxa"/>
          <w:left w:w="28" w:type="dxa"/>
          <w:bottom w:w="28" w:type="dxa"/>
          <w:right w:w="28" w:type="dxa"/>
        </w:tblCellMar>
      </w:tblPr>
      <w:tblGrid>
        <w:gridCol w:w="4261"/>
        <w:gridCol w:w="146"/>
        <w:gridCol w:w="211"/>
        <w:gridCol w:w="571"/>
        <w:gridCol w:w="146"/>
        <w:gridCol w:w="146"/>
        <w:gridCol w:w="294"/>
        <w:gridCol w:w="801"/>
        <w:gridCol w:w="1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 for pending sale of equipment held for sale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 Preferred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5,000,000 shares of undesignated preferred stock were authorized. No shares of preferred stock were issued or outstanding as of June 30, 2026 and December 31, 2025.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 dividends have been declared since inception.</w:t>
      </w:r>
    </w:p>
    <w:p>
      <w:pPr>
        <w:pStyle w:val="TextBody"/>
        <w:bidi w:val="0"/>
        <w:spacing w:before="360" w:after="283"/>
        <w:jc w:val="left"/>
        <w:rPr>
          <w:rFonts w:ascii="Times New Roman" w:hAnsi="Times New Roman"/>
          <w:sz w:val="20"/>
        </w:rPr>
      </w:pPr>
      <w:r>
        <w:rPr>
          <w:rFonts w:ascii="Times New Roman" w:hAnsi="Times New Roman"/>
          <w:b/>
          <w:color w:val="000000"/>
          <w:sz w:val="20"/>
        </w:rPr>
        <w:t>8. Common Stock</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As of June 30, 2026 and December 31, 2025, 200,000,000 shares of common stock, $0.001 par value per share, were authorized.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Each share of common stock entitles the holder to one vote on all matters submitted to a vote of the Company’s stockholders. Common stockholders are not entitled to receive dividends, unless declared by the Company’s board of directors, subject to the preferential dividend rights of any preferred stock then outstanding. No dividends have been declared or paid by the Company since its inception.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and December 31, 2025, the Company has reserved for future issuance the following number of shares of common stock: </w:t>
      </w:r>
    </w:p>
    <w:p>
      <w:pPr>
        <w:pStyle w:val="TextBody"/>
        <w:bidi w:val="0"/>
        <w:jc w:val="left"/>
        <w:rPr/>
      </w:pPr>
      <w:r>
        <w:rPr/>
        <w:t> </w:t>
      </w:r>
    </w:p>
    <w:tbl>
      <w:tblPr>
        <w:tblW w:w="9894" w:type="dxa"/>
        <w:jc w:val="left"/>
        <w:tblInd w:w="0" w:type="dxa"/>
        <w:tblLayout w:type="fixed"/>
        <w:tblCellMar>
          <w:top w:w="28" w:type="dxa"/>
          <w:left w:w="28" w:type="dxa"/>
          <w:bottom w:w="28" w:type="dxa"/>
          <w:right w:w="28" w:type="dxa"/>
        </w:tblCellMar>
      </w:tblPr>
      <w:tblGrid>
        <w:gridCol w:w="6901"/>
        <w:gridCol w:w="146"/>
        <w:gridCol w:w="146"/>
        <w:gridCol w:w="1036"/>
        <w:gridCol w:w="146"/>
        <w:gridCol w:w="146"/>
        <w:gridCol w:w="146"/>
        <w:gridCol w:w="1036"/>
        <w:gridCol w:w="191"/>
      </w:tblGrid>
      <w:tr>
        <w:trPr/>
        <w:tc>
          <w:tcPr>
            <w:tcW w:w="6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exercises of 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11,633,080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11,645,843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vesting of 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69,486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issuance under the 2019 Stock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6,195,194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4,779,386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issuance under the 2019 Employee Stock Purchase Plan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2,441,771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2,031,072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issuance under the 2022 Inducement Stock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1,877,867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1,308,484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Shares reserved for future issuance for pre-funded warrants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9,611,193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0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22,165,435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29,445,464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Pre-Funded Warrants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August 2024, the Company entered into separate exchange agreements with RA Capital Healthcare Fund, L.P. (“RA Capital”) and another existing institutional stockholder, pursuant to which (i) RA Capital exchanged 8,500,000 shares of the Company's common stock for a pre-funded warrant to acquire 8,500,000 shares of the Company's common stock and (ii) the other existing institutional stockholder exchanged an aggregate of 850,000 shares of the Company's common stock, for pre-funded warrants to acquire an aggregate of 850,000 shares of the Company's common stock. The aggregate 9,350,000 shares of common stock subject to the exchange agreements were retired on the date of the exchanges. In December 2025, the Company issued and sold 1,111,193 pre-funded warrants to purchase shares of common stock, at a price to the public of $13.499 per pre-funded warrant. During the three months ended June 30, 2026, all outstanding pre-funded warrants were exercised. As of June 30, 2026, no pre-funded warrants remained outstanding. </w:t>
      </w:r>
    </w:p>
    <w:p>
      <w:pPr>
        <w:pStyle w:val="TextBody"/>
        <w:bidi w:val="0"/>
        <w:spacing w:before="360" w:after="283"/>
        <w:jc w:val="left"/>
        <w:rPr>
          <w:rFonts w:ascii="Times New Roman" w:hAnsi="Times New Roman"/>
          <w:sz w:val="20"/>
        </w:rPr>
      </w:pPr>
      <w:r>
        <w:rPr>
          <w:rFonts w:ascii="Times New Roman" w:hAnsi="Times New Roman"/>
          <w:b/>
          <w:color w:val="000000"/>
          <w:sz w:val="20"/>
        </w:rPr>
        <w:t>9. Stock-based Compensation Expense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2016 Stock Incentive Plan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2016, the Company adopted the 2016 Stock Incentive Plan (the “2016 Plan”), which provided for the grant of restricted stock awards, restricted stock units, incentive stock options, non-statutory stock options, and other stock-based awards to the Company’s eligible employees, officers, directors, consultants, and advisors. As of the effective date of the 2019 Stock Incentive Plan (the “2019 Plan”), and as of June 30, 2026, no shares remained available for future issuance under the 2016 Plan. Any options or other awards outstanding under the 2016 Plan remain outstanding and effective.</w:t>
      </w:r>
    </w:p>
    <w:p>
      <w:pPr>
        <w:pStyle w:val="TextBody"/>
        <w:bidi w:val="0"/>
        <w:spacing w:before="360" w:after="283"/>
        <w:jc w:val="left"/>
        <w:rPr>
          <w:rFonts w:ascii="Times New Roman" w:hAnsi="Times New Roman"/>
          <w:sz w:val="20"/>
        </w:rPr>
      </w:pPr>
      <w:r>
        <w:rPr>
          <w:rFonts w:ascii="Times New Roman" w:hAnsi="Times New Roman"/>
          <w:b/>
          <w:i/>
          <w:color w:val="000000"/>
          <w:sz w:val="20"/>
        </w:rPr>
        <w:t>2019 Stock Incentive Plan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July 2, 2019, the Company’s stockholders approved the 2019 Plan, which became effective on July 17, 2019. The 2019 Plan provides for the grant of incentive stock options, non-statutory stock options, stock appreciation rights, restricted stock awards, restricted stock units and other stock-based awards to the Company’s officers, employees, directors, consultants and advisors. The number of shares initially reserved for issuance under the 2019 Plan was 2,017,142 shares, plus the shares of common stock remaining available for issuance under the 2016 Plan as of July 17, 2019. The number of shares reserved was increased on January 1, 2020 and will be increased each January 1 thereafter through January 1, 2029 by the least of (i) 2,000,000 shares, (ii) 4% of the number of shares of the Company’s common stock outstanding on the first day of each such year or (iii) an amount determined by the Company’s board of directors. On January 1, 2026, the number of shares reserved for issuance under the 2019 Plan was increased by 2,000,000 shares. As of June 30, 2026, there were 6,195,194 shares available for future issuance under the 2019 Plan.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shares of common stock underlying any awards that expire, terminate, or are otherwise surrendered, cancelled, forfeited or repurchased by the Company under the 2016 Plan or the 2019 Plan will be added back to the shares of common stock available for issuance under the 2019 Plan. As of July 17, 2019, no further awards will be made under the 2016 Plan.</w:t>
      </w:r>
    </w:p>
    <w:p>
      <w:pPr>
        <w:pStyle w:val="TextBody"/>
        <w:bidi w:val="0"/>
        <w:spacing w:before="360" w:after="283"/>
        <w:jc w:val="left"/>
        <w:rPr>
          <w:rFonts w:ascii="Times New Roman" w:hAnsi="Times New Roman"/>
          <w:sz w:val="20"/>
        </w:rPr>
      </w:pPr>
      <w:r>
        <w:rPr>
          <w:rFonts w:ascii="Times New Roman" w:hAnsi="Times New Roman"/>
          <w:b/>
          <w:i/>
          <w:color w:val="000000"/>
          <w:sz w:val="20"/>
        </w:rPr>
        <w:t>2022 Inducement Stock Incentive Plan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2022, the Company’s board of directors adopted the 2022 Inducement Stock Incentive Plan (the “Inducement Plan”), pursuant to which the Company may grant, subject to the terms of the Inducement Plan and Nasdaq rules, nonstatutory stock options, stock appreciation rights, restricted stock awards, restricted stock units, and other stock-based awards. The Company initially reserved a total of 1,750,000 shares of common stock for the issuance of awards under the Inducement Plan. The number of shares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reserved and available for issuance under the Inducement Plan can be increased at any time with the approval of the Company’s board of directors. The Inducement Plan permits the board of directors, a delegated committee of the board of directors, or a delegated officer of the Company to grant the stock-based awards available under the Inducement Plan to attract key employees for the growth of the Company. Effective March 8, 2023, the Company’s board of directors amended the Inducement Plan to increase the number of shares reserved for issuance by 2,000,000 shares. Effective May 18, 2023, the Company’s board of directors amended the Inducement Plan to increase the number of shares reserved for issuance by 1,400,000 shares. Effective June 17, 2024, the Company’s board of directors amended the Inducement Plan to increase the number of shares reserved for issuance by 1,000,000 shares. As of June 30, 2026, there were 1,877,867 shares available for future issuance under the Inducement Plan.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Stock options granted by the Company typically vest over a four-year period and have a ten year contractual term. Shares issued upon the exercise of stock options are issued from the Company’s pool of authorized but unissued common stock. In addition to stock options granted under the 2019 Plan and 2016 Plan, the Company has granted stock options as material inducements to employment in accordance with Nasdaq Listing Rule 5635(c)(4), which were granted outside of the 2019 Plan and 2016 Plan. The following table summarizes the Company’s stock option activity during the six months ended June 30, 2026: </w:t>
      </w:r>
    </w:p>
    <w:p>
      <w:pPr>
        <w:pStyle w:val="TextBody"/>
        <w:bidi w:val="0"/>
        <w:jc w:val="left"/>
        <w:rPr/>
      </w:pPr>
      <w:r>
        <w:rPr/>
        <w:t> </w:t>
      </w:r>
    </w:p>
    <w:tbl>
      <w:tblPr>
        <w:tblW w:w="8919" w:type="dxa"/>
        <w:jc w:val="left"/>
        <w:tblInd w:w="0" w:type="dxa"/>
        <w:tblLayout w:type="fixed"/>
        <w:tblCellMar>
          <w:top w:w="28" w:type="dxa"/>
          <w:left w:w="28" w:type="dxa"/>
          <w:bottom w:w="28" w:type="dxa"/>
          <w:right w:w="28" w:type="dxa"/>
        </w:tblCellMar>
      </w:tblPr>
      <w:tblGrid>
        <w:gridCol w:w="2941"/>
        <w:gridCol w:w="146"/>
        <w:gridCol w:w="146"/>
        <w:gridCol w:w="1036"/>
        <w:gridCol w:w="166"/>
        <w:gridCol w:w="146"/>
        <w:gridCol w:w="350"/>
        <w:gridCol w:w="775"/>
        <w:gridCol w:w="146"/>
        <w:gridCol w:w="146"/>
        <w:gridCol w:w="236"/>
        <w:gridCol w:w="755"/>
        <w:gridCol w:w="146"/>
        <w:gridCol w:w="146"/>
        <w:gridCol w:w="211"/>
        <w:gridCol w:w="1036"/>
        <w:gridCol w:w="3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11,645,843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61,391,718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2,788,750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(58,217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(2,743,296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11,633,080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1,208,959</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7,399,899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7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937,003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aggregate intrinsic value of stock options is calculated as the difference between the exercise price of the stock options and the fair value of the Company’s common stock as of the balance sheet date for those options that had exercise prices lower than the fair value of the Company’s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weighted average grant date fair value of stock options granted in the three and six months ended June 30, 2026 was $4.12 per share and $8.39 per share, respectively. The weighted average grant date fair value of stock options granted in the three and six months ended June 30, 2025 was $5.11 per share and $3.83 per share, respectively. The total intrinsic value of stock options exercised during the three and six months ended June 30, 2026 was $0.1 million and $0.2 million, respectively. The total intrinsic value of stock options exercised during the three and six months ended June 30, 2025 was $0.2 million.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fair value of stock options granted during the three and six months ended June 30, 2026 and 2025 has been calculated on the date of grant using the following weighted average assumptions: </w:t>
      </w:r>
    </w:p>
    <w:p>
      <w:pPr>
        <w:pStyle w:val="TextBody"/>
        <w:bidi w:val="0"/>
        <w:jc w:val="left"/>
        <w:rPr/>
      </w:pPr>
      <w:r>
        <w:rPr/>
        <w:t> </w:t>
      </w:r>
    </w:p>
    <w:tbl>
      <w:tblPr>
        <w:tblW w:w="8839" w:type="dxa"/>
        <w:jc w:val="left"/>
        <w:tblInd w:w="0" w:type="dxa"/>
        <w:tblLayout w:type="fixed"/>
        <w:tblCellMar>
          <w:top w:w="28" w:type="dxa"/>
          <w:left w:w="28" w:type="dxa"/>
          <w:bottom w:w="28" w:type="dxa"/>
          <w:right w:w="28" w:type="dxa"/>
        </w:tblCellMar>
      </w:tblPr>
      <w:tblGrid>
        <w:gridCol w:w="2626"/>
        <w:gridCol w:w="146"/>
        <w:gridCol w:w="229"/>
        <w:gridCol w:w="896"/>
        <w:gridCol w:w="271"/>
        <w:gridCol w:w="146"/>
        <w:gridCol w:w="229"/>
        <w:gridCol w:w="896"/>
        <w:gridCol w:w="271"/>
        <w:gridCol w:w="146"/>
        <w:gridCol w:w="229"/>
        <w:gridCol w:w="896"/>
        <w:gridCol w:w="271"/>
        <w:gridCol w:w="146"/>
        <w:gridCol w:w="229"/>
        <w:gridCol w:w="896"/>
        <w:gridCol w:w="316"/>
      </w:tblGrid>
      <w:tr>
        <w:trPr/>
        <w:tc>
          <w:tcPr>
            <w:tcW w:w="26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w:t>
              <w:b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w:t>
              <w:br/>
              <w:t>Ended</w:t>
              <w:br/>
              <w:t>June 30, 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w:t>
              <w:br/>
              <w:t>June 30, 2026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w:t>
              <w:br/>
              <w:t>Ended</w:t>
              <w:br/>
              <w:t>June 30,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stock price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Restricted Stock Units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Company has also granted restricted stock units. The shares of common stock underlying restricted stock units typically vest over a four-year period. The shares of common stock are recorded in stockholders’ equity as they vest.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summarizes the Company’s restricted stock unit activity during the six months ended June 30, 2026: </w:t>
      </w:r>
    </w:p>
    <w:p>
      <w:pPr>
        <w:pStyle w:val="TextBody"/>
        <w:bidi w:val="0"/>
        <w:jc w:val="left"/>
        <w:rPr/>
      </w:pPr>
      <w:r>
        <w:rPr/>
        <w:t> </w:t>
      </w:r>
    </w:p>
    <w:tbl>
      <w:tblPr>
        <w:tblW w:w="5650" w:type="dxa"/>
        <w:jc w:val="left"/>
        <w:tblInd w:w="0" w:type="dxa"/>
        <w:tblLayout w:type="fixed"/>
        <w:tblCellMar>
          <w:top w:w="28" w:type="dxa"/>
          <w:left w:w="28" w:type="dxa"/>
          <w:bottom w:w="28" w:type="dxa"/>
          <w:right w:w="28" w:type="dxa"/>
        </w:tblCellMar>
      </w:tblPr>
      <w:tblGrid>
        <w:gridCol w:w="2701"/>
        <w:gridCol w:w="146"/>
        <w:gridCol w:w="146"/>
        <w:gridCol w:w="739"/>
        <w:gridCol w:w="166"/>
        <w:gridCol w:w="146"/>
        <w:gridCol w:w="326"/>
        <w:gridCol w:w="889"/>
        <w:gridCol w:w="39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Grant</w:t>
              <w:br/>
              <w:t>Date Fair</w:t>
              <w:br/>
              <w:t>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Cancelled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360" w:after="283"/>
        <w:jc w:val="left"/>
        <w:rPr>
          <w:rFonts w:ascii="Times New Roman" w:hAnsi="Times New Roman"/>
          <w:sz w:val="20"/>
        </w:rPr>
      </w:pPr>
      <w:r>
        <w:rPr>
          <w:rFonts w:ascii="Times New Roman" w:hAnsi="Times New Roman"/>
          <w:b/>
          <w:i/>
          <w:color w:val="000000"/>
          <w:sz w:val="20"/>
        </w:rPr>
        <w:t>Stock-based Compensation Expense</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0"/>
        </w:rPr>
        <w:t>The total compensation cost recognized in the statements of operations and comprehensive loss associated with all stock-based compensation awards granted by the Company is as follows (in thousands)</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tbl>
      <w:tblPr>
        <w:tblW w:w="7792" w:type="dxa"/>
        <w:jc w:val="left"/>
        <w:tblInd w:w="0" w:type="dxa"/>
        <w:tblLayout w:type="fixed"/>
        <w:tblCellMar>
          <w:top w:w="28" w:type="dxa"/>
          <w:left w:w="28" w:type="dxa"/>
          <w:bottom w:w="28" w:type="dxa"/>
          <w:right w:w="28" w:type="dxa"/>
        </w:tblCellMar>
      </w:tblPr>
      <w:tblGrid>
        <w:gridCol w:w="3451"/>
        <w:gridCol w:w="146"/>
        <w:gridCol w:w="211"/>
        <w:gridCol w:w="571"/>
        <w:gridCol w:w="146"/>
        <w:gridCol w:w="146"/>
        <w:gridCol w:w="211"/>
        <w:gridCol w:w="571"/>
        <w:gridCol w:w="146"/>
        <w:gridCol w:w="146"/>
        <w:gridCol w:w="211"/>
        <w:gridCol w:w="571"/>
        <w:gridCol w:w="146"/>
        <w:gridCol w:w="146"/>
        <w:gridCol w:w="211"/>
        <w:gridCol w:w="571"/>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June 30, 2026, the Company had an aggregate of $22.3 million of unrecognized stock-based compensation expense, which is expected to be recognized over a weighted average period of 2.33 years.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2019 Employee Stock Purchase Plan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On July 2, 2019, the Company’s stockholders approved the 2019 Employee Stock Purchase Plan (the “ESPP”), which became effective on July 17, 2019. A total of 252,142 shares of common stock were initially reserved for issuance under the ESPP. In addition, the number of shares of common stock reserved under the ESPP was increased on January 1, 2020, and will be increased annually on each January 1 thereafter through January 1, 2029, by the least of (i) 428,571 shares of common stock, (ii) 1% of the number of shares of the Company’s common stock outstanding on the first day of each such year or (iii) an amount determined by the Company’s board of directors. On January 1, 2026, the number of shares reserved for issuance under the 2019 ESPP was increased by 428,571 shares. As of June 30, 2026, there were 2,441,771 shares available for future issuance under the ESPP.</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License and Collaboration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Sanofi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May 2024, the Company entered into a collaboration and license agreement (the “Sanofi Agreement”) with Genzyme Corporation (“Sanofi”), pursuant to which the Company granted Sanofi an exclusive license to commercialize losmapimod, an oral small molecule for the treatment of facioscapulohumeral muscular dystrophy, outside of the United States.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September 2024, the Company discontinued development of losmapimod following topline results from the Phase 3 REACH trial. On December 18, 2024, Sanofi provided written notice of termination for convenience, and the agreement terminated in its entirety on April 17, 2025. As a result, the Company is not entitled to receive any further milestone payments, royalties, or development cost reimbursements under the agreement.</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During the three and six months ended June 30, 2026, the Company recorded no activity related to the Sanofi Agreement. During the three and six months ended June 30, 2025, the Company recorded a reduction in research and development expenses of less than $0.1 million and $1.0 million, respectively, related to reimbursable global development activities under the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CAMP4 Agreement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July 2023, the Company entered into a license agreement (the “CAMP4 Agreement”) with CAMP4 Therapeutics Corporation (“CAMP4”), pursuant to which the Company obtained a worldwide exclusive license to certain intellectual property related to CAMP4’s Diamond-Blackfan anemia (“DBA”) program. Under the terms of the agreement, the Company was responsible for development and commercialization of any licensed products, and CAMP4 would have been eligible to receive development, regulatory, and sales milestone payments, as well as royalties on net sales of licensed products.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April 2025, the Company incurred a $0.6 million preclinical milestone payment, which was recorded as research and development expense during the year ended December 31,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February 2026, the Company announced the discontinuation of its bone marrow failure syndromes program, including DBA. On April 23, 2026, the Company delivered written notice to terminate the CAMP4 Agreement for convenience. In accordance with the terms of the agreement, the termination will become effective following the applicable notice period. Upon termination, the Company will have no further obligations under the agreement, other than those that survive termination in accordance with its terms.</w:t>
      </w:r>
    </w:p>
    <w:p>
      <w:pPr>
        <w:pStyle w:val="TextBody"/>
        <w:bidi w:val="0"/>
        <w:spacing w:before="360" w:after="283"/>
        <w:jc w:val="left"/>
        <w:rPr>
          <w:rFonts w:ascii="Times New Roman" w:hAnsi="Times New Roman"/>
          <w:sz w:val="20"/>
        </w:rPr>
      </w:pPr>
      <w:r>
        <w:rPr>
          <w:rFonts w:ascii="Times New Roman" w:hAnsi="Times New Roman"/>
          <w:b/>
          <w:color w:val="000000"/>
          <w:sz w:val="20"/>
        </w:rPr>
        <w:t>11. Leases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Operating Leases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26 Landsdowne Street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November 2017, the Company entered into a lease agreement for its current corporate headquarters comprising approximately 28,731 square feet of office and laboratory space at 26 Landsdowne Street in Cambridge, Massachusetts, commencing December 2017. The Company began to occupy and use the leased space for its intended purpose in June 2018. The lease ends on June 30, 2028. The Company has the option to extend the term of the lease for an additional five-year period, at the market rate, by giving the landlord written notice of its election to exercise the extension at least nine months prior to the original expiration of the lease term. The lease has a total commitment of $25.1 million over the ten year term, and includes escalating rent payments. The lease provides the Company with an allowance for normal leasehold improvements of $5.0 million. The lease agreement requires the Company to either pay a security deposit or maintain a letter of credit of $1.1 million. The Company maintains a letter of credit for this lease and has recorded the cash held to secure the letter of credit as restricted cash on the consolidated balance sheet as of June 30, 2026 and December 31, 2025. Operating lease expense associated with this lease for the three and six months ended June 30, 2026 was approximately $0.3 million and $0.8 million, respectively. Variable lease expense associated with this lease for the three and six months ended June 30, 2026 was approximately $0.3 million and $0.5 million, respectively.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During the three months ended June 30, 2026, in connection with the cessation of the Company’s research and development activities, the Company recognized an impairment charge of $3.6 million to write down the operating lease right-of-use asset associated with its 26 Landsdowne Street facility to its estimated fair value. See Note 3, “Fair Value Measurements,” and Note 5, “Property and Equipment, Net.” The Company is marketing the facility for sublease and is exploring an early termination of the lease with its landlord. As of June 30, 2026, the Company had not entered into a sublease or an agreement to terminate the lease.</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 xml:space="preserve">The future minimum lease payments associated with the 26 Landsdowne Street lease as of June 30, 2026, are as follows (in thousands): </w:t>
      </w:r>
    </w:p>
    <w:p>
      <w:pPr>
        <w:pStyle w:val="TextBody"/>
        <w:bidi w:val="0"/>
        <w:jc w:val="left"/>
        <w:rPr/>
      </w:pPr>
      <w:r>
        <w:rPr/>
        <w:t> </w:t>
      </w:r>
    </w:p>
    <w:tbl>
      <w:tblPr>
        <w:tblW w:w="3795" w:type="dxa"/>
        <w:jc w:val="left"/>
        <w:tblInd w:w="0" w:type="dxa"/>
        <w:tblLayout w:type="fixed"/>
        <w:tblCellMar>
          <w:top w:w="28" w:type="dxa"/>
          <w:left w:w="28" w:type="dxa"/>
          <w:bottom w:w="28" w:type="dxa"/>
          <w:right w:w="28" w:type="dxa"/>
        </w:tblCellMar>
      </w:tblPr>
      <w:tblGrid>
        <w:gridCol w:w="2656"/>
        <w:gridCol w:w="146"/>
        <w:gridCol w:w="211"/>
        <w:gridCol w:w="571"/>
        <w:gridCol w:w="211"/>
      </w:tblGrid>
      <w:tr>
        <w:trPr/>
        <w:tc>
          <w:tcPr>
            <w:tcW w:w="26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2,811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minimum lease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6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5,278</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pBdr>
          <w:bottom w:val="single" w:sz="6" w:space="1" w:color="000000"/>
        </w:pBdr>
        <w:bidi w:val="0"/>
        <w:spacing w:before="0" w:after="6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(1) Amounts are for six months ending December 31, 2026.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12. Commitments and Contingencies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Indemnification Agreements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ordinary course of business, the Company may provide indemnification of varying scope and terms to vendors, lessors, business partners and other parties with respect to certain matters arising out of the relationship between such parties and the Company. In addition, the Company has entered into indemnification agreements with members of its board of directors and senior management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The Company is not aware of any claims under indemnification arrangements, and it has not accrued any liabilities related to such obligations as of June 30, 2026 or December 31, 2025. </w:t>
      </w:r>
    </w:p>
    <w:p>
      <w:pPr>
        <w:pStyle w:val="TextBody"/>
        <w:bidi w:val="0"/>
        <w:spacing w:before="360" w:after="283"/>
        <w:jc w:val="left"/>
        <w:rPr>
          <w:rFonts w:ascii="Times New Roman" w:hAnsi="Times New Roman"/>
          <w:sz w:val="20"/>
        </w:rPr>
      </w:pPr>
      <w:r>
        <w:rPr>
          <w:rFonts w:ascii="Times New Roman" w:hAnsi="Times New Roman"/>
          <w:b/>
          <w:i/>
          <w:color w:val="000000"/>
          <w:sz w:val="20"/>
        </w:rPr>
        <w:t>Legal Proceedings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is not currently a party to any material legal proceedings. At each reporting date, the Company evaluates whether or not a potential loss amount or a potential range of loss is probable and reasonably estimable under the provisions of the authoritative guidance that addresses accounting for contingencies. The Company expenses the costs related to its legal proceedings as they are incurred. No such costs have been incurred during the three and six months ended June 30, 2026.</w:t>
      </w:r>
    </w:p>
    <w:p>
      <w:pPr>
        <w:pStyle w:val="TextBody"/>
        <w:bidi w:val="0"/>
        <w:spacing w:before="360" w:after="283"/>
        <w:jc w:val="left"/>
        <w:rPr>
          <w:rFonts w:ascii="Times New Roman" w:hAnsi="Times New Roman"/>
          <w:sz w:val="20"/>
        </w:rPr>
      </w:pPr>
      <w:r>
        <w:rPr>
          <w:rFonts w:ascii="Times New Roman" w:hAnsi="Times New Roman"/>
          <w:b/>
          <w:color w:val="000000"/>
          <w:sz w:val="20"/>
        </w:rPr>
        <w:t>13. Defined Contribution Plan</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has a defined contribution savings plan under Section 401(k) of the Internal Revenue Code (the “401(k) Plan”). The 401(k) Plan covers all employees who meet defined minimum age and service requirements, and allows participants the option to elect to defer a portion of their annual compensation on a pretax basis. As currently established, the Company is not required to make contributions to the 401(k) Plan. The Company made $0.1 million and $0.3 million, respectively, in contributions to the 401(k) Plan for the three and six months ended June 30, 2026. The Company made $0.1 million and $0.2 million, respectively, in contributions to the 401(k) Plan for the three and six months ended June 30, 2025.</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14. Net (Loss) Income per Share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Basic net (loss) income per share is calculated by dividing net (loss) income by the weighted average number of common shares outstanding during the period. During the three months ended June 30, 2026, all outstanding pre-funded warrants were exercised for shares of common stock, as described in Note 8. The shares of common stock issued upon exercise are included in the weighted average number of common shares outstanding from their respective dates of issuance. For the three and six months ended June 30, 2025, the weighted average number of common shares outstanding included shares of common stock issuable upon the exercise of pre-funded warrants that were exercisable for little or no consideration.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common stock equivalents were excluded from the calculation of diluted net loss per share for the periods indicated because including them would have had an anti-dilutive effect:</w:t>
      </w:r>
    </w:p>
    <w:p>
      <w:pPr>
        <w:pStyle w:val="TextBody"/>
        <w:bidi w:val="0"/>
        <w:jc w:val="left"/>
        <w:rPr/>
      </w:pPr>
      <w:r>
        <w:rPr/>
        <w:t> </w:t>
      </w:r>
    </w:p>
    <w:tbl>
      <w:tblPr>
        <w:tblW w:w="7817" w:type="dxa"/>
        <w:jc w:val="left"/>
        <w:tblInd w:w="0" w:type="dxa"/>
        <w:tblLayout w:type="fixed"/>
        <w:tblCellMar>
          <w:top w:w="28" w:type="dxa"/>
          <w:left w:w="28" w:type="dxa"/>
          <w:bottom w:w="28" w:type="dxa"/>
          <w:right w:w="28" w:type="dxa"/>
        </w:tblCellMar>
      </w:tblPr>
      <w:tblGrid>
        <w:gridCol w:w="1876"/>
        <w:gridCol w:w="146"/>
        <w:gridCol w:w="146"/>
        <w:gridCol w:w="1036"/>
        <w:gridCol w:w="146"/>
        <w:gridCol w:w="146"/>
        <w:gridCol w:w="146"/>
        <w:gridCol w:w="1036"/>
        <w:gridCol w:w="146"/>
        <w:gridCol w:w="146"/>
        <w:gridCol w:w="146"/>
        <w:gridCol w:w="1036"/>
        <w:gridCol w:w="146"/>
        <w:gridCol w:w="146"/>
        <w:gridCol w:w="146"/>
        <w:gridCol w:w="1036"/>
        <w:gridCol w:w="191"/>
      </w:tblGrid>
      <w:tr>
        <w:trPr/>
        <w:tc>
          <w:tcPr>
            <w:tcW w:w="18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11,633,080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12,082,312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11,633,080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12,082,312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70,669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8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11,650,603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12,152,981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11,650,603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12,152,981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15. Segment Information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Segment reporting is prepared on the same basis that the Company's chief executive officer, who is the Company's chief operating decision maker (the “CODM”), utilizes to manage the business and makes decisions on how to allocate resources and assess performance of the business. The Company and the CODM view the Company's operations as a single operating segment. The Company's singular focus is on developing small molecules to improve the lives of patients with genetically defined rare diseases in areas of high unmet medical need.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 and the CODM primarily utilize the segment's consolidated net loss, disaggregated between (a) research and development and (b) general and administrative, as the key indicator to assess the segment's performance and for allocating resources.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reportable segment operating expenses and net loss for the three and six months ended June 30, 2026 and 2025 are as follows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844"/>
        <w:gridCol w:w="146"/>
        <w:gridCol w:w="211"/>
        <w:gridCol w:w="736"/>
        <w:gridCol w:w="166"/>
        <w:gridCol w:w="146"/>
        <w:gridCol w:w="211"/>
        <w:gridCol w:w="736"/>
        <w:gridCol w:w="166"/>
        <w:gridCol w:w="146"/>
        <w:gridCol w:w="211"/>
        <w:gridCol w:w="736"/>
        <w:gridCol w:w="166"/>
        <w:gridCol w:w="146"/>
        <w:gridCol w:w="211"/>
        <w:gridCol w:w="736"/>
        <w:gridCol w:w="491"/>
      </w:tblGrid>
      <w:tr>
        <w:trPr/>
        <w:tc>
          <w:tcPr>
            <w:tcW w:w="4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Pociredir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Losmapimod 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Employee compensation expenses (excluding stock-based compensation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5,887</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Stock-based compensation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Pre-development candidate expenses and 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9,673</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Restructuring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(40,218</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16. Restructuring Expenses</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On May 31, 2026, the Company’s board of directors approved a restructuring plan to significantly reduce the Company’s operating expenses and preserve capital following the discontinuation of pociredir. The restructuring plan reduced the Company’s workforce by approximately 85%, from 57 to nine full-time employees, and was substantially completed during the second quarter of 2026. The Company communicated the workforce reduction on June 4, 2026.</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During the three and six months ended June 30, 2026, the Company recorded aggregate restructuring charges of $4.3 million, consisting primarily of employee severance, benefits and related costs, of which $2.1 million was paid during the period. Restructuring charges are presented as a separate component of operating expenses. The Company recognizes one-time employee termination benefits in accordance with ASC 420; for employees required to render service beyond the minimum retention period, the related cost is recognized ratably over the future service period, and the Company therefore expects to recognize additional restructuring charges during the third quarter of 2026. The charges described above do not include the impairment of long-lived assets recorded in connection with the restructuring, which is described in Note 5, “Property and Equipment, Net.”</w:t>
      </w:r>
    </w:p>
    <w:p>
      <w:pPr>
        <w:pStyle w:val="TextBody"/>
        <w:bidi w:val="0"/>
        <w:spacing w:before="80" w:after="160"/>
        <w:jc w:val="left"/>
        <w:rPr>
          <w:rFonts w:ascii="Times New Roman" w:hAnsi="Times New Roman"/>
          <w:color w:val="000000"/>
          <w:sz w:val="20"/>
        </w:rPr>
      </w:pPr>
      <w:r>
        <w:rPr>
          <w:rFonts w:ascii="Times New Roman" w:hAnsi="Times New Roman"/>
          <w:color w:val="000000"/>
          <w:sz w:val="20"/>
        </w:rPr>
        <w:t>The following table summarizes the Company’s restructuring activity (in thousands):</w:t>
      </w:r>
    </w:p>
    <w:tbl>
      <w:tblPr>
        <w:tblW w:w="5775" w:type="dxa"/>
        <w:jc w:val="left"/>
        <w:tblInd w:w="0" w:type="dxa"/>
        <w:tblLayout w:type="fixed"/>
        <w:tblCellMar>
          <w:top w:w="28" w:type="dxa"/>
          <w:left w:w="28" w:type="dxa"/>
          <w:bottom w:w="28" w:type="dxa"/>
          <w:right w:w="28" w:type="dxa"/>
        </w:tblCellMar>
      </w:tblPr>
      <w:tblGrid>
        <w:gridCol w:w="4576"/>
        <w:gridCol w:w="146"/>
        <w:gridCol w:w="211"/>
        <w:gridCol w:w="631"/>
        <w:gridCol w:w="21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charges as of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Restructuring charges incurred during the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paid during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restructuring charges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left"/>
        <w:rPr>
          <w:rFonts w:ascii="Times New Roman" w:hAnsi="Times New Roman"/>
          <w:color w:val="000000"/>
          <w:sz w:val="20"/>
        </w:rPr>
      </w:pPr>
      <w:r>
        <w:rPr>
          <w:rFonts w:ascii="Times New Roman" w:hAnsi="Times New Roman"/>
          <w:color w:val="000000"/>
          <w:sz w:val="20"/>
        </w:rPr>
        <w:t>In June 2026, the Compensation Committee approved cash retention arrangements for the Company’s nine remaining full-time employees, with aggregate potential payments of approximately $1.4 million. Payment of the retention amounts is contingent upon the occurrence of specified strategic-transaction and/or qualifying termination events and, where applicable, the completion of transitional duties. The Compensation Committee also approved certain additional severance protections for the remaining employees, including enhanced change-in-control benefits for employees at the Vice President level and above in the event of a qualifying termination within the six months preceding a change in control. No expense or liability was recognized for these arrangements as of June 30, 2026 because the applicable triggering events were not considered probable. The Company will recognize compensation expense when the applicable recognition criteria are met.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tem_2_managements_discussion_analysis_f"/>
      <w:bookmarkEnd w:id="9"/>
      <w:r>
        <w:rPr>
          <w:rFonts w:ascii="Times New Roman" w:hAnsi="Times New Roman"/>
          <w:b/>
          <w:color w:val="000000"/>
          <w:sz w:val="20"/>
        </w:rPr>
        <w:t>Item 2. Management’s Discussion and Analysis of</w:t>
      </w:r>
      <w:r>
        <w:rPr>
          <w:rFonts w:ascii="Times New Roman" w:hAnsi="Times New Roman"/>
          <w:color w:val="000000"/>
          <w:sz w:val="20"/>
        </w:rPr>
        <w:t xml:space="preserve"> </w:t>
      </w:r>
      <w:r>
        <w:rPr>
          <w:rFonts w:ascii="Times New Roman" w:hAnsi="Times New Roman"/>
          <w:b/>
          <w:color w:val="000000"/>
          <w:sz w:val="20"/>
        </w:rPr>
        <w:t>Financial Condition and Results of Operations.</w:t>
      </w:r>
    </w:p>
    <w:p>
      <w:pPr>
        <w:pStyle w:val="TextBody"/>
        <w:bidi w:val="0"/>
        <w:spacing w:before="240" w:after="283"/>
        <w:jc w:val="left"/>
        <w:rPr>
          <w:rFonts w:ascii="Times New Roman" w:hAnsi="Times New Roman"/>
          <w:sz w:val="20"/>
        </w:rPr>
      </w:pPr>
      <w:r>
        <w:rPr>
          <w:rFonts w:ascii="Times New Roman" w:hAnsi="Times New Roman"/>
          <w:i/>
          <w:color w:val="000000"/>
          <w:sz w:val="20"/>
        </w:rPr>
        <w:t>The following discussion and analysis of our financial condition and results of operations should be read together with our consolidated financial statements and related notes appearing elsewhere in this Quarterly Report on Form 10-Q and our Annual Report on Form 10-K filed with the Securities and Exchange Commission, or SEC, on February 24, 2026.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 See “Cautionary Note Regarding Forward-Looking Statements.”</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clinical-stage biopharmaceutical company that historically focused on developing small molecules to improve the lives of patients with genetically defined rare diseases in areas of high unmet medical need. In June 2026, we announced the discontinuation of our pociredir program for the treatment of sickle cell disease, or SCD, and the initiation of a comprehensive review of strategic alternatives intended to maximize stockholder value.</w:t>
      </w:r>
    </w:p>
    <w:p>
      <w:pPr>
        <w:pStyle w:val="TextBody"/>
        <w:bidi w:val="0"/>
        <w:spacing w:before="240" w:after="120"/>
        <w:jc w:val="left"/>
        <w:rPr>
          <w:rFonts w:ascii="Times New Roman" w:hAnsi="Times New Roman"/>
          <w:color w:val="000000"/>
          <w:sz w:val="20"/>
        </w:rPr>
      </w:pPr>
      <w:r>
        <w:rPr>
          <w:rFonts w:ascii="Times New Roman" w:hAnsi="Times New Roman"/>
          <w:color w:val="000000"/>
          <w:sz w:val="20"/>
        </w:rPr>
        <w:t>On May 28, 2026, we received meeting minutes from recent end-of-phase interactions with the U.S. Food and Drug Administration, or FDA, that reflected heightened FDA concerns regarding pociredir's benefit-risk profile in SCD. Following a review of that regulatory feedback and the totality of available data, we concluded that there was no viable regulatory path forward for the continued clinical development of pociredir, and on June 1, 2026 we announced the discontinuation of the pociredir program.</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On May 31, 2026, our board of directors approved a restructuring plan to significantly reduce our operating expenses and preserve capital. The restructuring plan reduced our workforce by approximately 85%, from 57 to nine full-time employees, and was substantially completed during the second quarter of 2026. In connection with the restructuring, we have ceased our research and development activities, and we are seeking to exit our leased facility, including by marketing the space for sublease and exploring an early termination of the lease with our landlord.</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We have also initiated a comprehensive review of strategic alternatives intended to maximize stockholder value, including, but not limited to, a merger, acquisition, business combination, sale or licensing of assets, or other strategic transaction involving the company or its assets. We have engaged Leerink Partners LLC as our financial advisor to assist our board of directors in this review. We have not set a timeline for the completion of this review, and there can be no assurance that the review will result in any transaction or other strategic outcome. If we are unable to identify and complete a strategic transaction, our board of directors may determine to pursue a dissolution and liquidation of the company.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have incurred significant operating losses since our inception. Our net losses were $45.1 million and $35.0 million for the six months ended June 30, 2026 and 2025, respectively. As of June 30, 2026, we had an accumulated deficit of $639.3 million.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Following the discontinuation of pociredir and the restructuring, we have ceased our research and development activities and expect our operating expenses to decrease substantially in future periods. In the near term, however, we expect to incur restructuring charges, long-lived asset impairment charges, and professional and advisory fees and other costs in connection with our evaluation of strategic alternatives, a considerable portion of which will be incurred regardless of whether any particular transaction is completed.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June 30, 2026, we had $318.8 million in cash, cash equivalents, and marketable securities. We believe that our existing cash, cash equivalents, and marketable securities as of June 30, 2026 will enable us to fund our operating expenses and capital expenditure requirements for at least the next 12 months from the date of this Quarterly Report on Form 10-Q. See “—Liquidity and Capital Resources.” </w:t>
      </w:r>
    </w:p>
    <w:p>
      <w:pPr>
        <w:pStyle w:val="TextBody"/>
        <w:bidi w:val="0"/>
        <w:spacing w:before="360" w:after="283"/>
        <w:jc w:val="left"/>
        <w:rPr>
          <w:rFonts w:ascii="Times New Roman" w:hAnsi="Times New Roman"/>
          <w:sz w:val="20"/>
        </w:rPr>
      </w:pPr>
      <w:r>
        <w:rPr>
          <w:rFonts w:ascii="Times New Roman" w:hAnsi="Times New Roman"/>
          <w:b/>
          <w:color w:val="000000"/>
          <w:sz w:val="20"/>
        </w:rPr>
        <w:t>Components of 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Revenue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have not generated any revenue from product sales. Following the discontinuation of our pociredir program, we do not expect to generate revenue from the sale of any products unless we resume our prior research and development activities.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generate revenue in the future from license or collaboration agreements, or from other transactions involving our product candidates, intellectual property or other assets, including in connection with our review of strategic alternatives. We cannot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predict if, when or to what extent we will generate any such revenue.</w:t>
      </w:r>
    </w:p>
    <w:p>
      <w:pPr>
        <w:pStyle w:val="TextBody"/>
        <w:bidi w:val="0"/>
        <w:spacing w:before="360" w:after="283"/>
        <w:jc w:val="left"/>
        <w:rPr>
          <w:rFonts w:ascii="Times New Roman" w:hAnsi="Times New Roman"/>
          <w:sz w:val="20"/>
        </w:rPr>
      </w:pPr>
      <w:r>
        <w:rPr>
          <w:rFonts w:ascii="Times New Roman" w:hAnsi="Times New Roman"/>
          <w:b/>
          <w:i/>
          <w:color w:val="000000"/>
          <w:sz w:val="20"/>
        </w:rPr>
        <w:t>Operating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expenses represent costs incurred by us for the discovery, development, and manufacture of our product candidates and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external research and development expenses incurred under agreements with contract research organizations, contract manufacturing organizations, and consultants;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salaries, payroll taxes, employee benefits and stock-based compensation expenses for individuals involved in research and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laboratory supplies;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related to compliance with regulatory requirements;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depreciation and other allocated expenses, which include direct and allocated expenses for rent, maintenance of facilities, insurance and other operating costs.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expense research and development costs as incurred. We recognize expenses for certain development activities, such as clinical trials and manufacturing, based on an evaluation of the progress to completion of specific tasks using data such as patient enrollment or other information provided to us by our vendors. Payments for these activities are based on the terms of the individual agreements, which may differ from the pattern of expenses incurred. Non-refundable advance payments for goods or services to be received in the future for use in research and development activities are recorded as prepaid expenses. These amounts are recognized as an expense as the goods are delivered or the related services are performed, or until it is no longer expected that the goods will be delivered or the services rendered.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External costs represent a significant portion of our research and development expenses, which we track on a program-by-program basis following the nomination of a development candidate. Our internal research and development expenses consist primarily of personnel-related expenses, including stock-based compensation expense. We do not track our internal research and development expenses on a program-by-program basis as the resources are deployed across multiple projects.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external research and development expenses by program for the three and six months ended June 30, 2026 and 2025. Pre-development candidate expenses, unallocated expenses and internal research and development expenses are classified separately.</w:t>
      </w:r>
    </w:p>
    <w:p>
      <w:pPr>
        <w:pStyle w:val="TextBody"/>
        <w:bidi w:val="0"/>
        <w:jc w:val="left"/>
        <w:rPr/>
      </w:pPr>
      <w:r>
        <w:rPr/>
        <w:t> </w:t>
      </w:r>
    </w:p>
    <w:tbl>
      <w:tblPr>
        <w:tblW w:w="10032" w:type="dxa"/>
        <w:jc w:val="left"/>
        <w:tblInd w:w="0" w:type="dxa"/>
        <w:tblLayout w:type="fixed"/>
        <w:tblCellMar>
          <w:top w:w="28" w:type="dxa"/>
          <w:left w:w="28" w:type="dxa"/>
          <w:bottom w:w="28" w:type="dxa"/>
          <w:right w:w="28" w:type="dxa"/>
        </w:tblCellMar>
      </w:tblPr>
      <w:tblGrid>
        <w:gridCol w:w="5251"/>
        <w:gridCol w:w="146"/>
        <w:gridCol w:w="211"/>
        <w:gridCol w:w="676"/>
        <w:gridCol w:w="146"/>
        <w:gridCol w:w="146"/>
        <w:gridCol w:w="211"/>
        <w:gridCol w:w="676"/>
        <w:gridCol w:w="166"/>
        <w:gridCol w:w="146"/>
        <w:gridCol w:w="211"/>
        <w:gridCol w:w="676"/>
        <w:gridCol w:w="146"/>
        <w:gridCol w:w="146"/>
        <w:gridCol w:w="211"/>
        <w:gridCol w:w="676"/>
        <w:gridCol w:w="191"/>
      </w:tblGrid>
      <w:tr>
        <w:trPr/>
        <w:tc>
          <w:tcPr>
            <w:tcW w:w="5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Pociredir external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Losmapimod external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Pre-development candidate expenses and unallocated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2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Internal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2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On June 1, 2026, we announced the discontinuation of our pociredir program. In connection with the related restructuring, we have ceased our research and development activities. As a result, we expect our research and development expenses to decline significantly in future periods.</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General and administrative expenses consist of personnel-related costs, including salaries, benefits and stock-based compensation expense, for our personnel in executive, finance and accounting, human resources, business operations and other administrative functions, legal fees related to patent, intellectual property and corporate matters, fees paid for accounting and tax services, consulting fees and facility-related costs not otherwise included in research and development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expect general and administrative expenses to decrease in future periods as a result of the reduction in our workforce, offset in part by professional, legal, accounting and advisory fees that we are incurring, and expect to continue to incur, in connection with our evaluation of strategic alternatives and our continuing obligations as a public company.</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Impairment of Long-Lived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Impairment of long-lived assets consists of charges to write down the carrying value of our operating lease right-of-use asset, related leasehold improvements, and laboratory equipment to their estimated fair values. These charges were recognized in connection with the restructuring and the wind-down of our research and development operations, which reduced the recoverable value of these assets. We are marketing our leased facility for sublease and are exploring an early termination of the lease with our landlord.</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Restructuring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Restructuring expenses consist of one-time employee termination benefits, including severance, employee benefits and related costs, recognized in connection with the restructuring plan approved by our board of directors on May 31, 2026.</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Other income, net consists primarily of interest income related to our investments in cash equivalents and marketable securities. </w:t>
      </w:r>
    </w:p>
    <w:p>
      <w:pPr>
        <w:pStyle w:val="TextBody"/>
        <w:bidi w:val="0"/>
        <w:spacing w:before="36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Three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summarizes our results of operations for the three months ended June 30, 2026 and 2025 along with the changes in those items in dollars:</w:t>
      </w:r>
    </w:p>
    <w:tbl>
      <w:tblPr>
        <w:tblW w:w="7188" w:type="dxa"/>
        <w:jc w:val="left"/>
        <w:tblInd w:w="0" w:type="dxa"/>
        <w:tblLayout w:type="fixed"/>
        <w:tblCellMar>
          <w:top w:w="28" w:type="dxa"/>
          <w:left w:w="28" w:type="dxa"/>
          <w:bottom w:w="28" w:type="dxa"/>
          <w:right w:w="28" w:type="dxa"/>
        </w:tblCellMar>
      </w:tblPr>
      <w:tblGrid>
        <w:gridCol w:w="3071"/>
        <w:gridCol w:w="146"/>
        <w:gridCol w:w="211"/>
        <w:gridCol w:w="736"/>
        <w:gridCol w:w="166"/>
        <w:gridCol w:w="146"/>
        <w:gridCol w:w="211"/>
        <w:gridCol w:w="736"/>
        <w:gridCol w:w="166"/>
        <w:gridCol w:w="146"/>
        <w:gridCol w:w="211"/>
        <w:gridCol w:w="631"/>
        <w:gridCol w:w="611"/>
      </w:tblGrid>
      <w:tr>
        <w:trPr/>
        <w:tc>
          <w:tcPr>
            <w:tcW w:w="3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(29,310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(26,179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(8,883</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three months ended June 30, 2026 and 2025:</w:t>
      </w:r>
    </w:p>
    <w:tbl>
      <w:tblPr>
        <w:tblW w:w="6903" w:type="dxa"/>
        <w:jc w:val="left"/>
        <w:tblInd w:w="0" w:type="dxa"/>
        <w:tblLayout w:type="fixed"/>
        <w:tblCellMar>
          <w:top w:w="28" w:type="dxa"/>
          <w:left w:w="28" w:type="dxa"/>
          <w:bottom w:w="28" w:type="dxa"/>
          <w:right w:w="28" w:type="dxa"/>
        </w:tblCellMar>
      </w:tblPr>
      <w:tblGrid>
        <w:gridCol w:w="3496"/>
        <w:gridCol w:w="146"/>
        <w:gridCol w:w="211"/>
        <w:gridCol w:w="676"/>
        <w:gridCol w:w="146"/>
        <w:gridCol w:w="146"/>
        <w:gridCol w:w="211"/>
        <w:gridCol w:w="676"/>
        <w:gridCol w:w="146"/>
        <w:gridCol w:w="146"/>
        <w:gridCol w:w="211"/>
        <w:gridCol w:w="481"/>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12,444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 decreased by $0.6 million from $13.0 million for the three months ended June 30, 2025 to $12.4 million for the three months ended June 30, 2026. The decrease in research and development expense was primarily attributable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$0.6 million of decreased employee compensation costs due to decreased headcount;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$0.4 million of decreased laboratory supplies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$0.2 million of decreased facilities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partially offset by $0.1 million of increased external research and development costs, primarily due to third-party costs incurred in connection with the wind-down of the Phase 1b PIONEER trial of pociredir following its discontinuation, including costs to close out clinical trial sites and complete contract research organization activities, and $0.5 million of increased other costs.</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general and administrative expenses for the three months ended June 30, 2026 and 2025:</w:t>
      </w:r>
    </w:p>
    <w:tbl>
      <w:tblPr>
        <w:tblW w:w="6738" w:type="dxa"/>
        <w:jc w:val="left"/>
        <w:tblInd w:w="0" w:type="dxa"/>
        <w:tblLayout w:type="fixed"/>
        <w:tblCellMar>
          <w:top w:w="28" w:type="dxa"/>
          <w:left w:w="28" w:type="dxa"/>
          <w:bottom w:w="28" w:type="dxa"/>
          <w:right w:w="28" w:type="dxa"/>
        </w:tblCellMar>
      </w:tblPr>
      <w:tblGrid>
        <w:gridCol w:w="3541"/>
        <w:gridCol w:w="146"/>
        <w:gridCol w:w="211"/>
        <w:gridCol w:w="571"/>
        <w:gridCol w:w="146"/>
        <w:gridCol w:w="146"/>
        <w:gridCol w:w="211"/>
        <w:gridCol w:w="571"/>
        <w:gridCol w:w="146"/>
        <w:gridCol w:w="146"/>
        <w:gridCol w:w="211"/>
        <w:gridCol w:w="481"/>
        <w:gridCol w:w="21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7,462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by $0.7 million from $6.8 million for the three months ended June 30, 2025 to $7.5 million for the three months ended June 30, 2026. The increase in general and administrative expenses was primarily attributable to the following: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$0.5 million of increased professional services costs, primarily due to higher legal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$0.5 million of increased other costs;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partially offset by $0.4 million of decreased employee compensation costs due to decreased headcount.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Impairment of Long-Lived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Impairment charges were $5.1 million for the three months ended June 30, 2026, and included $3.6 million related to the write down of the operating lease right-of-use asset associated with our 26 Landsdowne Street facility, $1.3 million related to the impairment of leasehold improvements, and $0.1 million related to the write-down of laboratory equipment to fair value less costs to sell upon its classification as held for sale. During the three months ended June 30, 2025, there were no charges related to the impairment of long-lived assets.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Restructuring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Restructuring charges were $4.3 million for the three months ended June 30, 2026, compared to zero for the three months ended June 30, 2025.</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net increased by $0.6 million from $2.5 million for the three months ended June 30, 2025 to $3.1 million for the three months ended June 30, 2026. The increase was primarily due to an increase in our average cash, cash equivalents, and marketable securities balance.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Comparison of the Six Months ended June 30, 2026 and 2025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summarizes our results of operations for the six months ended June 30, 2026 and 2025 along with the changes in those items in dollars:</w:t>
      </w:r>
    </w:p>
    <w:tbl>
      <w:tblPr>
        <w:tblW w:w="7273" w:type="dxa"/>
        <w:jc w:val="left"/>
        <w:tblInd w:w="0" w:type="dxa"/>
        <w:tblLayout w:type="fixed"/>
        <w:tblCellMar>
          <w:top w:w="28" w:type="dxa"/>
          <w:left w:w="28" w:type="dxa"/>
          <w:bottom w:w="28" w:type="dxa"/>
          <w:right w:w="28" w:type="dxa"/>
        </w:tblCellMar>
      </w:tblPr>
      <w:tblGrid>
        <w:gridCol w:w="3071"/>
        <w:gridCol w:w="146"/>
        <w:gridCol w:w="211"/>
        <w:gridCol w:w="736"/>
        <w:gridCol w:w="166"/>
        <w:gridCol w:w="146"/>
        <w:gridCol w:w="211"/>
        <w:gridCol w:w="736"/>
        <w:gridCol w:w="166"/>
        <w:gridCol w:w="146"/>
        <w:gridCol w:w="211"/>
        <w:gridCol w:w="736"/>
        <w:gridCol w:w="591"/>
      </w:tblGrid>
      <w:tr>
        <w:trPr/>
        <w:tc>
          <w:tcPr>
            <w:tcW w:w="3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Impairment of 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5,086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Restructuring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(10,119</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36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six months ended June 30, 2026 and 2025:</w:t>
      </w:r>
    </w:p>
    <w:tbl>
      <w:tblPr>
        <w:tblW w:w="6903" w:type="dxa"/>
        <w:jc w:val="left"/>
        <w:tblInd w:w="0" w:type="dxa"/>
        <w:tblLayout w:type="fixed"/>
        <w:tblCellMar>
          <w:top w:w="28" w:type="dxa"/>
          <w:left w:w="28" w:type="dxa"/>
          <w:bottom w:w="28" w:type="dxa"/>
          <w:right w:w="28" w:type="dxa"/>
        </w:tblCellMar>
      </w:tblPr>
      <w:tblGrid>
        <w:gridCol w:w="3496"/>
        <w:gridCol w:w="146"/>
        <w:gridCol w:w="211"/>
        <w:gridCol w:w="676"/>
        <w:gridCol w:w="146"/>
        <w:gridCol w:w="146"/>
        <w:gridCol w:w="211"/>
        <w:gridCol w:w="676"/>
        <w:gridCol w:w="146"/>
        <w:gridCol w:w="146"/>
        <w:gridCol w:w="211"/>
        <w:gridCol w:w="481"/>
        <w:gridCol w:w="211"/>
      </w:tblGrid>
      <w:tr>
        <w:trPr/>
        <w:tc>
          <w:tcPr>
            <w:tcW w:w="34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14,657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26,528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26,391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Research and development expense increased by $0.1 million from $26.4 million for the six months ended June 30, 2025 to $26.5 million for the six months ended June 30, 2026. The increase in research and development expense was primarily attributable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$0.7 million of increased employee compensation costs due to increased average headcount, including a $0.5 million increase in stock-based compensation expense;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$0.6 million of increased other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partially offset by $0.8 million of decreased laboratory supplies costs;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decreased external research and development costs of $0.1 million and decreased facilities costs of $0.3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following table summarizes our general and administrative expenses for the six months ended June 30, 2026 and 2025:</w:t>
      </w:r>
    </w:p>
    <w:tbl>
      <w:tblPr>
        <w:tblW w:w="7018" w:type="dxa"/>
        <w:jc w:val="left"/>
        <w:tblInd w:w="0" w:type="dxa"/>
        <w:tblLayout w:type="fixed"/>
        <w:tblCellMar>
          <w:top w:w="28" w:type="dxa"/>
          <w:left w:w="28" w:type="dxa"/>
          <w:bottom w:w="28" w:type="dxa"/>
          <w:right w:w="28" w:type="dxa"/>
        </w:tblCellMar>
      </w:tblPr>
      <w:tblGrid>
        <w:gridCol w:w="3541"/>
        <w:gridCol w:w="146"/>
        <w:gridCol w:w="211"/>
        <w:gridCol w:w="676"/>
        <w:gridCol w:w="146"/>
        <w:gridCol w:w="146"/>
        <w:gridCol w:w="211"/>
        <w:gridCol w:w="676"/>
        <w:gridCol w:w="146"/>
        <w:gridCol w:w="146"/>
        <w:gridCol w:w="211"/>
        <w:gridCol w:w="571"/>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Professional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1,737</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General and administrative expenses increased by $1.8 million from $13.8 million for the six months ended June 30, 2025 to $15.6 million for the six months ended June 30, 2026. The increase in general and administrative expenses was primarily attributable to the following: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$1.0 million of increased professional services costs, primarily due to higher legal costs;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$0.1 million of increased employee compensation costs due to increased headcount, including a $0.6 million increase in stock-based compensation expense, partially offset by decreased headcount;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$0.6 million of increased other costs.</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Impairment of Long-Lived Assets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Impairment charges were $5.1 million for the six months ended June 30, 2026, and included $3.6 million related to the write down of the operating lease right-of-use asset associated with our 26 Landsdowne Street facility, $1.3 million related to the impairment of leasehold improvements, and $0.1 million related to the write-down of laboratory equipment to fair value less costs to sell upon its classification as held for sale. During the six months ended June 30, 2025, there were no charges related to the impairment of long-lived assets. </w:t>
      </w:r>
    </w:p>
    <w:p>
      <w:pPr>
        <w:pStyle w:val="TextBody"/>
        <w:bidi w:val="0"/>
        <w:spacing w:before="360" w:after="283"/>
        <w:jc w:val="left"/>
        <w:rPr>
          <w:rFonts w:ascii="Times New Roman" w:hAnsi="Times New Roman"/>
          <w:i/>
          <w:color w:val="000000"/>
          <w:sz w:val="20"/>
        </w:rPr>
      </w:pPr>
      <w:r>
        <w:rPr>
          <w:rFonts w:ascii="Times New Roman" w:hAnsi="Times New Roman"/>
          <w:i/>
          <w:color w:val="000000"/>
          <w:sz w:val="20"/>
        </w:rPr>
        <w:t>Restructuring expenses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Restructuring charges were $4.3 million for the six months ended June 30, 2026, compared to zero for the six months ended June 30, 2025.</w:t>
      </w:r>
    </w:p>
    <w:p>
      <w:pPr>
        <w:pStyle w:val="TextBody"/>
        <w:bidi w:val="0"/>
        <w:spacing w:before="360" w:after="283"/>
        <w:jc w:val="left"/>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Other income, net increased by $1.1 million from $5.3 million for the six months ended June 30, 2025 to $6.4 million for the six months ended June 30, 2026. The increase was primarily due to an increase in our average cash, cash equivalents, and marketable securities balance.</w:t>
      </w:r>
    </w:p>
    <w:p>
      <w:pPr>
        <w:pStyle w:val="TextBody"/>
        <w:bidi w:val="0"/>
        <w:spacing w:before="360" w:after="283"/>
        <w:jc w:val="left"/>
        <w:rPr>
          <w:rFonts w:ascii="Times New Roman" w:hAnsi="Times New Roman"/>
          <w:sz w:val="20"/>
        </w:rPr>
      </w:pPr>
      <w:r>
        <w:rPr>
          <w:rFonts w:ascii="Times New Roman" w:hAnsi="Times New Roman"/>
          <w:b/>
          <w:color w:val="000000"/>
          <w:sz w:val="20"/>
        </w:rPr>
        <w:t>Liquidity and Capital Resources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incurred significant operating losses since our inception. We have not generated any revenue from product sales, and, following the discontinuation of our pociredir program, we do not expect to generate revenue from sales of any products if we do not resume our research and development activities. As of June 30, 2026, we have funded our operations primarily with aggregate gross proceeds of $967.5 million from the sale of shares of our capital stock and from upfront payments received under our collaboration and license agreements. As of June 30, 2026, we had cash, cash equivalents, and marketable securities of $318.8 million. </w:t>
      </w:r>
    </w:p>
    <w:p>
      <w:pPr>
        <w:pStyle w:val="TextBody"/>
        <w:bidi w:val="0"/>
        <w:spacing w:before="240" w:after="283"/>
        <w:jc w:val="left"/>
        <w:rPr>
          <w:rFonts w:ascii="Times New Roman" w:hAnsi="Times New Roman"/>
          <w:sz w:val="20"/>
        </w:rPr>
      </w:pPr>
      <w:r>
        <w:rPr>
          <w:rFonts w:ascii="Times New Roman" w:hAnsi="Times New Roman"/>
          <w:color w:val="000000"/>
          <w:sz w:val="20"/>
        </w:rPr>
        <w:t>In February 2024, we entered into a controlled equity offering</w:t>
      </w:r>
      <w:r>
        <w:rPr>
          <w:rFonts w:ascii="Times New Roman" w:hAnsi="Times New Roman"/>
          <w:caps/>
          <w:color w:val="000000"/>
          <w:sz w:val="13"/>
        </w:rPr>
        <w:t>sm</w:t>
      </w:r>
      <w:r>
        <w:rPr>
          <w:rFonts w:ascii="Times New Roman" w:hAnsi="Times New Roman"/>
          <w:caps/>
          <w:color w:val="000000"/>
          <w:sz w:val="20"/>
        </w:rPr>
        <w:t xml:space="preserve"> </w:t>
      </w:r>
      <w:r>
        <w:rPr>
          <w:rFonts w:ascii="Times New Roman" w:hAnsi="Times New Roman"/>
          <w:color w:val="000000"/>
          <w:sz w:val="20"/>
        </w:rPr>
        <w:t>agreement with Cantor Fitzgerald &amp; Co. and Stifel, Nicolaus &amp; Company, Incorporated, as agents, with respect to an at-the-market offering program pursuant to which we may offer and sell, from time to time in our sole discretion, shares of our common stock, par value $0.001 per share, having an aggregate offering price of up to $100.0 million through the agents. As of June 30, 2026, we have not issued or sold any shares of common stock under the at-the-market offering program.</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following table provides information regarding our cash flows for the six months ended June 30, 2026: </w:t>
      </w:r>
    </w:p>
    <w:p>
      <w:pPr>
        <w:pStyle w:val="TextBody"/>
        <w:bidi w:val="0"/>
        <w:jc w:val="left"/>
        <w:rPr/>
      </w:pPr>
      <w:r>
        <w:rPr/>
        <w:t> </w:t>
      </w:r>
    </w:p>
    <w:tbl>
      <w:tblPr>
        <w:tblW w:w="7409" w:type="dxa"/>
        <w:jc w:val="left"/>
        <w:tblInd w:w="0" w:type="dxa"/>
        <w:tblLayout w:type="fixed"/>
        <w:tblCellMar>
          <w:top w:w="28" w:type="dxa"/>
          <w:left w:w="28" w:type="dxa"/>
          <w:bottom w:w="28" w:type="dxa"/>
          <w:right w:w="28" w:type="dxa"/>
        </w:tblCellMar>
      </w:tblPr>
      <w:tblGrid>
        <w:gridCol w:w="4741"/>
        <w:gridCol w:w="146"/>
        <w:gridCol w:w="211"/>
        <w:gridCol w:w="841"/>
        <w:gridCol w:w="166"/>
        <w:gridCol w:w="146"/>
        <w:gridCol w:w="211"/>
        <w:gridCol w:w="736"/>
        <w:gridCol w:w="211"/>
      </w:tblGrid>
      <w:tr>
        <w:trPr/>
        <w:tc>
          <w:tcPr>
            <w:tcW w:w="4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br/>
              <w:t>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(29,077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(114,431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(149,176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(15,620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Net Cash Used in Operating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operating activities was $34.8 million during the six months ended June 30, 2026 compared to $29.1 million during the six months ended June 30, 2025. The increase in net cash used in operating activities of $5.7 million was primarily due to an increase in net loss.</w:t>
      </w:r>
    </w:p>
    <w:p>
      <w:pPr>
        <w:pStyle w:val="TextBody"/>
        <w:bidi w:val="0"/>
        <w:spacing w:before="360" w:after="283"/>
        <w:jc w:val="left"/>
        <w:rPr>
          <w:rFonts w:ascii="Times New Roman" w:hAnsi="Times New Roman"/>
          <w:sz w:val="20"/>
        </w:rPr>
      </w:pPr>
      <w:r>
        <w:rPr>
          <w:rFonts w:ascii="Times New Roman" w:hAnsi="Times New Roman"/>
          <w:i/>
          <w:color w:val="000000"/>
          <w:sz w:val="20"/>
        </w:rPr>
        <w:t>Net Cash (Used in) Provided By Investing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Net cash used in investing activities was $114.4 million during the six months ended June 30, 2026 compared to net cash provided by investing activities of $13.2 million during the six months ended June 30, 2025. The increase in net cash used in investing activities of $127.6 million was primarily due an increase in net purchases of marketable securities during the six months ended June 30, 2026, as compared to net maturities of marketable securities during the six months ended June 30, 2025.</w:t>
      </w:r>
    </w:p>
    <w:p>
      <w:pPr>
        <w:pStyle w:val="TextBody"/>
        <w:bidi w:val="0"/>
        <w:spacing w:before="360" w:after="283"/>
        <w:jc w:val="left"/>
        <w:rPr>
          <w:rFonts w:ascii="Times New Roman" w:hAnsi="Times New Roman"/>
          <w:sz w:val="20"/>
        </w:rPr>
      </w:pPr>
      <w:r>
        <w:rPr>
          <w:rFonts w:ascii="Times New Roman" w:hAnsi="Times New Roman"/>
          <w:i/>
          <w:color w:val="000000"/>
          <w:sz w:val="20"/>
        </w:rPr>
        <w:t>Net Cash Provided By Financing Activities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Net cash provided by financing activities was less than $0.1 million during the six months ended June 30, 2026 compared to $0.3 million during the six months ended June 30, 2025. Net cash provided by financing activities during the six months ended June 30, 2026 consisted of net proceeds of $0.4 million from the issuance of common stock under our benefit plan, partially offset by $0.3 million of offering costs paid in connection with the December 2025 public offering of our common stock and pre-funded warrants. Net cash provided by financing activities during the six months ended June 30, 2025 primarily consisted of net proceeds of $0.3 million from the issuance of common stock under our benefit plans. </w:t>
      </w:r>
    </w:p>
    <w:p>
      <w:pPr>
        <w:pStyle w:val="TextBody"/>
        <w:bidi w:val="0"/>
        <w:spacing w:before="360" w:after="283"/>
        <w:jc w:val="left"/>
        <w:rPr>
          <w:rFonts w:ascii="Times New Roman" w:hAnsi="Times New Roman"/>
          <w:sz w:val="20"/>
        </w:rPr>
      </w:pPr>
      <w:r>
        <w:rPr>
          <w:rFonts w:ascii="Times New Roman" w:hAnsi="Times New Roman"/>
          <w:b/>
          <w:i/>
          <w:color w:val="000000"/>
          <w:sz w:val="20"/>
        </w:rPr>
        <w:t>Funding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Following the discontinuation of pociredir and the restructuring, we expect our operating expenses and cash used in operations to decrease substantially in future periods, offset in the near term by cash outflows for restructuring, costs to exit our facility, including any lease termination costs, and professional and advisory fees incurred in connection with our evaluation of strategic alternatives.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future funding requirements will depend on many factors, including: the outcome, timing and costs of our review of strategic alternatives; the cash outflows required to complete the restructuring; our ongoing costs of operating as a public company; and, if we do not complete a strategic transaction, the costs and timing of a potential dissolution and liquidation.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Critical Accounting Policies and Estimates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management’s discussion and analysis of our financial condition and results of operations are based on our consolidated financial statements, which have been prepared in accordance with generally accepted accounting principles in the United States. The preparation of these consolidated financial statements requires us to make judgments and estimates that affect the reported amounts of assets and liabilities, the disclosure of contingent assets and liabilities at the date of the consolidated financial statements, and the reported amounts of expenses during the reporting periods. Our estimates are based on our historical experience, known trends and events, and on various other factors that we believe are reasonable under the circumstances, the results of which form the basis for making judgments about the carrying value of assets and liabilities and amount of expense recognized that are not readily apparent from other sources. Actual results may differ from these estimates under different assumptions or conditions. We evaluate our estimates and assumptions on an ongoing basis. The effects of material revisions in estimates, if any, will be reflected in the consolidated financial statements prospectively from the date of change in estimates. During the three months ended June 30, 2026, there were no material changes to our critical accounting policies from those described in our Annual Report on Form 10-K filed with the SEC on February 24, 2026, other than as described in Note 2 to our consolidated financial statements appearing elsewhere in this Quarterly Report on Form 10-Q.</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Recently Issued Accounting Pronouncements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disclosed in Note 2 to our consolidated financial statements appearing elsewhere in this Quarterly Report on Form 10-Q.</w:t>
      </w:r>
    </w:p>
    <w:p>
      <w:pPr>
        <w:pStyle w:val="TextBody"/>
        <w:bidi w:val="0"/>
        <w:spacing w:before="360" w:after="283"/>
        <w:jc w:val="left"/>
        <w:rPr>
          <w:rFonts w:ascii="Times New Roman" w:hAnsi="Times New Roman"/>
          <w:b/>
          <w:color w:val="000000"/>
          <w:sz w:val="20"/>
        </w:rPr>
      </w:pPr>
      <w:bookmarkStart w:id="10" w:name="item_3_quantitative_qualitative_disclosu"/>
      <w:bookmarkEnd w:id="10"/>
      <w:r>
        <w:rPr>
          <w:rFonts w:ascii="Times New Roman" w:hAnsi="Times New Roman"/>
          <w:b/>
          <w:color w:val="000000"/>
          <w:sz w:val="20"/>
        </w:rPr>
        <w:t>Item 3. Quantitative and Qualitative Disclosures About Market Risk.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a smaller reporting company, as defined in Rule 12b-2 under the Securities Exchange Act of 1934, as amended, for this reporting period and are not required to provide the information required under this item.</w:t>
      </w:r>
    </w:p>
    <w:p>
      <w:pPr>
        <w:pStyle w:val="TextBody"/>
        <w:bidi w:val="0"/>
        <w:spacing w:before="360" w:after="283"/>
        <w:jc w:val="left"/>
        <w:rPr>
          <w:rFonts w:ascii="Times New Roman" w:hAnsi="Times New Roman"/>
          <w:b/>
          <w:color w:val="000000"/>
          <w:sz w:val="20"/>
        </w:rPr>
      </w:pPr>
      <w:bookmarkStart w:id="11" w:name="item_4_controls_procedures"/>
      <w:bookmarkEnd w:id="11"/>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Our management, with the participation of our Chief Executive Officer (our principal executive officer) and our Chief Financial Officer (our principal financial officer), evaluated the effectiveness of our disclosure controls and procedures as of June 30, 2026. The term “disclosure controls and procedures,” as defined in Rules 13a-15(e) and 15d-15(e) under the Securities Exchange Act of 1934, as amended, or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Based on the evaluation of our disclosure controls and procedures as of June 30, 2026, our Chief Executive Officer and our Chief Financial Officer concluded that, as of such date, our disclosure controls and procedures were effective at the reasonable assurance level.</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There was no change in our internal control over financial reporting (as defined in Rules 13a-15(f) and 15(d)-15(f) under the Exchange Act) that occurred during the period covered by this Quarterly Report on Form 10-Q that has materially affected, or is reasonably likely to materially affect, our internal control over financial reporting.</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2" w:name="part_iior_information_1"/>
      <w:bookmarkEnd w:id="12"/>
      <w:r>
        <w:rPr>
          <w:rFonts w:ascii="Times New Roman" w:hAnsi="Times New Roman"/>
          <w:b/>
          <w:color w:val="000000"/>
          <w:sz w:val="20"/>
        </w:rPr>
        <w:t>PART II—OTHER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3" w:name="item_1_legal_proceedings"/>
      <w:bookmarkStart w:id="14" w:name="item_1_legal_proceedings_1"/>
      <w:bookmarkEnd w:id="13"/>
      <w:bookmarkEnd w:id="14"/>
      <w:r>
        <w:rPr>
          <w:rFonts w:ascii="Times New Roman" w:hAnsi="Times New Roman"/>
          <w:b/>
          <w:color w:val="000000"/>
          <w:sz w:val="20"/>
        </w:rPr>
        <w:t>Item 1. Legal Proceedings.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left"/>
        <w:rPr>
          <w:rFonts w:ascii="Times New Roman" w:hAnsi="Times New Roman"/>
          <w:b/>
          <w:color w:val="000000"/>
          <w:sz w:val="20"/>
        </w:rPr>
      </w:pPr>
      <w:bookmarkStart w:id="15" w:name="item_1a_risk_factors_1"/>
      <w:bookmarkEnd w:id="15"/>
      <w:r>
        <w:rPr>
          <w:rFonts w:ascii="Times New Roman" w:hAnsi="Times New Roman"/>
          <w:b/>
          <w:color w:val="000000"/>
          <w:sz w:val="20"/>
        </w:rPr>
        <w:t>Item 1A. Risk Factors.</w:t>
      </w:r>
    </w:p>
    <w:p>
      <w:pPr>
        <w:pStyle w:val="TextBody"/>
        <w:bidi w:val="0"/>
        <w:spacing w:before="240" w:after="283"/>
        <w:jc w:val="left"/>
        <w:rPr>
          <w:rFonts w:ascii="Times New Roman" w:hAnsi="Times New Roman"/>
          <w:sz w:val="20"/>
        </w:rPr>
      </w:pPr>
      <w:r>
        <w:rPr>
          <w:rFonts w:ascii="Times New Roman" w:hAnsi="Times New Roman"/>
          <w:i/>
          <w:color w:val="000000"/>
          <w:sz w:val="20"/>
        </w:rPr>
        <w:t>Our future operating results could differ materially from the results described in this Quarterly Report on Form 10-Q due to the risks and uncertainties described below. You should consider carefully the following information about risks below in evaluating our business. If any of the following risks actually occur, our business, financial conditions, results of operations and future growth prospects would likely be materially and adversely affected. In these circumstances, the market price of our common stock would likely decline. In addition, we cannot assure investors that our assumptions and expectations will prove to be correct. Important factors could cause our actual results to differ materially from those indicated or implied by forward-looking statements. See “Cautionary Note Regarding Forward-Looking Statements” on page i of this Quarterly Report on Form 10-Q for a discussion of some of the forward-looking statements that are qualified by these risk factors. Factors that could cause or contribute to such differences include those factors discussed below.</w:t>
      </w:r>
      <w:r>
        <w:rPr>
          <w:rFonts w:ascii="Times New Roman" w:hAnsi="Times New Roman"/>
          <w:color w:val="000000"/>
          <w:sz w:val="20"/>
        </w:rPr>
        <w:t xml:space="preserve">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Financial Position and Need for Additional Capital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incurred significant losses since our inception. We expect to incur losses over the next several years and may never achieve or maintain profitability.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Since inception, we have incurred significant operating losses. Our net loss was $74.9 million for the year ended December 31, 2025 and $45.1 million for the six months ended June 30, 2026. As of June 30, 2026, we had an accumulated deficit of $639.3 million. To date, we have funded our operations primarily from the sale of shares of our capital stock and from upfront payments received under our collaboration and license agreements. We have devoted substantially all of our financial resources and efforts to research and development, including clinical trials and preclinical studies. We have not completed development of any product candidates. We expect to continue to incur significant additional expenses and operating losses. Our net losses may fluctuate significantly from quarter to quarter and year to year.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June 2026, we announced the discontinuation of our pociredir program for the treatment of SCD and the initiation of a comprehensive review of strategic alternatives intended to maximize stockholder value, including, but not limited to, a merger, acquisition, business combination, or other strategic transactions involving the company or its assets. In connection with this review, we initiated efforts to significantly reduce our operating expenses and preserve capital, including the approval of a restructuring plan to reduce our workforce by approximately 85%. We expect to incur costs and expenditures in connection with the process of evaluating our strategic alternatives and we will continue to incur costs associated with operating as a public company. The process of continuing to evaluate strategic transactions may be costly, time-consuming and complex, and we may incur significant costs related to these processes, such as legal, accounting and advisory fees and expenses and other related charges. A considerable portion of these costs will be incurred regardless of whether any particular course of action is implemented or transaction is complete. Any such expenses will decrease the remaining cash available for use in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resume development of our product candidates in the future, we anticipate that our expenses will increase substantially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undertake clinical development of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preclinical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pursue the discovery of drug targets for other genetically-defined rare diseases and the subsequent development of any resulting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for any product candidates that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products, product candidates, technologies and/or data referencing rights and make any milestone payments thereunder;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 expand, enforce, defend and protect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hire additional clinical, regulatory, manufacturing, quality control;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scientific personnel and other areas of expertise as needed;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scale up our manufacturing processes and capabilities, or arrange for a third party to do so on our behalf, to support our clinical trials of any product candidate and commercialization of any of product candidates for which we may obtain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establish a sales, marketing and distribution infrastructure to commercialize any products for which we may obtain regulatory approval and that we have not out-licensed;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 operational, financial and management information systems and personnel, including personnel to support our product development and any future commercialization efforts, as needed, and our operations as a public company.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resume development of our product candidates in the future, to become and remain profitable, we must succeed in developing, and eventually commercializing, a product or products that generate significant revenue. The ability to achieve this success will require us to be effective in a range of challenging activities, including completing preclinical testing and clinical trials of our product candidates, discovering additional product candidates, obtaining regulatory approval for these product candidates and manufacturing, marketing and selling any products for which we may obtain regulatory approval. We are only in the preliminary stages of most of these activities for our current product candidates. We may never succeed in these activities and, even if we do, may never generate revenues that are significant enough to achieve profitability. Because of the numerous risks and uncertainties associated with pharmaceutical product development, we are unable to accurately predict the timing or amount of increased expenses or when, or if, we will be able to achieve profitability. Our expenses will increase if,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required by the FDA, the EMA, or other regulatory authorities to perform trials or studies in addition to, or different than, those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any delays in clinical development of any future product candidates, such as due to clinical holds imposed by the FDA, or due to enrollment challenges;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any third-party challenges to our intellectual property or we need to defend against any intellectual property-related claim.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pipeline of product candidates or even continue our operations. A decline in the value of our company could also cause our stockholders to lose all or part of their investment. </w:t>
      </w:r>
    </w:p>
    <w:p>
      <w:pPr>
        <w:pStyle w:val="TextBody"/>
        <w:bidi w:val="0"/>
        <w:spacing w:before="360" w:after="283"/>
        <w:jc w:val="left"/>
        <w:rPr>
          <w:rFonts w:ascii="Times New Roman" w:hAnsi="Times New Roman"/>
          <w:sz w:val="20"/>
        </w:rPr>
      </w:pPr>
      <w:r>
        <w:rPr>
          <w:rFonts w:ascii="Times New Roman" w:hAnsi="Times New Roman"/>
          <w:b/>
          <w:i/>
          <w:color w:val="000000"/>
          <w:sz w:val="20"/>
        </w:rPr>
        <w:t>Any financial or strategic option we pursue may not be successful.</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June 2026, we announced the discontinuation of our pociredir program for the treatment of SCD and the initiation of a comprehensive review of strategic alternatives intended to maximize stockholder value, including, but not limited to, a merger, acquisition, business combination, or other strategic transactions involving the company or its assets. The process of evaluating these strategic options may be costly, take more time than anticipated, present time-consuming and complex issues and we may incur significant costs related to this ongoing evaluation, such as legal, accounting and advisory fees and expenses and other related charges. There can be no assurance of identification, let alone, completion of any particular course of action or a defined timeline for completion, and we can provide no assurance that any strategic alternative we identify or pursue will have a positive impact on our results of operations or financial condition.</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decision to implement a restructuring plan may not result in the anticipated savings and may adversely affect our business.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our decision to cease development of pociredir, our board approved a restructuring plan to significantly reduce our operating expenses and preserve capital. The restructuring plan, which was substantially completed during the second quarter, reduced our workforce by approximately 85%, from 57 full-time employees to nine full-time employees. We may not realize, in full or in part, the anticipated benefits and savings in operating expenses from this decision. This workforce reduction may make 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more challenging to pursue strategic alternatives. If we are unable to realize the expected cost savings, our financial condition could be adversely affected, and it may be more difficult to complete a potential strategic transaction.</w:t>
      </w:r>
    </w:p>
    <w:p>
      <w:pPr>
        <w:pStyle w:val="TextBody"/>
        <w:bidi w:val="0"/>
        <w:spacing w:before="360" w:after="283"/>
        <w:jc w:val="left"/>
        <w:rPr>
          <w:rFonts w:ascii="Times New Roman" w:hAnsi="Times New Roman"/>
          <w:sz w:val="20"/>
        </w:rPr>
      </w:pPr>
      <w:r>
        <w:rPr>
          <w:rFonts w:ascii="Times New Roman" w:hAnsi="Times New Roman"/>
          <w:b/>
          <w:i/>
          <w:color w:val="000000"/>
          <w:sz w:val="20"/>
        </w:rPr>
        <w:t>To the extent we resume development of any product candidates in the future, we will need substantial additional funding. If we are unable to raise capital when needed, we could be forced to delay, reduce or eliminate our product development programs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are currently evaluating strategic alternatives to maximize stockholder value, if we determine to shift our focus to research and development and initiate additional clinical trials of, and seek regulatory approval for any future product candidates, we would need substantial additional funding. We expect our expenses would increase substantially if we shift our current activities, back to advancing product candidates through preclinical and clinical development. In addition, if we obtain regulatory approval for any of our product candidates, we expect to incur significant commercialization expenses related to product manufacturing, sales, marketing and distribution, particularly if we do not out-license our product candidate. Accordingly, we will need to obtain substantial additional funding in connection with our continuing operations. Given current uncertainty in the capital markets and other factors, such funding may not be available on terms favorable to us or at all. If we are unable to raise capital when needed or on acceptable terms, we could be forced to delay, reduce or eliminate our research and development programs or any future commercialization efforts.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future capital requirements will depend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progress, costs and results of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planned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progress, costs and results of discovery research, preclinical development, laboratory testing and clinical trials for any of our product candidates in additional indications or for any future product candidates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and development requirements for product candidates that we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timing and outcome of regulatory review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enter into contract manufacturing arrangements for supply of active pharmaceutical ingredient, or API, and manufacture of our product candidates and the terms of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additional strategic collaborations, licensing or other arrangements and the financial terms of such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payment or receipt of milestones, royalties and other collaboration-based revenues,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costs and timing of future commercialization activities, including product manufacturing, sales, marketing and distribution, for any of our product candidates for which we may receive marketing approval and that we do not out-license for commercialization;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amount and timing of revenue, if any, received from commercial sales of our product candidates for which we receive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preparing, filing and prosecuting patent applications, maintaining and enforcing our intellectual property and proprietary rights and defending any intellectual property-related claims;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we acquire or in-license other products, product candidates, technologies or data referencing rights.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June 30, 2026, we had cash, cash equivalents, and marketable securities of approximately $318.8 million. We believe that our cash, cash equivalents, and marketable securities as of June 30, 2026 will enable us to fund our operating expenses and capital expenditure requirements into 2029. However, we have based this estimate on assumptions that may prove to be wrong, and our operating plan may change as a result of many factors currently unknown to us. As a result, we could deplete our capital resources sooner than we currently expect.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Identifying potential product candidates and conducting preclinical testing and clinical trials is a time-consuming, expensive and uncertain process that takes years to complete, and we may never generate the necessary data or results required to obtain regulatory approval and achieve product sales. For example, we invested significant time and effort into developing losmapimod for facioscapulohumeral muscular dystrophy, or FSHD but did not demonstrate a statistically significant difference between losmapimod and placebo on the primary endpoint in the Phase 3 REACH trial, for which we announced topline data in September 2024, and we thereafter discontinued development. We also invested significant time and effort into developing pociredir for the treatment of SCD, but discontinued development after end-of-phase I meeting minutes received in late May 2026 reflected heightened FDA concerns regarding pociredir's benefit-risk profile in SCD, stemming from an unexpectedly high rate of secondary hematologic malignancies observed with Tazverik® (tazemetostat), another PRC2 inhibitor. FDA concluded that any pharmacological intervention targeting the PRC2 complex carries equivalent malignancy risk regardless of the specific subunit engaged. FDA’s position is informed by pociredir's previously disclosed preclinical malignancy observations and left no viable regulatory path forward for further clinical development of pociredir.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addition, our product candidates, if approved, may not achieve commercial success. Commercial revenues, if any, will not be derived unless and until we can achieve sales of products, which we do not anticipate for several years, if at all. Accordingly, we will need to continue to rely on additional financing to achieve our business objectives. Adequate additional financing may not be available to us on acceptable terms, or at all, and may become even more difficult to obtain due to rising interest rates and the recent downturn in the U.S. capital markets and the biotechnology sector in general. In addition, we may seek additional capital due to favorable market conditions or strategic considerations, even if we believe we have sufficient funds for our current or future operating plans. If adequate funds are not available to us on a timely basis, we may be required to delay, limit, reduce or terminate preclinical studies, clinical trials or other development activities for one or more of our product candidates or discovery stage programs or delay, limit, reduce or terminate our establishment of sales and marketing capabilities or other activities that may be necessary to bring our product candidates to market. We may also choose to further realign our operations to achieve additional operational efficiencies as we have done in the past.</w:t>
      </w:r>
    </w:p>
    <w:p>
      <w:pPr>
        <w:pStyle w:val="TextBody"/>
        <w:bidi w:val="0"/>
        <w:spacing w:before="36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Until such time, if ever, as we can generate substantial product revenues, we expect to finance our cash needs through a combination of equity offerings, debt financings, collaborations, strategic alliances and marketing, distribution or licensing arrangements. We do not have any committed external source of funds. To the extent that we raise additional capital through the sale of equity or convertible debt securities, our stockholders’ ownership interests will be diluted, and the terms of these securities may include liquidation or other preferences that adversely affect our stockholders’ rights as common stockholders. Debt financing and preferred equity financing, if available, may involve agreements that include covenants limiting or restricting our ability to take specific actions, such as incurring additional debt, selling or licensing our assets, making capital expenditures or declaring dividends.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We have in the past relied, and in the future may rely, in part on sales of our common stock through an at-the-market, or ATM, offering program. Increased volatility and decreases in market prices of equity securities generally and of our common stock in particular may have an adverse impact on our willingness and/or ability to continue to sell our common stock through our ATM offering program. Decreases in these sales could affect the cost or availability of equity capital, which could in turn have an adverse effect on our business, including current operations, future growth, revenues, net income and the market prices of our common stock.</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February 2024, we established a new ATM offering program to sell shares of our common stock having an aggregate offering price of up to $100.0 million from time to time. Given the overall volatility in the capital markets, we may not be willing or able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continue to raise equity capital through our ATM offering program. We may, therefore, need to turn to other sources of funding that may have terms that are not favorable to us, or reduce our business operations given capital constraints.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Alternative financing arrangements could involve issuances of one or more types of securities, including common stock, preferred stock, convertible debt, warrants to acquire common stock or other securities. These securities could be issued at or below the then prevailing market price for our common stock. In addition, if we issue debt securities, the holders of the debt would have a claim to our assets that would be superior to the rights of stockholders until the principal, accrued and unpaid interest and any premium or make-whole has been paid. In addition, if we borrow funds and/or issue debt securities through a subsidiary, the lenders and/or holders of those debt securities would have a right to payment that would be effectively senior to our equity ownership in the subsidiary, which would adversely affect the rights of holders of both our equity securities and, if any, our debt and debt securities.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Interest on any newly-issued debt securities and/or newly-incurred borrowings would increase our operating costs and reduce our net income, and these impacts may be material. If the issuance of new securities results in diminished rights to holders of our common stock, the market price of our common stock could be materially and adversely affected. Should the financing we require to sustain our working capital needs be unavailable or prohibitively expensive when we require it, the consequences could result in a material adverse effect on our business, operating results, financial condition and prospects.</w:t>
      </w:r>
    </w:p>
    <w:p>
      <w:pPr>
        <w:pStyle w:val="TextBody"/>
        <w:bidi w:val="0"/>
        <w:spacing w:before="360" w:after="283"/>
        <w:jc w:val="left"/>
        <w:rPr>
          <w:rFonts w:ascii="Times New Roman" w:hAnsi="Times New Roman"/>
          <w:sz w:val="20"/>
        </w:rPr>
      </w:pPr>
      <w:r>
        <w:rPr>
          <w:rFonts w:ascii="Times New Roman" w:hAnsi="Times New Roman"/>
          <w:b/>
          <w:i/>
          <w:color w:val="000000"/>
          <w:sz w:val="20"/>
        </w:rPr>
        <w:t>Our operations have primarily been focused on research and development and conducting clinical trials, which may make it difficult for stockholders to evaluate the success of our business to date and to assess our future viability.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commenced activities in 2015 and are a clinical-stage biotechnology company. Until our recent focus on evaluating strategic alternatives to maximize stockholder value, our operations had been limited to organizing and staffing our company, business planning, raising capital, establishing our intellectual property, building our discovery platform, identifying drug targets and potential product candidates, in-licensing assets, producing drug substance and drug product material for use in clinical trials and conducting preclinical studies and clinical trials. We have not yet demonstrated our ability to successfully develop any product candidate, obtain regulatory approvals, manufacture a commercial scale product or arrange for a third party to do so on our behalf, or conduct sales and marketing activities necessary for successful product commercialization or arrange for a third party to do so on our behalf. Consequently, any predictions stockholders make about our future success or viability may not be as accurate as they could be if we had a history of successfully developing and commercializing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as our business evolves, we may encounter unforeseen expenses, difficulties, complications, delays and other known and unknown factors, such as our recent announcement to discontinue our pociredir program and our September 2024 announcement that our Phase 3 REACH trial evaluating losmapimod for FSHD did not achieve its primary endpoint of change from baseline in relative surface area compared to placebo. If we shift our focus back to moving our current pipeline programs through the clinic, we will need to transition at some point from a company with a research and development focus to a company capable of supporting commercial activities. We may not be successful in such a transition.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expect our financial condition and operating results to fluctuate significantly from quarter-to-quarter and year-to-year due to a variety of factors, many of which are beyond our control. Accordingly, stockholders should not rely upon the results of any quarterly or annual periods as indications of future operating performance.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Changes in tax laws or in their implementation or interpretation may adversely affect our business and financial condition.</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rules dealing with U.S. federal, state, and local income taxation are constantly under review by persons involved in the legislative process and by the Internal Revenue Service and the U.S. Treasury Department. Changes to tax laws (which changes may have retroactive application), including with respect to net operating losses and research and development tax credits, could adversely affect us or holders of our common stock. In recent years, many such changes have been made and changes are likely to continue to occur in the future. For example, legislation commonly referred to as the One Big Beautiful Bill Act, or OBBBA, enacted in July 2025, made significant changes to the U.S. tax laws. While the OBBBA did not have a material impact on our consolidated financial position and results of operations, future changes in tax laws could have a material adverse effect on our business, cash flow, financial condition or results of operations. We urge investors to consult with their legal and tax advisers regarding the implications of potential changes in tax laws on an investment in our common stock.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ability to use our net operating losses and research and development tax credit carryforwards to offset future taxable income may be subject to certain limitations.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As of December 31, 2025, we had federal net operating loss carryforwards of $102.8 million, which may be available to offset future taxable income and do not expire, but are limited in their usage to an annual deduction equal to 80% of annual taxable income. As of December 31, 2025, we had state net operating loss carryforwards of $96.9 million, which begin to expire in 2044. As of December 31, 2025, we also had federal orphan drug credits of $7.5 million, which begin to expire in 2044. As of December 31, 2025, we also had federal and state research and development tax credit carryforwards of $1.2 million and $0.2 million, respectively, which begin to expire in 2039. These net operating loss and tax credit carryforwards could expire unused and be unavailable to offset future income tax liabilities.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general, under Section 382 of the Code, or Section 382, and corresponding provisions of state law, a corporation that undergoes an “ownership change,” which is generally defined as a greater than 50% change, by value, in its equity ownership by certain stockholders over a three-year period, is subject to limitations on its ability to utilize its pre-change net operating losses and research and development tax credit carryforwards to offset future taxable income. We conducted an analysis under Section 382 through December 31, 2024 and determined that for purposes of Section 382, we were deemed to have undergone an ownership change as of September 12, 2024. Accordingly, we determined that all net operating loss carryforwards and credits generated before September 12, 2024 are limited. As a result, the carryforwards before the deemed ownership change date of September 12, 2024 are not available for utilization and have been written off. The carryforwards as of December 31, 2025 were generated after the deemed ownership change. We have not conducted a study to assess whether a change of control has occurred or whether there have been multiple changes of control since December 31, 2024, or if any strategic alternative we may pursue would be deemed an “ownership change.” If we have experienced a change of control, as defined by Section 382, subsequent to December 31, 2024, utilization of the net operating loss carryforwards or research and development tax credit carryforwards would be subject to an annual limitation under Section 382. Any limitation may result in expiration of a portion of the net operating loss carryforwards or research and development tax credit carryforwards before utilization. Further, until a study is completed and any limitation is known, no amounts are being presented as an uncertain tax position.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 history of cumulative losses and anticipate that we will continue to incur significant losses in the foreseeable future; thus, we do not know whether or when we will generate taxable income necessary to utilize our net operating losses or research and development tax credit carryforwards.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Adverse developments affecting the financial services industry, such as actual events or concerns involving liquidity, defaults or non-performance by financial institutions or transactional counterparties, could adversely affect our current and projected business operations and financial condition and results of operations.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Events involving limited liquidity, defaults, non-performance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In 2023, a number of banks were placed into receivership. Even 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affecting the financial services industry or economy in general, such as these recent bank failures. These factors could also include, among others, liquidity constraints or failures, the ability to perform obligations under various types of financial, credit or liquidity agreements or arrangements, disruptions or instability in the financial services industry or financial markets, or concerns or negative expectations about the prospects for companies in the financial services industry and the supervision thereof. In addition, investor concerns regarding the United States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 Any decline in available funding or access to our cash and liquidity resources could, among other risks, adversely impact our ability to meet our operating expenses, financial obligations or fulfill our other obligations, result in breaches of our contractual obligations or result in violations of federal or state wage and hour laws, which could have material adverse effect on our liquidity and on our business, financial condition or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Discovery and Development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early in our development efforts and we do not have any product candidates in active clinical development. If we are unable to commercialize directly or out-license to a third party any of our product candidates or experience significant delays in doing so, our business will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early in our development efforts, and we have advanced only two product candidates into clinical trials (the first of which did not meet its primary endpoint, and the second of which was recently discontinued from development due to FDA concerns regarding safety-benefit profile). As a result, we currently do not have any product candidates in active clinical development. We have invested substantially all of our efforts and financial resources in identifying and validating and conducting clinical trials on cellular drug targets that can potentially modulate gene expression to address the root cause of genetically-defined rare diseases. Our ability to generate product revenues, which we do not expect will occur for several years, if ever, will depend heavily on the successful development, regulatory approval and eventual commercialization of any of our product candidates. The success of any of our product candidates will depend on several factors, including the following: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completing preclinical studies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clearance by the FDA or other regulatory agencies of the INDs, clinical trial applications, or CTAs, or other regulatory filings;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and maintaining a workforce of experienced scientists and others to continue development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applying for and receiving marketing approvals from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intellectual property protection and regulatory exclusivity;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making arrangements with third-party manufacturers for, or establishing, commercial manufacturing capabilities;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sales, marketing and distribution capabilities and successfully launching commercial sales, if and when approved, whether alone or in collaboration with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acceptance, if and when approved,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effectively competing with other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coverage, adequate pricing and adequate reimbursement from third-party payors, including government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enforcing, defending and protecting our rights in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infringing, misappropriating or otherwise violating others’ intellectual property or proprietary rights;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 continued acceptable safety profile following receipt of any regulatory approvals.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do not achieve one or more of these factors in a timely manner or at all, we could experience significant delays or an inability to successfully develop and commercialize any product candidates, which would materially harm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successful in our efforts to build a pipeline of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strategy is focused on developing small molecules to improve the lives of patients with genetically defined rare diseases. Even if we are successful in identifying drug targets and potential product candidates, such candidates that we identify may not be suitable for clinical development, including as a result of being shown to have harmful side effects or other characteristics that indicate that they are unlikely to receive marketing approval and achieve market acceptance. Identifying, developing, obtaining regulatory approval for and commercializing additional product candidates will require substantial additional funding and is prone to the risks of failure inherent in product development. We cannot provide stockholders any assurance that we will be able to successfully identify additional product candidates, advance any additional product candidates through the development process or successfully commercialize any such additional product candidates. Regulatory authorities have substantial discretion in the approval process and may cause delays in the approval or rejection of an application. As a result of these factors, it is difficult for us to predict the time and cost of product candidate development. There can be no assurance that any development problems we experience in the future related to our discovery technologies or any of our research or development programs will not cause significant delays or unanticipated costs, or that such development problems can be solved. If we do not successfully identify, develop, obtain regulatory approval for and commercialize product candidates, we will not be able to generate product revenues.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Clinical drug development involves a lengthy and expensive process, with an uncertain outcome. The results of preclinical studies and early clinical trials may not be predictive of future results. We may incur additional costs or experience delays in completing, or ultimately be unable to complete, the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After the discontinuation of our pociredir program for the treatment of SCD, we do not have any product candidates in active clinical development. The risk of failure for product candidates is high and it is impossible to predict when or if any of our product candidates will prove effective or safe in humans or will receive regulatory approval. Before obtaining marketing approval from regulatory authorities for the sale of any product candidate, we must complete preclinical development and then conduct extensive clinical trials to demonstrate the safety and efficacy of our product candidate in humans. We have not yet completed a pivotal clinical trial of any product candidate that demonstrated that our product candidate is safe and effective for its intended use. For example, in September 2024, we announced that REACH, our Phase 3 trial evaluating losmapimod in patients with FSHD, did not successfully achieve its primary endpoint as compared to placebo, and we suspended further development of losmapimod. Additionally, we recently announced the discontinuation of our pociredir program for the treatment of SCD. Pociredir is an EED inhibitor. EED is a member of the PRC2 complex, which also includes EZH2. There are approved products in the EZH2 class of medications and their approved labeling outlines safety risks, including an increased risk of malignancies. In late May 2026, we received meeting minutes from recent end-of-phase interactions with the FDA that reflected heightened FDA concerns regarding pociredir's benefit-risk profile in SCD, due to</w:t>
      </w:r>
      <w:r>
        <w:rPr>
          <w:rFonts w:ascii="Times New Roman" w:hAnsi="Times New Roman"/>
          <w:color w:val="2E2E2E"/>
          <w:sz w:val="20"/>
        </w:rPr>
        <w:t xml:space="preserve"> </w:t>
      </w:r>
      <w:r>
        <w:rPr>
          <w:rFonts w:ascii="Times New Roman" w:hAnsi="Times New Roman"/>
          <w:color w:val="000000"/>
          <w:sz w:val="20"/>
        </w:rPr>
        <w:t xml:space="preserve">potential malignancy risk associated with pociredir’s inhibition of the PRC2 complex given the experience with Tazverik® (tazemetostat), another PRC2 inhibitor, which was withdrawn from the global market in March 2026, leaving no viable regulatory path forward for further clinical development of pociredir. Even if potential future clinical trials are successful, changes in marketing approval policies during the development period, changes in or the enactment or promulgation of additional statutes, regulations or guidance or changes in regulatory review for each submitted product application may cause delays in the approval or rejection of an application.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we can commence clinical trials for a product candidate, we must complete extensive preclinical testing and studies that support any planned INDs and other regulatory filings in the United States and abroad. We cannot be certain of the timely completion or outcome of our preclinical testing and studies and cannot predict if the FDA or other regulatory agencies will accept our proposed clinical programs or if the outcome of our preclinical testing and studies will ultimately support the further development of our current or future product candidates. As a result, we cannot be sure that we will be able to submit INDs or similar applications for our preclinical programs on the timelines we expect, if at all, and we cannot be sure that submission of INDs or similar applications will result in the FDA or other regulatory authorities allowing clinical trials to begin or continue. For example, in February 2023, the FDA imposed a clinical hold on our IND for pociredir in SCD (which was lifted in August 2023). Product candidates are subject to continued preclinical safety studies, which may be conducted concurrent with our clinical testing. The outcomes of these safety studies may delay the launch of or enrollment in future clinical trials and could impact our ability to continue to conduct our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difficult to design and implement, can take many years to complete and is uncertain as to outcome. We cannot guarantee that any clinical trials will be conducted as planned or completed on schedule, or at all. For example, we revised the inclusion and exclusion criteria of our Phase 1b clinical trial of pociredir in SCD to address the clinical hold imposed by the FDA, and initially experienced some difficulty enrolling patients who meet the updated more stringent criteria. A failure of one or more clinical trials can occur at any stage of testing, which may result from a multitude of factors, including, but not limited to, flaws in study design, dose selection issues, placebo effects, patient enrollment criteria and failure to demonstrate favorable safety or efficacy traits. For example, in September 2024 we suspended further development of losmapimod after topline data from the Phase 3 REACH trial indicated that it did not achieve its primary endpoint of change from baseline in relative surface area, a measure of reachable work space, compared to placebo. The outcome of preclinical testing and early clinical trials may not be predictive of the success of later clinical trials, and preliminary or interim results of a clinical trial do not necessarily predict final results. For example, our product candidates may fail to show the desired safety and efficacy in clinical development despite positive results in preclinical studies or having successfully advanced through initial clinical trials. A lack of clinical benefit may be due to insufficient dosing or for other reasons. Many companies in the pharmaceutical and biotechnology industries have suffered significant setbacks in late-stage clinical trials even after achieving promising results in preclinical testing and earlier-stage clinical trials, and we cannot be certain that we will not face similar setbacks.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 Furthermore, the failure of any of our product candidates to demonstrate safety and efficacy in any clinical trial could negatively impact the perception of our other product candidates and/or cause the FDA or other regulatory authorities to require additional testing before approving any of our product candidates.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experience numerous unforeseen events during, or as a result of, clinical trials that could delay or prevent our ability to receive marketing approval or commercialize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institutional review boards, or IRBs, may not authorize us or our investigators to commence a clinical trial or conduct a clinical trial at a prospective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delays in reaching, or fail to reach, agreement on acceptable clinical trial contracts or clinical trial protocols with prospective trial sites;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may decide the design of our clinical trials is flawed, for example if our trial protocol does not evaluate treatment effects in trial subjects for a sufficient length of time;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may produce negative or inconclusive results, such as with the Phase 3 REACH trial, and we may decide, or regulators may require us, to conduct additional clinical trials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establish clinical endpoints that applicable regulatory authorities would consider clinically meaningful, or, if we seek accelerated approval, biomarker efficacy endpoints that applicable regulatory authorities would consider likely to predict clinical benefit;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preclinical testing may produce results based on which we may decide, or regulators may require us, to conduct additional preclinical studies before we proceed with certain clinical trials, limit the scope of our clinical trials, halt ongoing clinical trial(s) or abandon product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patients required for clinical trials of our product candidates may be larger than we anticipate, enrollment in these clinical trials may be slower than we anticipate (for example, we initially experienced difficulty enrolling patients who met the updated inclusion and exclusion criteria for our trial of pociredir in SCD) or participants may drop out of these clinical trials at a higher rate than we anticipate, or fail to complete follow-up periods;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contractors may fail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decide, or regulators or IRBs may require us, to suspend or terminate clinical trials of our product candidates for various reasons, including noncompliance with regulatory requirements or a finding that the participants are being exposed to unacceptable health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or IRBs may require us to perform additional or unanticipated clinical trials to obtain approval or we may be subject to additional post-marketing testing requirements to maintain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may revise the requirements for approving our product candidates, or such requirements may not be as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may be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may be insufficient or inadequate;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have undesirable side effects or other unexpected characteristics, causing us or our investigators, regulators or IRBs to suspend or terminate the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unforeseen global instability, including political instability, both ex-U.S. and domestically, or changes in U.S. economic policy that adversely impact the U.S. economy and/or economies worldwide, or instability from an outbreak of pandemic or contagious disease in or around the countries in which we conduct our clinical trials (such as closure of clinical trial sites, as we previously experienced due to COVID-19), could delay the commencement or rate of completion of our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may withdraw their approval of a product or impose restrictions on its distribution, such as in the form of a risk evaluation and mitigation strategy, or REMS.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in February 2023, the FDA imposed a clinical hold on our IND for pociredir in SCD, which halted our clinical trial until the FDA lifted the clinical hold in August 2023. In late May 2026, we received end-of-phase I meeting minutes from the FDA reflecting heightened FDA concerns regarding potential malignancy risk associated with pociredir’s inhibition of the PRC2 complex, which left no viable regulatory path forward for further clinical development of pociredir.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such as our topline data from the Phase 3 REACH trial, or are only modestly positive or if there are safety concerns, we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suspend further development (such as with losmapimod for FSHD);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delayed in obtaining marketing approval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obtain marketing approval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for indications or patient populations that are not as broad as intended or desired;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approval with labeling or a REMS that includes significant use or distribution restrictions or safety warnings;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 subject to additional post-marketing testing requirements;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have the product removed from the market after obtaining marketing approval.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product development costs will also increase if we experience delays in testing or in obtaining marketing approvals. We do not know whether any of our preclinical studies or clinical trials will begin as planned, will need to be restructured or will be completed on schedule, or at all. We may also determine to change the design or protocol of one or more of our clinical trials, including to add additional patients or arms, which could result in increased costs and expenses and/or delays.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 and may harm our business and results of operations.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resume development of our product candidates in the future and experience delays or difficulties in the enrollment of patients in clinical trials, our receipt of necessary regulatory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and qualifying patients to participate in and complete clinical trials for our product candidates is critical to our success. Successful and timely completion of clinical trials requires that we enroll a sufficient number of patients that meet both the enrollment criteria, and who remain in the trial until its conclusion. For example, in our Phase 1b trial of pociredir, although we enrolled six subjects in the initial cohort, only three subjects remained evaluable as of the initial data cutoff date. Subsequently, we modified the study protocol to monitor subject adherence. However, if such protocols do not improve adherence and improve compliance, we may not be able to generate meaningful data. Furthermore, we may not be able to initiate or continue clinical trials for our product candidates if we are unable to locate and enroll a sufficient number of eligible patients to participate in these trials as required by the FDA or similar regulatory authorities outside of the United States. Because of our primary focus on genetically-defined rare diseases, we may have difficulty enrolling a sufficient number of eligible patients.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Patient enrollment is affected by a variety of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eligibility criteria for the trial in question (such as with our trial of pociredir for SCD);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perceived risks and benefits of the product candidate under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requirements of the trial protocols, including invasive procedures;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existing treatments for the indications for which we are conducting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efforts to facilitate timely enrollment in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to obtain and maintain patient consents;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referral practices of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patients adequately during and after treatment;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and availability of clinical trial sites for prospective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conduct of clinical trials by competitors for product candidates that treat the same indications as our current or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identify specific patient populations for biomarker-defined trial cohort(s);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to, or lack of adequate compensation for, prospective patients.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locate and enroll a sufficient number of eligible patients for our clinical trials would result in significant delays, could require us to abandon one or more clinical trials altogether and could delay or prevent our receipt of necessary regulatory approvals.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Enrollment delays in our clinical trials may result in increased development costs for our product candidates, which would cause the value of our company to decline and limit our ability to obtain additional financing.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serious adverse events or unacceptable side effects are identified during the development of our product candidates, we may need to abandon or limit our development of our product candidate.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our product candidates are associated with serious adverse events or undesirable side effects in clinical trials or have characteristics that are unexpected in clinical trials or preclinical testing, we may need to abandon their development or limit development to more narrow uses or subpopulations in which the serious adverse events, undesirable side effects or other characteristics are less prevalent, less severe or more acceptable from a risk-benefit perspective.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in February 2023, the FDA placed our IND for pociredir on clinical hold based on hematological malignancies observed in nonclinical toxicology studies. The FDA noted that the hematologic malignancies observed in our nonclinical studies were consistent with findings reported for other PRC2 inhibitors.. Although the FDA lifted the clinical hold in August 2023 and we resumed the trial, in late May 2026 we received meeting minutes from recent end-of-phase interactions with the FDA that reflected heightened FDA concerns regarding pociredir's benefit-risk profile in SCD, due to potential malignancy risk associated with pociredir’s inhibition of the PRC2 complex given the experience with Tazverik® (tazemetostat), another PRC2 inhibitor, which was withdrawn from the global market in March 2026. FDA’s position is informed by pociredir's previously disclosed preclinical malignancy observations and left no viable regulatory path forward for further clinical development of pociredir.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pharmaceutical development, many compounds that initially show promise in early-stage or clinical testing are later found to cause side effects that delay or prevent further development of the compound.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if results of our clinical trials reveal unacceptable side effects, we, the FDA or the IRBs at the institutions in which our studies are conducted could suspend or terminate our clinical trials or the FDA or comparable foreign regulatory authorities could order us to cease clinical trials or deny approval of our product candidates for any or all targeted indications. Treatment-related side effects could also affect patient recruitment or the ability of enrolled patients to complete any of our clinical trials. If we elect or are forced to suspend or terminate any clinical trial of our product candidates, the commercial prospects of such product candidate will be harmed, and our ability to generate product revenue from such product candidate will be delayed or eliminated. Any of these occurrences could materially harm our business.</w:t>
      </w:r>
    </w:p>
    <w:p>
      <w:pPr>
        <w:pStyle w:val="TextBody"/>
        <w:bidi w:val="0"/>
        <w:spacing w:before="360" w:after="283"/>
        <w:jc w:val="left"/>
        <w:rPr>
          <w:rFonts w:ascii="Times New Roman" w:hAnsi="Times New Roman"/>
          <w:sz w:val="20"/>
        </w:rPr>
      </w:pPr>
      <w:r>
        <w:rPr>
          <w:rFonts w:ascii="Times New Roman" w:hAnsi="Times New Roman"/>
          <w:b/>
          <w:i/>
          <w:color w:val="000000"/>
          <w:sz w:val="20"/>
        </w:rPr>
        <w:t>If any of our product candidates receives marketing approval and we, or others, later discover that the drug is less effective than previously believed or causes undesirable side effects that were not previously identified, our ability to market the drug could be compromised.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are conducted in carefully defined subsets of patients who have agreed to enter into clinical trials. Consequently, it is possible that our clinical trials may indicate an apparent positive effect of a product candidate that is greater than the actual positive effect, if any, or alternatively fail to identify undesirable side effects. If one or more of our product candidates receives regulatory approval, and we, or others, later discover that they are less effective than previously believed, or cause undesirable side effects, a number of potentially significant negative consequences could result,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withdrawal or limitation by regulatory authorities of approvals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seizure of the product by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of the product or the manufacturing process for any component thereof;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 by regulatory authorities of additional warnings on the label, such as a “black box” warning or contraindication;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 that we implement a REMS or create a medication guide outlining the risks of such side effects for distribution to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commitment to expensive post-marketing studies as a prerequisite of approval by regulatory authorities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may become less competitive;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regulatory investigations and government enforcement actions;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legal action against us to hold us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harm to our reputation and resulting harm to physician or patient acceptance of our products.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a particular product candidate, if approved, and could significantly harm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are focusing our research and development efforts on rare neuromuscular, muscular, hematologic and central nervous system disorders.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For example, we devoted significant time, effort and capital on our losmapimod program but suspended further development when it did not meet its primary endpoint in the Phase 3 REACH trial.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Failure to allocate resources or capitalize on strategies in a successful manner will have an adverse impact on our business.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the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any of our product candidates receives marketing approval, it may fail to achieve the degree of market acceptance by physicians, patients, third-party payors and others in the medical community necessary for commercial success, and the market opportunity for any of our product candidates, if approved, may be smaller than we estimate.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receives marketing approval, it may nonetheless fail to gain sufficient market acceptance by physicians, patients, third-party payors and others in the medical community. Efforts to educate the medical community and third-party payors on the benefits of our product candidates may require significant resources and may not be successful. If our product candidates do not achieve an adequate level of acceptance, we may not generate significant product revenues and we may not become profitable. The degree of market acceptance of our product candidates,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potential advantages of our product candidates compared to the advantages and relative risks of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effectiveness of sales and marketing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treatment in relation to alternative treatments, including any similar generic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offer our products, if approved,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convenience and ease of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third-party coverage and adequate reimbursement, and patients’ willingness to pay out of pocket for required co-payments or in the absence of third-party coverage or adequate reimbursement;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restrictions on the use of our products, if approved, together with other medications.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assessment of the potential market opportunity for our product candidates is based on industry and market data that we obtained from industry publications and research, surveys and studies conducted by third parties, one of which we commissioned.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we have not independently verified such data. Our estimates of the potential market opportunities for our product candidates include several key assumptions based on our industry knowledge, industry publications and third-party research, surveys and studies, which may be based on a small sample size and fail to accurately reflect market opportunities. While we believe that our internal assumptions are reasonable, no independent source has verified such assumptions. If any of our assumptions or estimates, or these publications, research, surveys or studies prove to be inaccurate, then the actual market for our product candidate may be smaller than we expect, and as a result our product revenue may be limited and it may be more difficult for us to achieve or maintain profitability.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establish sales, marketing and distribution capabilities or enter into sales, marketing and distribution agreements with third parties, we may not be successful in commercializing our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have no experience in the sale, marketing or distribution of pharmaceutical products. To achieve commercial success for any product for which we have obtained marketing approval, we will need to establish a sales, marketing and distribution organization, either ourselves or through collaborations or other arrangements with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future, we may build a focused, specialty sales and marketing infrastructure to market one or more of our product candidates in the United States, if and when they are approved. There are risks involved with establishing our own sales, marketing and distribution capabilities. For example, recruiting and training a sales force is expensive and time-consuming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These efforts may be costly, and our investment would be lost if we cannot retain or reposition our sales and marketing personnel.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our products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train and retain adequate numbers of effective sales, marketing, coverage or reimbursement,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physicians or persuade adequate numbers of physicians to prescribe any future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price our future products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sales and marketing organization.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are unable to establish our own sales, marketing and distribution capabilities and we enter into arrangements with third parties to perform these services, our product revenues and our profitability, if any, are likely to be lower than if we were to market, sell and distribute any products that we develop ourselves. We likely will have little control over such third parties, and any of them may fail to devote the necessary resources and attention to sell and market our products effectively. Further, there can be no guarantee that we will be able to successfully enter into arrangements with third parties to perform sales, marketing or distribution services. If we do not establish sales, marketing and distribution capabilities successfully, either on our own or in collaboration with third parties, we will not be successful in commercializing our product candidates.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resume development of our product candidates in the future, we may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drug products is highly competitive. We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many of the disease indications for which we are developing our product candidates. Some of these competitive products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we are aware of several product candidates in clinical development that could be competitive with product candidates that we may successfully develop and commercialize. See Item 1 “Business — Competition” in the 2025 Annual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commercial opportunity could be reduced or eliminated if our competitors develop and commercialize products that are safer,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generic products. If our product candidates achieve marketing approval, we expect that they will be priced at a significant premium over competitive generic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w:t>
      </w:r>
    </w:p>
    <w:p>
      <w:pPr>
        <w:pStyle w:val="TextBody"/>
        <w:bidi w:val="0"/>
        <w:spacing w:before="360" w:after="283"/>
        <w:jc w:val="left"/>
        <w:rPr>
          <w:rFonts w:ascii="Times New Roman" w:hAnsi="Times New Roman"/>
          <w:sz w:val="20"/>
        </w:rPr>
      </w:pPr>
      <w:r>
        <w:rPr>
          <w:rFonts w:ascii="Times New Roman" w:hAnsi="Times New Roman"/>
          <w:b/>
          <w:i/>
          <w:color w:val="000000"/>
          <w:sz w:val="20"/>
        </w:rPr>
        <w:t>If the market opportunities for our product candidates are smaller than we believe they are, our revenue may be adversely affected, and our business may suffer. Because certain of the target patient populations of our product candidates are small, and the addressable patient population even smaller, we must be able to successfully identify patients and capture a significant market share to achieve profitability and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primarily focus our research and product development on treatments for genetically-defined rare diseases. Given the small number of patients who have the rare diseases that we are targeting, it is critical to our ability to grow and become profitable that we continue to successfully identify patients with these rare diseases. Our projections of both the number of people who have these diseases, as well as the subset of people with these diseases who have the potential to benefit from treatment with our product candidates, are based on our beliefs and estimates. These estimates have been derived from a variety of sources, including the scientific literature, surveys of clinics, patient foundations or market research that we conducted, and may prove to be incorrect or contain errors. New studies may change the estimated incidence or prevalence of these diseases. The number of patients may turn out to be lower than expected. The effort to identify patients with diseases we seek to treat is in early stages, and we cannot accurately predict the number of patients for whom treatment might be possible. Additionally, the potentially addressable patient population for each of our product candidates may be limited or may not be amenable to treatment with our product candidates, and new patients may become increasingly difficult to identify or gain access to, which would adversely affect our results of operations and our business. Further, even if we obtain significant market share for our product candidates, because the potential target populations for many of the indications we are evaluating are very small, we may never achieve profitability despite obtaining such significant market share.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the pricing and reimbursement of our product candidates, if approved, is uncertain, but must be adequate to support commercial infrastructure. If we are unable to obtain adequate levels of reimbursement, our ability to successfully market and sell any approved products will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resume development of our product candidates in the future , we expect to rely on CMOs to manufacture our product candidates. If we are unable to enter into such arrangements as expected or if such organizations do not meet our supply requirements, development and/or commercialization of our product candidates may be delayed.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manufacturing facilities and expect to rely on third parties to manufacture clinical supplies of our product candidates and to manufacture commercial supplies of our products, if and when approved for marketing by applicable regulatory authorities, as well as for packaging, sterilization, storage, distribution and other production logistics. If we are unable to enter into such arrangements on the terms or timeline we expect, development and/or commercialization of our product candidates may be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meet expected deadlines or manufacture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fulfill, or may be delayed in producing sufficient product candidates to meet, our supply requirements, or we may be forced to manufacture the materials ourselves, for which we may not have the capabilities or resources, or enter into an agreement with a different manufacturer, which we may not be able to do on reasonable terms, if at all. In either scenario, our clinical trial supply could be delayed significantly as we establish alternative supply sources. In some cases, the technical skills required to manufacture our products or product candidates may be unique or proprietary to the original manufacturer and we may have difficulty,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 there may be contractual restrictions prohibiting us from, transferring such skills to a back-up or alternate supplier, or we may be unable to transfer such skills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another regulatory authority. The delays associated with the verification of a new manufacturer could negatively affect our ability to develop product candidates or commercialize 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manufacture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These facilities may also be affected by natural disasters, such as floods or fire, as well as public health issues (for example, an outbreak of a contagious disease such as COVID-19), or such facilities could face manufacturing issues, such as contamination or regulatory concerns following a regulatory inspection of such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third-party manufacturers will be subject to inspection and approval by the FDA and other applicable regulatory authorities before we can commence the manufacture and sale of any of our product candidates in the relevant jurisdiction, and thereafter will remain subject to inspection by such authorities from time to time. Failure by our third-party manufacturers to pass such inspections or otherwise satisfactorily complete applicable regulatory approval requirements with respect to our product candidates may result in regulatory actions, including the issuance of inspectional observations (such as FDA Form 483s), warning letters, or injunctions or the loss of operating licenses.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third-party manufacturers may also encounter shortages in the raw materials or API necessary to produce our product candidates in the quantities needed for our clinical trials or, if our product candidates are approved, in sufficient quantities for commercialization or to meet an increase in demand, as a result of capacity constraints or delays or disruptions in the market for the raw materials or API, including shortages caused by the purchase of such raw materials or API by our competitors or others. The failure of us or our third-party manufacturers to obtain the raw materials or API necessary to manufacture sufficient quantities of our product candidates, may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reliance on third parties increases the risk that we will not have sufficient quantities of our product candidates or if approved, products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manufacturing facilities and expect to rely on third parties for the manufacture of any future product candidates for preclinical and clinical testing. We also expect to rely on third-party manufacturers or third-party collaborators for the manufacture of clinical supply, or if approved, commercial supply of any of our other product candidates. This reliance on third parties increases the risk that we will not have sufficient quantities of our product candidates for clinical development, or if approved, products at an acceptable cost or quality, which could delay, prevent or impair our development or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legislative proposals are pending that, if enacted, could negatively impact U.S. funding for certain biotechnology providers having relationships with foreign adversaries or which pose a threat to national security. The potential downstream adverse impacts on entities having commercial relationships with any impacted biotechnology providers are unknown but may include supply chain disruptions or delays. Our product candidates and any products that we may develop may compete with other product candidates and products for access to manufacturing facilities.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approval. We do not currently have arrangements in place for redundant supply or a source for bulk drug substance. If any of our future contract manufacturers cannot perform as agreed, we may be required to replace such manufacturers. Although we believe that there are several potential alternative manufacturers who could manufacture our product candidates, we may incur added costs and delays in identifying and qualifying any such replacement.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dependence upon others for the manufacture of our product candidates or products may adversely affect our future profit margins and our ability to commercialize any products that receive marketing approval on a timely and competitive basis.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Even if we are able to commercialize any product candidates, the products may become subject to unfavorable pricing regulations, third-party coverage or reimbursement practices or healthcare reform initiatives, which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regulations that govern marketing approvals, pricing, coverage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marketing approval. See Item 1 “Business — Government Regulation and Product Approval — Pharmaceutical Insurance Coverage and Health Care Reform” in the 2025 Annual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any product candidates successfully also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Coverage and reimbursement may not be available for any product that we commercialize and, even if these are available, the level of reimbursement may not be satisfactory. Reimbursement may affect the demand for, or the price of, any product candidate for which we obtain marketing approval. Obtaining and maintaining adequate reimbursement for our products may be difficult. We may be required to conduct expensive pharmacoeconomic studies to justify coverage and reimbursement or the level of reimbursement relative to other therapies. If coverage and adequate reimbursement are not available or reimbursement is available only to limited levels, we may not be able to successfully commercialize any product candidate for which we obtain marketing approval. Coverage and reimbursement by a third-party payor may depend upon a number of factors, including the third-party payor’s determination that use of a product 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covered benefit under its health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safe, effective and medically necessary;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appropriate for the specific patient;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cost-effective;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neither experimental nor investigational.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coverage and reimbursement for newly approved drugs, and coverage may be more limited than the purposes for which the drug is approved by the FDA or similar regulatory authorities outside of the United States. Moreover, eligibility for coverage and reimbursement does not imply that a drug will be paid for in all cases or at a rate that covers our costs, including research, development, manufacture, sale and distribution expenses.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inability to promptly obtain coverage and adequate reimbursement rates from both government-funded and private payors for any approved products that we develop could have a material adverse effect on our operating results, our ability to raise capital needed to commercialize products and our overall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our product candidates, even if they are approved for sale in the United States or in other countries, will be considered medically reasonable and necessary for a specific indication or cost-effective by third-party payors, or that coverage and an adequate level of reimbursement will be available or that third-party payors’ reimbursement policies will not adversely affect our ability to sell our product candidates profitably.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future growth depends, in part, on our ability to penetrate foreign markets, where we would be subject to additional regulatory burdens and other risks and uncertainties that, if they materialize,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profitability will depend, in part, on our ability to commercialize our product candidates in markets outside of the United States and the European Union. If we commercialize our product candidates in foreign markets, we will be subject to additional risks and uncertainties,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economies and markets, which could include localized disputes that have a broader regional or global impact;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burden of complying with complex and changing foreign regulatory, tax, accounting and legal requirements, many of which vary between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different medical practices and customs in foreign countries affecting acceptance in the marketplace;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tariffs and trade barriers, as well as other governmental controls and trade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trade protection measures, import or export licensing requirements or other restrictive actions by U.S. or foreign governments (such as the announced tariffs by the current U.S. administration, which have led to volatility in the market and uncertainty);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longer accounts receivable collection times;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longer lead times for shipping;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common;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language barriers for technical training;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protection of intellectual property rights in some foreign countries, and related prevalence of generic alternatives to therapeutics;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foreign currency exchange rate fluctuations and currency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foreign reimbursement landscapes;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uncertain and potentially inadequate reimbursement of our products;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interpretation of contractual provisions governed by foreign laws in the event of a contract dispute.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risks related to any of these uncertainties materializes, it could have a material adverse effect on our business. </w:t>
      </w:r>
    </w:p>
    <w:p>
      <w:pPr>
        <w:pStyle w:val="TextBody"/>
        <w:bidi w:val="0"/>
        <w:spacing w:before="360" w:after="283"/>
        <w:jc w:val="left"/>
        <w:rPr>
          <w:rFonts w:ascii="Times New Roman" w:hAnsi="Times New Roman"/>
          <w:sz w:val="20"/>
        </w:rPr>
      </w:pPr>
      <w:r>
        <w:rPr>
          <w:rFonts w:ascii="Times New Roman" w:hAnsi="Times New Roman"/>
          <w:b/>
          <w:i/>
          <w:color w:val="000000"/>
          <w:sz w:val="20"/>
        </w:rPr>
        <w:t>Clinical trial and product liability lawsuits against us could divert our resources and could cause us to incur substantial liabilities and to limit commercialization of any products that we may develop.</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clinical trial and product liability exposure related to the testing of our product candidates in human clinical trials, and we will face an even greater risk if we commercially sell any products that we may develop. While we currently have no products that have been approved for commercial sale,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If we cannot successfully defend ourselves against claims that our product candidates or products caused injuries, we will incur substantial liabilities. Regardless of merit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demand for any product candidates or products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and significant negative media attention;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significant costs to defend any related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resources of our management to pursue our business strategy;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products that we may develop.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currently hold $10 million in clinical trial liability insurance coverage in the aggregate, with a per incident limit of $10 million, which may not be adequate to cover all liabilities that we may incur. We may need to increase our insurance coverage as we expand our clinical trials or if we commence commercialization of our product candidates. Insurance coverage is increasingly expensive. We may not be able to maintain insurance coverage at a reasonable cost or in an amount adequate to satisfy any liability that may arise. If a successful clinical trial or product liability claim or series of claims is brought against us for uninsured liabilities or in excess of insured liabilities, our assets may not be sufficient to cover such claims and our business operations could be impaired.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Dependence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relied, and expect to continue to rely, as necessary on third parties to conduct our clinical trials, and those third parties may not perform satisfactorily, including failing to meet deadlines for the completion of such trials, which may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historically relied on third-party clinical research organizations, or CROs, to conduct our clinical trials and plan to continue to do so in the future should we have clinical stage candidates. We do not plan to independently conduct clinical trials of our product candidates. We expect to continue to rely on third parties, such as CROs, clinical data management organizations, medical institutions and clinical investigators, to conduct any future clinical trials. These agreements might terminate for a variety of reasons, including a failure to perform by the third parties. If we need to enter into alternative arrangements, our product development activities might be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these third parties for research and development activities will reduce our control over these activities but will not relieve us of our responsibilities.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develop and commercialize our product candidates. Furthermore, these third parties may also have relationships with other entities, some of which may be our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also rely, and expect to continue to rely on other third parties to store and distribute drug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 For any violations of laws and regulations that occur during the conduct of our preclinical studies or clinical trials, we could be subject to untitled letters, warning letters or other enforcement actions.</w:t>
      </w:r>
    </w:p>
    <w:p>
      <w:pPr>
        <w:pStyle w:val="TextBody"/>
        <w:bidi w:val="0"/>
        <w:spacing w:before="360" w:after="283"/>
        <w:jc w:val="left"/>
        <w:rPr>
          <w:rFonts w:ascii="Times New Roman" w:hAnsi="Times New Roman"/>
          <w:sz w:val="20"/>
        </w:rPr>
      </w:pPr>
      <w:r>
        <w:rPr>
          <w:rFonts w:ascii="Times New Roman" w:hAnsi="Times New Roman"/>
          <w:b/>
          <w:i/>
          <w:color w:val="000000"/>
          <w:sz w:val="20"/>
        </w:rPr>
        <w:t>We have entered into, and may in the future enter into, collaborations with third parties for the discovery, development or commercialization of our product candidates. If our collaborations are not successful, we may not be able to capitalize on the market potential of these product candidates and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enter into development, distribution or marketing arrangements with third parties with respect to our other existing or future product candidates. Our likely collaborators for any such sales, marketing, distribution, development, licensing or broader collaboration arrangements include large and mid-size pharmaceutical companies, regional and national pharmaceutical companies and biotechnology companies. These third party arrangements generally do not provide us with the ability to control the amount and timing of resources that our collaborators dedicate to the development or commercialization of our product candidates. Our ability to generate revenues from these arrangements will depend on our collaborators’ abilities and efforts to successfully perform the functions assigned to them in these arrangements.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that we enter into may not be successful, and any success will depend heavily on the efforts and activities of such collaborators. Collaborations pose a number of risks,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have significant discretion in determining the amount and timing of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perform their obligations as expected;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development of any of our product candidates or may elect not to continue or renew development programs based on results of clinical trials or other studies, changes in the collaborators’ strategic focus or available funding, or external factors, such as an acquisition, that divert resources or create competing priorities;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pursue commercialization of any product candidates that achieve regulatory approval or may elect not to continue or renew commercialization programs based on results of clinical trials or other studies, changes in the collaborators’ strategic focus or available funding, or external factors, such as an acquisition, that may divert resources or create competing priorities;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program,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have access to, or may be restricted from disclosing, certain information regarding product candidates being developed or commercialized under a collaboration and, consequently, may have limited ability to inform our stockholders about the status of such product candidates on a discretionary basis;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and products if the collaborators believe that the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candidates discovered in collaboration with us may be viewed by our collaborators as competitive with their own product candidates or products, which may cause collaborators to cease to devote resources to the commercialization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may fail to comply with applicable regulatory requirements regarding the development, manufacture, distribution or marketing of a product candidate or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collaborator with marketing and distribution rights to one or more of our product candidates that achieve regulatory approval may not commit sufficient resources to the marketing and distribution of such product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disagreements with collaborators, including disagreements over intellectual property or proprietary rights, contract interpretation or the preferred course of development, might cause delays or terminations of the research, development or commercialization of product candidates, might lead to additional responsibilities for us with respect to product candidates, or might result in litigation or arbitration, any of which would be time-consuming and expensive;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enforce, defend or protect our intellectual property or proprietary rights or may use our proprietary information in such a way as to potentially lead to disputes or legal proceedings that could jeopardize or invalidate our intellectual property or proprietary information or expose us to potential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the ownership of intellectual property developed pursuant to our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misappropriate or otherwise violate the intellectual property or proprietary rights of third parties, which may expose us to litigation and potential liability;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for the convenience of the collaborator (e.g., our former collaborations with Acceleron Pharma, Inc. and MyoKardia, Inc.,), and, if terminated, we could be required to raise additional capital to pursue further development or commercialization of the applicable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 agreements may not lead to development or commercialization of product candidates in the most efficient manner, or at all. If any collaborations that we enter into do not result in the successful development and commercialization of products or if one of our collaborators terminates its agreement with us, we may not receive any future research funding or milestone or royalty payments under the collaboration. If we do not receive the funding we expect under these agreements, our development of our product candidates could be delayed and we may need additional resources to develop our product candidates. All of the risks relating to product development, regulatory approval and commercialization described herein also apply to the activities of our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subject to its contractual obligations to us, if a collaborator of ours is involved in a business combination, the collaborator might deemphasize or terminate the development or commercialization of any product candidate licensed to it by us. If our collaborator terminates its agreement with us, we may find it more difficult to attract new collaborators and our perception in the business and financial communities could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not able to establish collaborations, we may have to alter our development and commercialization plans and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some of our product candidates, we may decide to collaborate with pharmaceutical or biotechnology companies for the development and potential commercialization of those product candidates. We face significant competition in seeking appropriate collaborators, and a number of more established companies may also be pursuing strategies to license or acquire third-party intellectual property rights that we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We may also be restricted under existing or future license agreements from entering into agreements on certain terms with potential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are complex and time-consuming to negotiate and document. In addition, there have been a significant number of recent business combinations among large pharmaceutical and biotechnology companies that have resulted in a reduced number of potential future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maintain, enforce and protect patent protection for our technology and product candidates or if the scope of the patent protection obtained is not sufficiently broad, our competitors could develop and commercialize technology and products similar or identical to ours, and our ability to successfully develop and commercialize our technology and product candidates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protection of the intellectual property we may own solely and jointly with others or may license from others, particularly patents, in the United States and other countries with respect to any proprietary technology and product candidates we develop. We seek to protect our proprietary position by filing patent applications in the United States and abroad related to our product candidates that are important to our business and by in-licensing intellectual property related to our technologies and product candidates. If we are unable to obtain or maintain patent protection with respect to any proprietary technology or product candidate, our business, financial condition, results of operations and prospects could be materially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defend or license all necessary or desirable patent applications at a reasonable cost or in a timely manner.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enforce and defend the patents, covering technology that we license from third parties. Therefore, these in-licensed patents and applications may not be prepared, filed, prosecuted, maintained, defended and enforced in a manner consistent with the best interests of our business.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The patent position of pharmaceutical and biotechnology companies generally is highly uncertain, involves complex legal and factual questions and has in recent years been the subject of much litigation. In addition, the scope of patent protection outside of the United States is uncertain and laws of foreign countries may not protect our rights to the same extent as the laws of the United States or vice versa. For example, European patent law restricts the patentability of methods of treatment of the human body more than United States law does. With respect to both owned and in-licensed patent rights, we cannot predict whether the patent applications we and our licensors are currently pursuing will issue as patents in any particular jurisdiction or whether the claims of any issued patents will provide sufficient protection from competitors. Further, we may not be aware of all third-party intellectual property rights potentially relating to our product candidates. In addition, publications of discoveries in the scientific literature often lag behind the actual discoveries, and patent applications in the United States and other jurisdictions are typically not published until 18 months after filing, or in some cases not published at all. Therefore, neither we nor our licensors can know with certainty whether either we or our licensors were the first to make the inventions claimed in the patents and patent applications we own or in-license now or in the future, or that either we or our licensors were the first to file for patent protection of such inventions. As a result, the issuance, scope, validity, enforceability and commercial value of our owned and in-licensed patent rights are highly uncertain. Moreover, our owned and in-licensed pending and future patent applications may not result in patents being issued which protect our technology and product candidates, in whole or in part, or which effectively prevent others from commercializing competitive technologies and products. Changes in either the patent laws or interpretation of the patent laws in the United States and other countries may diminish the value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of our patents and our ability to obtain, protect, maintain, defend and enforce our patent rights, narrow the scope of our patent protection and, more generally, could affect the value or narrow the scope of our patent rights. For information relating to our patent portfolio, see Item 1 “Business—Intellectual Property” in the 2025 Annual Report.</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Moreover, we or our licensors may be subject to a third-party preissuance submission of prior art to the United States Patent and Trademark Office, or USPTO, or become involved in opposition, derivation, revocation,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product candidates and compete directly with us, without payment to us, or result in our inability to manufacture or commercialize drugs without infringing third-party patent rights. If the breadth or strength of protection provided by our patents and patent applications is threatened, regardless of the outcome, it could dissuade companies from collaborating with us to license, develop or commercialize current or future product candidates. If any such claims are invalidated or rendered unenforceable for any reason, we will lose valuable intellectual property rights and our ability to prevent others from competing with us would be impaired.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Additionally, the coverage claimed in a patent application can be significantly reduced before the patent is issued, and its scope can be reinterpreted after issuance. Even if our owned and in-licensed patent applications issue as patents, they may not issue in a form that will provide us with any meaningful protection, prevent competitors from competing with us or otherwise provide us with any competitive advantage. The issuance of a patent is not conclusive as to its inventorship, scope, validity or enforceability, and our owned and in-licensed patents may be challenged in the courts or patent offices in the United States and abroad. Such challenges may result in loss of exclusivity or freedom to operate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 candidates. Such proceedings also may result in substantial cost and require significant time from our management and employees, even if the eventual outcome is favorable to us. Given the amount of time required for the development, testing and regulatory review of new product candidates, patents protecting such candidates might expire before or shortly after such candidates are commercialized. Furthermore, our competitors may be able to circumvent our owned or in-licensed patents by developing similar or alternative technologies or products in a non-infringing manner. As a result, our owned and in-licensed patent portfolio may not provide us with sufficient rights to exclude others from commercializing technology and products similar or identical to any of our technology and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generics or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licenses from third parties on commercially reasonable terms or fail to comply with our obligations under such agreements, our business could be harmed.</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It may be necessary for us to use the patented or proprietary technology of third parties to commercialize our products, in which case we would be required to obtain a license from these third parties. If we are unable to license such technology, or if we are forced to license such technology on unfavorable terms, our business could be materially harmed. If we are unable to obtain a necessary license, we may be unable to develop or commercialize the affected product candidates, which could materially harm our business and the third parties owning such intellectual property rights could seek either an injunction prohibiting our sales or an obligation on our part to pay royalties and/or other forms of compensation. Even if we are able to obtain a license, it may be non-exclusive, thereby giving our competitors access to the same technologies licensed to us.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If we are unable to obtain rights to required third-party intellectual property rights or maintain the existing intellectual property rights we have,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technology and product candidates, which could harm our business, financial condition, results of operations and prospects significantly.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Additionally, if we fail to comply with our obligations under license agreements, our counterparties may have the right to terminate these agreements, in which event we might not be able to develop, manufacture or market, or may be forced to cease developing, manufacturing or marketing, any product that is covered by these agreements or may face other penalties under such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agreements. Such an occurrence could materially adversely affect the value of the product candidate being developed under any such agreement. Termination of these agreements or reduction or elimination of our rights under these agreements, or restrictions on our ability to freely assign or sublicense our rights under such agreements when it is in the interest of our business to do so, may result in our having to negotiate new or reinstated agreements with less favorable terms, cause us to lose our rights under these agreements, including our rights to important intellectual property or technology or impede, or delay or prohibit the further development or commercialization of one or more product candidates that rely on such agreements.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Under our current license agreements, we may not have the final or sole decision on whether we are able to opt out certain of our in-licensed European patents and patent applications from the recently created Unified Patent Court, or the UPC, for the European Union. While our licensors have decided to opt out of the UPC, we cannot guarantee that our in-licensed European patents and patent applications will be challenged for non-compliance during the opt-out procedure and if successful, brought under the jurisdiction of the UPC, nor can we guarantee that our licensors will decide to opt back into the UPC at a later time. Thus, we cannot be certain that our in-licensed European patents and patent applications will not fall under the jurisdiction of the UPC. Under the UPC, a single European patent would be valid and enforceable in numerous European countries. A challenge to the validity of a European patent under the UPC, if successful, could result in a loss of patent protection in numerous European countries which could have a material adverse impact on our business and our ability to commercialize or license our technology and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If we do not obtain patent term extension in the United States under the Hatch-Waxman Act and in foreign countries under similar legislation, our business may be materially harmed.</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In the United States, the patent term of a patent that covers an FDA-approved drug may be eligible for limited patent term extension of up to five years beyond the expiration of the patent. The length of the patent term extension is related to, among other factors, the length of time the drug is under regulatory review, but such patent extension cannot extend the remaining term of a patent beyond a total of 14 years from the date of product approval, and only one eligible patent may be extended. Similar provisions are available in Europe and certain other jurisdictions outside the United States. If and when our product candidate receives FDA approval, we expect to apply for patent term extensions where applicable, but there is no guarantee that the applicable governmental authorities will agree with our assessment of whether such extensions should be granted, and even if granted, the length of such extensions. We may not be granted patent term extension either in the United States or in any foreign country because of, for example, failing to exercise due diligence during the testing phase or regulatory review process, failing to apply within applicable deadlines, failing to apply prior to expiration of relevant patents or otherwise failing to satisfy applicable requirements. If we are unable to obtain any patent term extension or the term of any such extension is less than we request, our competitors may obtain approval of competing products following the expiration of our patent rights, and our business, financial condition, results of operations and prospects could be materially harmed.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Further, for our licensed patents, we may not have the right to control prosecution, including filing with the USPTO a petition for patent term extension thus if one of our licensed patents is eligible for patent term extension, we may not be able to control whether a petition to obtain a patent term extension is filed, or obtained, from the USPTO.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There are detailed rules and requirements regarding the patents that may be submitted to the FDA for listing in the Orange Book. We may be unable to obtain patents covering our product candidates that contain one or more claims that satisfy the requirements for listing in the Orange Book. Even if we submit a patent for listing in the Orange Book, the FDA may decline to list the patent, or a manufacturer of generic drugs may challenge the listing. If one of our product candidates is approved and a patent covering that product candidate is not listed in the Orange Book, an ANDA applicant would not have to provide notice to us with respect to that patent. See Item 1 “Business—Intellectual Property” in the 2025 Annual Report for additional information regarding patent laws and patent protection.</w:t>
      </w:r>
    </w:p>
    <w:p>
      <w:pPr>
        <w:pStyle w:val="TextBody"/>
        <w:bidi w:val="0"/>
        <w:jc w:val="left"/>
        <w:rPr>
          <w:rFonts w:ascii="Times New Roman" w:hAnsi="Times New Roman"/>
          <w:b/>
          <w:i/>
          <w:color w:val="000000"/>
          <w:sz w:val="20"/>
        </w:rPr>
      </w:pPr>
      <w:r>
        <w:rPr>
          <w:rFonts w:ascii="Times New Roman" w:hAnsi="Times New Roman"/>
          <w:b/>
          <w:i/>
          <w:color w:val="000000"/>
          <w:sz w:val="20"/>
        </w:rPr>
        <w:t>Our issued European patents could be subject to the jurisdiction of the UPC.</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Our European patents and patent applications could be challenged in the UPC. We decided to remove, i.e., opt out, our European patents and patent applications from the jurisdiction of the UPC. However, if certain formalities and requirements are not met, our European patents and patent applications could be challenged for non-compliance and brought under the jurisdiction of the UPC. We cannot be certain that our European patents and patent applications will avoid falling under the jurisdiction of the UPC. Under the UPC, a granted European patent would be valid and enforceable in numerous European countries. Although such patent rights would apply to numerous European countries, a successful challenge to a European patent under the UPC could result in loss of patent protection in numerous European countries. Accordingly, a single proceeding under the UPC addressing the validity and infringement of the European patent could result in loss of patent protection in numerous European countries rather than in each validated country separately as such patents always have been adjudicated. Such a loss of patent protection could have a material adverse impact on our business and our ability to commercialize or license our technology and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Changes to patent laws in the United States and other jurisdictions could diminish the value of patents in general, thereby impairing our ability to protect our products.</w:t>
      </w:r>
      <w:r>
        <w:rPr>
          <w:rFonts w:ascii="Times New Roman" w:hAnsi="Times New Roman"/>
          <w:color w:val="000000"/>
          <w:sz w:val="20"/>
        </w:rPr>
        <w:t xml:space="preserve"> </w:t>
      </w:r>
    </w:p>
    <w:p>
      <w:pPr>
        <w:pStyle w:val="TextBody"/>
        <w:bidi w:val="0"/>
        <w:spacing w:before="120" w:after="240"/>
        <w:jc w:val="left"/>
        <w:rPr>
          <w:rFonts w:ascii="Times New Roman" w:hAnsi="Times New Roman"/>
          <w:sz w:val="20"/>
        </w:rPr>
      </w:pPr>
      <w:r>
        <w:rPr>
          <w:rFonts w:ascii="Times New Roman" w:hAnsi="Times New Roman"/>
          <w:color w:val="000000"/>
          <w:sz w:val="20"/>
        </w:rPr>
        <w:t xml:space="preserve">Changes in either the patent laws or interpretation of patent laws in the United States, including patent reform legislation such as the Leahy-Smith America Invents Act, or the Leahy-Smith Act, could increase the uncertainties and costs surrounding the prosecution of our owned and in-licensed patent applications and the maintenance, enforcement or defense of our owned and in-licensed issued patents. The Leahy-Smith Act includes a number of significant changes to United States patent law. These changes include provisions that affect the way patent applications are prosecuted, redefine prior art, provide more efficient and cost-effective avenues for competitors to challenge the validity of patents, and enable third-party submission of prior art to the USPTO during patent prosecution and additional procedures to attack the validity of a patent at USPTO-administered post-grant proceedings, including post-grant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Assuming that other requirements for patentability are met, prior to March 2013, in the United States, the first to invent the claimed invention was entitled to the patent, while outside the United States, the first to file a patent application was entitled to the patent. After March 2013, under the Leahy-Smith Act, the United States transitioned to a first-to-file system in which, assuming that the other statutory requirements for patentability are met, the first inventor to file a patent application will be entitled to the patent on an invention regardless of whether a third party was the first to invent the claimed invention. As such, the Leahy-Smith Act and its implementation could increase the uncertainties and costs surrounding the prosecution of our patent applications and the enforcement or defense of our issued patents, all of which could have a material adverse effect on our business, financial condition, results of operations and prospects. </w:t>
      </w:r>
    </w:p>
    <w:p>
      <w:pPr>
        <w:pStyle w:val="TextBody"/>
        <w:bidi w:val="0"/>
        <w:jc w:val="left"/>
        <w:rPr>
          <w:rFonts w:ascii="Times New Roman" w:hAnsi="Times New Roman"/>
          <w:color w:val="000000"/>
          <w:sz w:val="20"/>
        </w:rPr>
      </w:pPr>
      <w:r>
        <w:rPr>
          <w:rFonts w:ascii="Times New Roman" w:hAnsi="Times New Roman"/>
          <w:color w:val="000000"/>
          <w:sz w:val="20"/>
        </w:rPr>
        <w:t xml:space="preserve">In addition, the patent positions of companies in the development and commercialization of biologics and 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patent rights and our ability to protect, defend and enforce our patent rights in the future. </w:t>
      </w:r>
    </w:p>
    <w:p>
      <w:pPr>
        <w:pStyle w:val="TextBody"/>
        <w:bidi w:val="0"/>
        <w:spacing w:before="360" w:after="283"/>
        <w:jc w:val="left"/>
        <w:rPr>
          <w:rFonts w:ascii="Times New Roman" w:hAnsi="Times New Roman"/>
          <w:sz w:val="20"/>
        </w:rPr>
      </w:pPr>
      <w:r>
        <w:rPr>
          <w:rFonts w:ascii="Times New Roman" w:hAnsi="Times New Roman"/>
          <w:b/>
          <w:i/>
          <w:color w:val="000000"/>
          <w:sz w:val="20"/>
        </w:rPr>
        <w:t>Although we or our licensors are not currently involved in any litigation to protect or enforce our patent or other intellectual property rights, we may become involved in such lawsuits,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Competitors and other third parties may infringe, misappropriate or otherwise violate our or our licensor’s issued patents or other intellectual property. As a result, we or our licensors may need to file infringement, misappropriation or other intellectual property related claims, which can be expensive and time-consuming. Any claims we assert against perceived infringers could provoke such parties to assert counterclaims against us alleging that we infringe, misappropriate or otherwise violate their intellectual property. In addition, in a patent infringement proceeding, such parties could counterclaim that the patents we or our licensors have asserted are invalid or unenforceable. In patent litigation in the United States, defendant counterclaims alleging invalidity or unenforceability are commonplace. Grounds for a validity challenge could be an alleged failure to meet any of several statutory requirements, including lack of novelty, obviousness, or non-enablement. Grounds for an unenforceability assertion could be an allegation that someone connected with prosecution of the patent withheld relevant information from the USPTO, or made a misleading statement, during prosecution. Third parties may institute such claims before administrative bodies in the United States or abroad, even outside the context of litigation. Such mechanisms include re-examination, post-grant review, </w:t>
      </w:r>
      <w:r>
        <w:rPr>
          <w:rFonts w:ascii="Times New Roman" w:hAnsi="Times New Roman"/>
          <w:i/>
          <w:color w:val="000000"/>
          <w:sz w:val="20"/>
        </w:rPr>
        <w:t>inter partes</w:t>
      </w:r>
      <w:r>
        <w:rPr>
          <w:rFonts w:ascii="Times New Roman" w:hAnsi="Times New Roman"/>
          <w:color w:val="000000"/>
          <w:sz w:val="20"/>
        </w:rPr>
        <w:t xml:space="preserve"> review, interference proceedings, derivation proceedings, and equivalent proceedings in foreign jurisdictions (</w:t>
      </w:r>
      <w:r>
        <w:rPr>
          <w:rFonts w:ascii="Times New Roman" w:hAnsi="Times New Roman"/>
          <w:i/>
          <w:color w:val="000000"/>
          <w:sz w:val="20"/>
        </w:rPr>
        <w:t>e.g.</w:t>
      </w:r>
      <w:r>
        <w:rPr>
          <w:rFonts w:ascii="Times New Roman" w:hAnsi="Times New Roman"/>
          <w:color w:val="000000"/>
          <w:sz w:val="20"/>
        </w:rPr>
        <w:t xml:space="preserve">, opposition proceedings). The outcome following legal assertions of invalidity and unenforceability is unpredictable.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 adverse result in any such proceeding could put one or more of our owned or in-licensed patents at risk of being invalidated or interpreted narrowly, and could put any of our owned or in-licensed patent applications at risk of not yielding an issued patent. A court may also refuse to stop the third party from using the technology at issue in a proceeding on the grounds that our owned or in-licensed patents do not cover such technology. Furthermore, because of the substantial amount of discovery required in connection with intellectual property litigation, there is a risk that some of our confidential information or trade secrets could be compromised by disclosure during this type of litigation. Any of the foregoing could allow such third parties to develop and commercialize competing technologies and products and have a material adverse impact on our business, financial condition,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Interference or 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Our defense of litigation or interference or derivation proceedings may fail and, even if successful, may result in substantial costs and distract our management and other employees. In addition, the uncertainties associated with litigation could have a material adverse effect on our ability to raise the funds necessary to continue our clinical trials, continue our research programs, license necessary technology from third parties, or enter into development partnerships that would help us bring our product candidates to market.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 material adverse effect on the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Third parties may initiate legal proceedings alleging that we are infringing, misappropriating or otherwise violating their intellectual property rights, the outcome of which would be uncertain and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upon our ability and the ability of our collaborators to develop, manufacture, market and sell our product candidates and use our proprietary technologies without infringing, misappropriating or otherwise violating the intellectual property and proprietary rights of third parties. There is considerable patent and other intellectual property litigation in the pharmaceutical and biotechnology industries. We may become party to, or threatened with, adversarial proceedings or litigation regarding intellectual property rights with respect to our technology and product candidates, including interference proceedings, post grant review, </w:t>
      </w:r>
      <w:r>
        <w:rPr>
          <w:rFonts w:ascii="Times New Roman" w:hAnsi="Times New Roman"/>
          <w:i/>
          <w:color w:val="000000"/>
          <w:sz w:val="20"/>
        </w:rPr>
        <w:t>inter partes</w:t>
      </w:r>
      <w:r>
        <w:rPr>
          <w:rFonts w:ascii="Times New Roman" w:hAnsi="Times New Roman"/>
          <w:color w:val="000000"/>
          <w:sz w:val="20"/>
        </w:rPr>
        <w:t xml:space="preserve"> review, and derivation proceedings before the USPTO and similar proceedings in foreign jurisdictions such as oppositions before the European Patent Office. Numerous U.S. and foreign issued patents and pending patent applications, which are owned by third parties, exist in the fields in which we are pursuing development candidates. As the biotechnology and pharmaceutical industries expand and more patents are issued, the risk increases that our technologies or product candidates that we may identify may be subject to claims of infringement of the patent rights of third parties.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legal threshold for initiating litigation or contested proceedings is low, so that even lawsuits or proceedings with a low probability of success might be initiated and require significant resources to defend. Litigation and contested proceedings can also be expensive and time-consuming, and our adversaries in these proceedings may have the ability to dedicate substantially greater resources to prosecuting these legal actions than we can. The risks of being involved in such litigation and proceedings may increase if and as our product candidates near commercialization and as we gain the greater visibility associated with being a public company. Third parties may assert infringement claims against us based on existing patents or patents that may be granted in the future, regardless of merit. We may not be aware of all such intellectual property rights potentially relating to our technology and product candidates and their uses, or we may incorrectly conclude that third party intellectual property is invalid or that our activities and product candidates do not infringe such intellectual property. Thus, we do not know with certainty that our technology and product candidates, or our development and commercialization thereof, do not and will not infringe, misappropriate or otherwise violate any third party’s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Third parties may assert that we are employing their proprietary technology without authorization. There may be third-party patents or patent applications with claims to materials, formulations or methods, such as methods of manufacture or methods for treatment, related to the discovery, use or manufacture of the product candidates that we may identify or related to our technologies. Because patent applications can take many years to issue, there may be currently pending patent applications which may later result in issued patents that the product candidates that we may identify may infringe. In addition, third parties may obtain patents in the future and claim that use of our technologies infringes upon these patents. Moreover, as noted above, there may be existing patents that we are not aware of or that we have incorrectly concluded are invalid or not infringed by our activities. If any third-party patents were held by a court of competent jurisdiction to cover, for example, the manufacturing process of the product candidates that we may identify, any molecules formed during the manufacturing process or any final product itself, the holders of any such patents may be able to block our ability to commercialize such product candidate unless we obtained a license under the applicable patents, or until such patents expire.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Parties making claims against us may obtain injunctive or other equitable relief, which could effectively block our ability to further develop and commercialize the product candidates that we may identify.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pay royalties, redesign our infringing products or obtain one or more licenses from third parties, which may be impossible or require substantial time and monetary expenditure.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may choose to take a license or, if we are found to infringe, misappropriate or otherwise violate a third party’s intellectual property rights, we could also be required to obtain a license from such third party to continue developing, manufacturing and marketing our technology and product candidates. However, we may not be able to obtain any required license on commercially reasonable terms or at all. Even if we were able to obtain a license, it could be non-exclusive, thereby giving our competitors and other third parties access to the same technologies licensed to us and could require us to make substantial licensing and royalty payments. We could be forced, including by court order, to cease developing, manufacturing and commercializing the infringing technology or product. In addition, we could be found liable for significant monetary damages, including treble damages and attorneys’ fees, if we are found to have willfully infringed a patent or other intellectual property right and could be forced to indemnify our customers or collaborators. A finding of infringement could prevent us from commercializing our product candidates or force us to cease some of our business operations, which could materially harm our business. In addition, we may be forced to redesign our product candidates, seek new regulatory approvals and indemnify third parties pursuant to contractual agreements. Claims that we have misappropriated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the confidential information or trade secrets of third parties could have a similar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litigation or other legal proceedings relating to intellectual property could cause us to spend substantial resources and distract our personnel from their normal responsibilities.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and may also have an advantage in such proceedings due to their more mature and developed intellectual property portfolios. Uncertainties resulting from the initiation and continuation of intellectual property litigation or other proceedings could compromise our ability to compete in the marketplace. </w:t>
      </w:r>
    </w:p>
    <w:p>
      <w:pPr>
        <w:pStyle w:val="TextBody"/>
        <w:bidi w:val="0"/>
        <w:spacing w:before="360" w:after="283"/>
        <w:jc w:val="left"/>
        <w:rPr>
          <w:rFonts w:ascii="Times New Roman" w:hAnsi="Times New Roman"/>
          <w:sz w:val="20"/>
        </w:rPr>
      </w:pPr>
      <w:r>
        <w:rPr>
          <w:rFonts w:ascii="Times New Roman" w:hAnsi="Times New Roman"/>
          <w:b/>
          <w:i/>
          <w:color w:val="000000"/>
          <w:sz w:val="20"/>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renewal and annuity fees and various other government fees on any issued patent and pending patent application must be paid to the USPTO and foreign patent agencies in several stages or annually over the lifetime of our owned and in-licensed patents and patent applications. The USPTO and various foreign governmental patent agencies require compliance with a number of procedural, documentary, fee payment and other similar provisions during the patent application process. In certain circumstances, we rely on our licensing partners to pay these fees to, or comply with the procedural and documentary rules of, the relevant patent agency. With respect to our patents, we rely on an annuity service, outside firms and outside counsel to remind us of the due dates and to make payment after we instruct them to do so.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In such an event, potential competitors might be able to enter the market with similar or identical products or technology. If we or our licensors fail to maintain the patents and patent applications covering our product candidates, it would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fail to comply with our obligations in our intellectual property licenses and funding arrangements with third parties, or otherwise experience disruptions to our business relationships with our licensors, we could lose intellectual property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party to license and funding agreements, and we may enter into additional licensing and funding arrangements with third parties that impose or may impose diligence, development and commercialization timelines, milestone payment, royalty, insurance and other obligations on us. Under our existing licensing and funding agreements, we are obligated to pay royalties on net product sales of product candidates or related technologies to the extent they are covered by the agreements. If we fail to comply with such obligations under current or future license and funding agreements, our counterparties may have the right to terminate these agreements or require us to grant them certain rights. Such an occurrence could materially adversely affect the value of any product candidate being developed under any such agreement.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 which would have a material adverse effect on our business, financial condition, results of operations and prospects. We also have licenses and agreements to certain technologies that we use in our discovery efforts, all of which are non-exclusive. While we still face all of the risks described herein with respect to those agreements, we cannot prevent third parties from also accessing those technologies. In addition, our licenses may place restrictions on our future business opportunities.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Disputes may arise regarding intellectual property subject to a licensing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rights granted under the license agreement and other interpretation 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our technology and processes infringe on intellectual property of the licensor that is not subject to the licensing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sublicensing of patent and other rights under our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under the license agreement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and ownership of inventions and know-how resulting from the joint creation or use of intellectual property by our licensors and us and our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technology and product candidates, which could have a material adverse effect on our business, financial conditions,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current or future licensors may have relied on third-party consultants or collaborators or on funds from third parties such that our licensors are not the sole and exclusive owners of the patents and patent applications we in-license. If other third parties have ownership rights to patents or patent applications we in-license, they may be able to license such patents to our competitors, and our competitors could market competing products and technology. This could have a material adverse effect on our competitive position, business, financial conditions,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spite of our best efforts, our licensors might conclude that we have materially breached our license agreements and might therefore terminate the license agreements, thereby removing our ability to develop and commercialize product candidates and technology covered by these license agreements. If these in-licenses are terminated, or if the underlying intellectual property fails to provide the intended exclusivity, competitors would have the freedom to seek regulatory approval of, and to market, products and technologies identical to ours. This could have a material adverse effect on our competitive position,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the laws of foreign countries may not protect our rights to the same extent as the laws of the United States. In addition, the laws of some foreign countries do not protect intellectual property rights to the same extent as federal and state laws in the United States, and even where such protection is nominally available, judicial and governmental enforcement of such intellectual property rights may be lacking.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or licenses but enforcement is not as strong as that in the United States. These products may compete with our products, and our patents or other intellectual property rights may not be effective or sufficient to prevent them from competing.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and in Russia,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intellectual property and proprietary rights generally. In addition, certain jurisdictions do not protect to the same extent or at all inventions that constitute new methods of treatment.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challenging the inventorship or ownership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licensors may be subject to claims that former employees, collaborators or other third parties have an interest in our owned or in-licensed patents, trade secrets or other intellectual property as an inventor or co-inventor. For example, we or our licensors may have inventorship disputes arise from conflicting obligations of employees, consultants or others who are involved in developing our product candidates. Litigation may be necessary to defend against these and other claims challenging inventorship or our or our licensors’ ownership of our owned or in-licensed patents, trade secrets or other intellectual property. If we or our licensors fail in defending any such claims, in addition to paying monetary damages, we may lose valuable intellectual property rights, such as exclusive ownership of, or right to use, intellectual property that is important to our product candidates.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be subject to claims by third parties asserting that our employees, consultants or contractors have wrongfully used or disclosed confidential information of third parties, or we have wrongfully used or disclosed alleged trade secrets of their current or former employers or claims asserting we have misappropriated their intellectual property, or claiming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former employees, consultants and contractors were previously employed at universities or other pharmaceutical or biotechnology companies, including our competitors or potential competitors. Although we try to ensure that our employees, consultants and contractors do not use the proprietary information or know-how of others in their work for us, we may be subject to claims that these individuals or we have used or disclosed intellectual property, including trade secrets or other proprietary information, of any such individual’s current or former employer. Litigation may be necessary to defend against these claims.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consultants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intellectual property assignment agreements with them may not be self-executing or may be breached, and we may be forced to bring claims against third parties, or defend claims they may bring against us, to determine the ownership of what we regard as our intellectual property. Such claims could have a material adverse effect on our business, financial conditions, results of operations and prospects.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we fail in prosecuting or defending any such claims, in addition to paying monetary damages, we may lose valuable intellectual property rights or personnel, which could have a material adverse effect on our competitive business position and prospects. Such intellectual property rights could be awarded to a third party, and we could be required to obtain a license from such third party to commercialize our technology or products, which license may not be available on commercially reasonable terms, or at all, or such license may be non-exclusive. Even if we are successful in prosecuting or defending against such claims, litigation could result in substantial costs and be a distraction to our management and employees.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our product candidates, we also rely on trade secrets and confidentiality agreements to protect our unpatented know-how, technology and other proprietary information, to maintain our competitive position, including certain aspects of our discovery technology. We seek to protect our trade secrets and other proprietary technology, in part, by entering into non-disclosure and confidentiality agreements with parties who have access to them, such as our employees, corporate collaborators, outside scientific collaborators, CROs, CMOs, consultants, advisors and other third parties. We also enter into confidentiality and invention or patent assignment agreements with our employees and consultants, but we cannot guarantee that we have entered into such agreements with each party that may have or has had access to our trade secrets or proprietary technology. Despite these efforts, any of these parties may breach the agreements and disclose our proprietary information, including our trade secrets, and we may not be able to obtain adequate remedies for such breaches. Detecting the disclosure or misappropriation of a trade secret and enforcing a claim that a party illegally disclosed or misappropriated a trade secret is difficult, expensive and time-consuming, and the outcome is unpredictable. In addition, some courts inside and outside of the United States are less willing or unwilling to protect trade secrets. If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our trade secrets were to be lawfully obtained or independently developed by a competitor or other third party, we would have no right to prevent them, or those to whom they communicate it, from using that technology or information to compete with us. If any of our trade secrets were to be disclosed to or independently developed by a competitor or other third party, our competitive position would be materially and adversely harmed. </w:t>
      </w:r>
    </w:p>
    <w:p>
      <w:pPr>
        <w:pStyle w:val="TextBody"/>
        <w:bidi w:val="0"/>
        <w:spacing w:before="36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 candidates that are similar to ours but that are not covered by the claims of the patents that we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license partners or current or future collaborators, might not have been the first to make the inventions covered by the issued patent or pending patent applications that we license or may own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license partners or current or future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in-licensed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owned and in-licensed pending patent applications or those we may own or in-license in the future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ensure that any of our patents, or any of our pending patent applications, if issued, or those of our licensors, will include claims having a scope sufficient to protect our product candidate;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ensure that any patents issued to us or our licensors will provide a basis for an exclusive market for our commercially viable product candidates or will provide us with any competitive advantages;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ensure that our commercial activities or product candidates will not infringe upon the patents of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ensure that we will be able to successfully commercialize our product candidates on a substantial scale, if approved, before the relevant patents that we own or license expire;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portions of our discovery technology are protected by trade secrets, but much is not protected by intellectual property, including patents, trade secrets and know-how, and we may not be able to develop, acquire or in-license any patentable technologies or other intellectual property related to the unprotected portions of our discovery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have a material adverse effect on our business, financial condition, results of operations and prospects.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Regulatory Approval of our Product Candidates and Other Legal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complete the necessary preclinical studies and clinical trials, the marketing approval process is expensive, time-consuming and uncertain, and we may not obtain approvals for the commercialization of some or all of our product candidates. If we are not able to obtain, or if there are delays in obtaining, required regulatory approvals, we will not be able to commercialize our product candidates, and our ability to generate revenue will be materially impaired.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Marketing approval of drugs in the United States requires the submission of a new drug application, or NDA, to the FDA and we are not permitted to market any drug candidate in the United States until we obtain approval of the NDA. An NDA must be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supported by extensive clinical and preclinical data, as well as extensive information regarding pharmacology, chemistry, manufacturing and controls. We have not submitted an application for or received marketing approval for any of our product candidates in the United States or in any other jurisdiction.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only limited experience in filing and supporting the applications necessary to gain marketing approvals and expect to rely on third-party CROs or other third-party consultants or vendors to assist us in this process. Securing marketing approval requires the submission of extensive preclinical and clinical data and supporting information, including manufacturing information, to regulatory authorities for each therapeutic indication to establish the product candidate’s safety and efficacy. Our product candidates may not be effective, may be only moderately effective or may prove to have undesirable or unintended side effects, toxicities or other characteristics that may preclude our obtaining marketing approval or prevent or limit commercial use. If any of our product candidates receives marketing approval, the accompanying label may limit the approved use of our drug, which could limit sales of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process of obtaining marketing approvals, both in the United States and abroad, is expensive, may take many years, if approval is obtained at all, and can vary substantially based upon a variety of factors, including the type, complexity and novelty of the product candidates involved. Changes in marketing approval policies during the development period, changes in or the enactment of additional statutes or regulations, or changes in regulatory review for each submitted product application, may cause delays in the approval or rejection of an application. Regulatory authorities have substantial discretion in the approval process and may refuse to accept any application or may decide that our data is insufficient for approval and require additional preclinical, clinical or other studies. In addition, varying interpretations of the data obtained from preclinical and clinical testing could delay, limit or prevent marketing approval of a product candidate. Any marketing approval we ultimately obtain may be limited or subject to restrictions or post-approval commitments that render the approved product not commercially viable.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experience delays in obtaining approval or if we fail to obtain approval of our product candidates, the commercial prospects for our product candidates may be harmed and our ability to generate revenues will be materially impaired. </w:t>
      </w:r>
    </w:p>
    <w:p>
      <w:pPr>
        <w:pStyle w:val="TextBody"/>
        <w:bidi w:val="0"/>
        <w:spacing w:before="360" w:after="283"/>
        <w:jc w:val="left"/>
        <w:rPr>
          <w:rFonts w:ascii="Times New Roman" w:hAnsi="Times New Roman"/>
          <w:sz w:val="20"/>
        </w:rPr>
      </w:pPr>
      <w:r>
        <w:rPr>
          <w:rFonts w:ascii="Times New Roman" w:hAnsi="Times New Roman"/>
          <w:b/>
          <w:i/>
          <w:color w:val="000000"/>
          <w:sz w:val="20"/>
        </w:rPr>
        <w:t>Disruptions at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which could negatively impact our business and our timelines.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shifting policy priorities as a result of changes in the presidential administration and political appointees tasked to oversee the agency, and statutory, regulatory, leadership, and policy changes. Average review times at the agency have fluctuated in recent years as a result. In addition, government funding of the SEC, and other government agencies on which our operations may rely is subject to the impacts of political events, which are inherently fluid and unpredictable.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Disruptions at the FDA and other federal agencies, including substantial leadership departures, personnel cuts, and policy changes, may also slow the time necessary for new drugs to be reviewed and/or approved, which would harm our business. Changes and cuts in FDA staffing also could result in delays in the FDA’s responsiveness or in its ability to review IND submissions or applications, issue regulations or guidance, or implement or enforce regulatory requirements in a timely fashion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over the last several years, the U.S. government has shut down several times, including from October 1, 2025 through November 12, 2025, and from January 31, 2025 through February 3, 2026. In some circumstances, certain regulatory agencies, such as the FDA and the SEC, have had to furlough critical FDA, SEC and other government employees and stop critical activities. If a prolonged government shutdown occurs, it could significantly impact the ability of the FDA and the SEC to timely review and process our submissions, which could have a material adverse effect on our business and our timelines.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the change in the U.S. presidential administration in 2025, there is uncertainty as to how and to what extent the current administration will continue to seek to modify or revise the requirements and policies of the FDA and other regulatory agencies with jurisdiction over our product candidates and any products for which we obtain approval. This uncertainty could present new challenges and/or opportunities as we navigate development and approval of our product candidates. Additionally, the current administration could issue or promulgate executive orders, regulations, policies or guidance that adversely affect us or create a more challenging or costly environment to pursue the development of new therapeutic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may not be able to obtain or maintain orphan drug designation or exclusivity for our product candidates and, even if we do, that exclusivity may not prevent the FDA or the EMA from approving other competing products.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Regulatory authorities in some jurisdictions, including the United States and European Union, may designate drugs for relatively small patient populations as orphan drugs. We may seek orphan drug designation, as appropriate, for our other current and future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Generally, if a product with an orphan drug designation subsequently receives the first marketing approval for the indication for which it has such designation, the product is entitled to a period of market exclusivity, which precludes the FDA or the EMA from approving another marketing authorization application for the same drug for a certain time period. The applicable period is seven years in the United States and ten years in the European Union. The exclusivity period in the European Union can be reduced to six years at the end of the fifth year if it is determined that a product no longer meets the criteria for orphan designation, including if the product is sufficiently profitable so that market exclusivity is no longer justified. Proposed amendments to European Union regulations regarding orphan medicines are under consideration which, if approved, could reduce the ten-year marketing exclusivity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Orphan drug exclusivity may be lost if the FDA or EMA determines that the request for designation was materially defective or if the manufacturer is unable to assure sufficient quantity of the drug to meet the needs of patients with the rare disease or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obtain orphan drug exclusivity for a product, that exclusivity may not effectively protect the product from competition because competing drugs containing a different active ingredient can be approved for the same condition. In addition, the FDA or the EMA can subsequently approve the same drug for the same condition if the FDA or the EMA concludes that the later drug is clinically superior to the first drug to obtain orphan drug exclusivity because it is shown to be safer, more effective or makes a major contribution to patient care. Moreover, if we pursue and obtain approval for the same product for another indication for which we are not entitled to or do not have orphan drug exclusivity, our period of orphan exclusivity will not prevent third parties from obtaining approval for a competing drug containing the same active ingredient for use in this other, non-orphan indication. If that were to occur, the protection we derive from orphan exclusivity may be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Designations by the FDA, such as fast track designation or breakthrough therapy designation, may not lead to a faster development or regulatory review or approval process, and do not increase the likelihood that our product candidates will receive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fast track designation as well as breakthrough therapy designation for some of our product candidates. If a drug is intended for the treatment of a serious or life-threatening condition and the drug demonstrates the potential to address unmet medical needs for this condition, the drug sponsor may apply for FDA fast track designation. The FDA has broad discretion whether or not to grant this designation, so even if we believe a particular product candidate is eligible for this designation, we cannot assure stockholders that the FDA would decide to grant it. Even with fast track designation, we may not experience a faster development process, review or approval compared to conventional FDA procedures. The FDA may withdraw fast track designation if it believes that the designation is no longer supported by data from our clinical development program.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Designation as a breakthrough therapy is within the discretion of the FDA. Accordingly, even if we believe one of our product candidates meets the criteria for designation as a breakthrough therapy, the FDA may disagree and instead determine not to grant such designation. Even if we receive breakthrough therapy designation, the receipt of such designation for a product candidate may not result in a faster development process, review or approval compared to drugs considered for approval under conventional FDA procedures and does not assure ultimate approval by the FDA. In addition, even if one or more of our product candidates is granted breakthrough therapy designation, the FDA may later decide that such product candidates no longer meet the conditions for qualification or decide that the time period for FDA review or approval will not be shortened.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Even if the FDA agrees that we may pursue an accelerated approval NDA submission, approval of the NDA is not assured, nor does submission of an accelerated approval NDA ensure that the product candidate will have a faster development or regulatory review process.</w:t>
      </w:r>
    </w:p>
    <w:p>
      <w:pPr>
        <w:pStyle w:val="TextBody"/>
        <w:bidi w:val="0"/>
        <w:spacing w:before="120" w:after="283"/>
        <w:jc w:val="left"/>
        <w:rPr>
          <w:rFonts w:ascii="Times New Roman" w:hAnsi="Times New Roman"/>
          <w:sz w:val="20"/>
        </w:rPr>
      </w:pPr>
      <w:r>
        <w:rPr>
          <w:rFonts w:ascii="Times New Roman" w:hAnsi="Times New Roman"/>
          <w:color w:val="000000"/>
          <w:sz w:val="20"/>
        </w:rPr>
        <w:t>We may seek approval, as applicable, of our product candidates using the FDA’s accelerated approval pathway. A product may be eligible for accelerated approval if it treats a serious condition, generally provides a meaningful advantage over available therapies, and demonstrates an effect on a surrogate endpoint that is reasonably likely to predict clinical benefit or on a clinical endpoint that can be measured earlier than irreversible morbidity or mortality, or IMM, that is reasonably likely to predict an effect on IMM or other clinical benefit (</w:t>
      </w:r>
      <w:r>
        <w:rPr>
          <w:rFonts w:ascii="Times New Roman" w:hAnsi="Times New Roman"/>
          <w:i/>
          <w:color w:val="000000"/>
          <w:sz w:val="20"/>
        </w:rPr>
        <w:t>i.e.</w:t>
      </w:r>
      <w:r>
        <w:rPr>
          <w:rFonts w:ascii="Times New Roman" w:hAnsi="Times New Roman"/>
          <w:color w:val="000000"/>
          <w:sz w:val="20"/>
        </w:rPr>
        <w:t>, an intermediate clinical endpoint).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Prior to seeking such accelerated approval, we will seek feedback from the FDA and otherwise evaluate our ability to seek and receive such accelerated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can be no assurance that, after feedback from FDA, we will continue to pursue or apply for accelerated approval or any other form of expedited development, review or approval, even if we initially decide to do so. Furthermore, if we decide to submit an application for accelerated approval or under another expedited regulatory designation, there can be no assurance that such submission or application will be accepted or that any expedited review or approval will be granted on a timely basis,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Moreover, as a condition of accelerated approval, the FDA likely would require that we perform adequate and well-controlled post-marketing clinical trials to confirm the product’s clinical benefit. These confirmatory trials must be completed with due diligence. Under the Food and Drug Omnibus Reform Act of 2022, or FDORA, the FDA may require that a post-approval confirmatory study or studies be underway prior to approval or within a specified time period after the date of approval for a product granted accelerated approval. FDORA also requires sponsors to send updates to the FDA every 180 days on the status of such studies, including progress toward enrollment targets, and the FDA must promptly post this information publicly. FDORA also gives the FDA increased authority to withdraw approval of a drug or biologic granted accelerated approval on an expedited basis if the sponsor fails to conduct such studies in a timely manner, send the necessary updates to the FDA, or if such post-approval studies fail to verify the drug’s predicted clinical benefit. Under FDORA, the FDA is empowered to take action, such as issuing fines, against companies that fail to conduct with due diligence any post-approval confirmatory study or submit timely reports to the agency on their progress. In addition, the FDA generally requires pre-approval of promotional materials for products under consideration for accelerated approval, which could adversely impact the timing of the commercial launch of the product. Thus, even if we seek to utilize the accelerated approval pathway for a product candidate, we may not experience a faster development or regulatory review or approval process for that product. In addition, receiving accelerated approval does not assure that the product’s accelerated approval will ultimately be converted to a traditional approval.</w:t>
      </w:r>
    </w:p>
    <w:p>
      <w:pPr>
        <w:pStyle w:val="TextBody"/>
        <w:bidi w:val="0"/>
        <w:spacing w:before="360" w:after="283"/>
        <w:jc w:val="left"/>
        <w:rPr>
          <w:rFonts w:ascii="Times New Roman" w:hAnsi="Times New Roman"/>
          <w:sz w:val="20"/>
        </w:rPr>
      </w:pPr>
      <w:r>
        <w:rPr>
          <w:rFonts w:ascii="Times New Roman" w:hAnsi="Times New Roman"/>
          <w:b/>
          <w:i/>
          <w:color w:val="000000"/>
          <w:sz w:val="20"/>
        </w:rPr>
        <w:t>Failure to obtain marketing approval in foreign jurisdictions would prevent any product candidates from being marketed abroad.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and sell our products in the European Union and many other foreign jurisdictions, we or our potential third-party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of the United States generally includes all of the risks associated with obtaining FDA approval. In addition, in many countries outside of the United States, it is required that the product be approved for reimbursement before the product can be approved for sale in that country. We or our potential third-party collaborators may not obtain approvals, including conditional authorization,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 However, a failure or delay in obtaining regulatory approval in one country may have a negative effect on the regulatory process in other countries. We may not be able to file for marketing approvals and may not receive the necessary approvals to commercialize our products in any market.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now that the United Kingdom is no longer part of the European Union, separate applications and procedures will be required to obtain regulatory approval for our products in the United Kingdom and the European Union. Any delay in obtaining, or an inability to obtain, any marketing approvals could prevent us from commercializing any product candidates in the United Kingdom and/or the European Union and restrict our ability to generate revenue and achieve and sustain profitability.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Any product candidate for which we obtain marketing approval could be subject to post-marketing restrictions or withdrawal from the market under certain circumstances, and we may be subject to substantial penalties if we fail to comply with regulatory requirements or if we experience unanticipated problems with our products, when and if any of them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 candidate for which we obtain marketing approval, along with the manufacturing processes, post-approval clinical data, labeling, advertising and promotional activities for such product, will be subject to continual requirements of and review by the FDA and other regulatory authorities. Even if marketing approval of a product candidate is granted, the approval may be subject to limitations on the indicated uses for which the product may be marketed or to the conditions of approval, including the requirement to implement a REMS. If any of our product candidates receives marketing approval, the accompanying label may limit the approved use of our drug, which could limit sales of the product.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may also impose requirements for costly post-marketing studies or clinical trials and surveillance to monitor the safety or efficacy of the product, including the adoption and implementation of REMS. The FDA and other agencies, including the Department of Justice, or the DOJ, closely regulate and monitor the post-approval marketing and promotion of drugs to ensure they are marketed and distributed only for the approved indications and in accordance with the provisions of the approved labeling. Violations of the FDCA and other statutes, including the False Claims Act, relating to the promotion and advertising of prescription drugs may lead to investigations and enforcement actions alleging violations of federal and state healthcare fraud and abuse laws, as well as state consumer protection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later discovery of previously unknown adverse events or other problems with our products, manufacturers or manufacturing processes, or failure to comply with regulatory requirements, may have various consequences,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of or restrictions on such products, manufacturers or manufacturing processes;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and warnings on the labeling or marketing of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product distribution or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requirements to conduct post-marketing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FDA Form 483s, warning letters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products from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approve pending applications or supplements to approved applications that we submit;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recall of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fines, restitution or disgorgement of profits or revenues;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of any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marketing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damage to relationships with any potential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unfavorable press coverage and damage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to permit the import or export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 or detention;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involving patients using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with European Union requirements regarding safety monitoring or pharmacovigilance, and with requirements related to the development of products for the pediatric population, can also result in significant financial penalties. Similarly, failure to comply with the European Union’s or United Kingdom’s requirements regarding the protection of personal information can also lead to significant penalties and sanctions.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manufacturers of approved products and those manufacturers’ facilities are required to comply with extensive FDA requirements, including ensuring that quality control and manufacturing procedures conform to cGMPs applicable to drug manufacturers. Additionally, under FDORA, sponsors of approved drugs and biologics must provide six months’ notice to the FDA of any changes in marketing status, such as the withdrawal of a drug, and failure to do so could result in the FDA placing the product on a list of discontinued products, which would revoke the product’s ability to be marketed. We will also be subject to other regulatory requirements, including submissions of safety and other post-marketing information and reports, registration and listing requirements, requirements regarding the distribution of samples to clinicians, and recordkeeping.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relationships with healthcare providers, physicians and third-party payors will be subject to applicable anti-kickback, fraud and abuse, false claims, transparency, health information privacy and security, and other healthcare laws and regulations, which, in the event of a violation, could expose us to criminal sanctions, civil penalties, contractual damages, reputational harm, administrative burdens and diminished profits and future earnings.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obtain regulatory approval and commercialize any products, healthcare providers, physicians and third-party payors will play a primary role in the recommendation and prescription of any product candidates for which we obtain marketing approval. Our future arrangements with healthcare providers, physicians and third-party payors may expose us to broadly applicable fraud and abuse and other healthcare laws and regulations that may constrain the business or financial arrangements and relationships through which we market, sell and distribute any products for which we obtain marketing approval. In addition, we may be subject to transparency laws and patient privacy regulation by U.S. federal and state governments and by governments in foreign jurisdictions in which we conduct our business. See Item 1 “Business—Government Regulation and Product Approvals—Health Care Law and Regulation” in the 2025 Annual Report.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distribution of pharmaceutical products is subject to additional requirements and regulations, including extensive record-keeping, licensing, storage and security requirements intended to prevent the unauthorized sale of pharmaceutical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and enforcement of each of these laws is uncertain and subject to rapid change in the current environment of healthcare reform, especially in light of the lack of applicable precedent and regulations. 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including anticipated activities that would be conducted by our sales team, are found to be in violation of any of these laws or any other governmental regulations that may apply to us, we may be subject to significant civil, criminal and administrative penalties, damages, fines, imprisonment, exclusion of products from government funded healthcare programs, such as Medicare and Medicaid, and the curtailment or restructuring of our operations. If any of the physicians or other healthcare providers or entities with whom we expect to do business is found to be not in compliance with applicable laws, they may be subject to criminal, civil or administrative sanctions, including exclusions from participation in government funded healthcare programs. </w:t>
      </w:r>
    </w:p>
    <w:p>
      <w:pPr>
        <w:pStyle w:val="TextBody"/>
        <w:bidi w:val="0"/>
        <w:spacing w:before="360" w:after="283"/>
        <w:jc w:val="left"/>
        <w:rPr>
          <w:rFonts w:ascii="Times New Roman" w:hAnsi="Times New Roman"/>
          <w:sz w:val="20"/>
        </w:rPr>
      </w:pPr>
      <w:r>
        <w:rPr>
          <w:rFonts w:ascii="Times New Roman" w:hAnsi="Times New Roman"/>
          <w:b/>
          <w:i/>
          <w:color w:val="000000"/>
          <w:sz w:val="20"/>
        </w:rPr>
        <w:t>Compliance with global privacy and data security requirements could result in additional costs and liabilities to us or inhibit our ability to collect and process data globally, and the failure to comply with such requirements could subject us to significant fines and penalties, which may have a material adverse effect on our business, financial condition or 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legislative and regulatory framework for the collection, use, safeguarding, sharing, transfer and other processing of information worldwide is rapidly evolving and is likely to remain uncertain for the foreseeable future. Globally, virtually every jurisdiction in which we operate has established its own data security and privacy frameworks with which we must comply. For example, the collection, use, disclosure, transfer, or other processing of personal data regarding individuals in the European Economic Area, or EEA, including personal health data, is subject to the European Union’s General Data Protection Regulation, or EU GDPR. Following the withdrawal of the United Kingdom from the European Union, or Brexit, the EU GDPR has been incorporated into United Kingdom’s laws, or UK GDPR, alongside the UK Data Protection Act 2018, and together with the EU GDPR, is referred to as GDPR.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Brexit, the EU and UK GDPR remain largely aligned. Currently, the most impactful point of divergence relates to transfer mechanisms (i.e., the ability for companies in the European Union or the United Kingdom to transfer personal information to third countries, including the United States), because it requires us to implement a variety of different contractual clauses approved by European Union’s or United Kingdom’s regulators, and carry out transfer impact assessments to establish whether the third country can ensure essential equivalency. This complexity and the additional contractual burden increases our overall risk exposure, and may result in us needing to make strategic considerations around where EEA and UK personal data is stored and which service providers we can utilize for the processing of EEA and UK personal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further divergence in the future, including with regard to administrative burdens. For example, the Data (Use and Access) Act 2025, or the UK Act, which supplements the UK GDPR, recently came into force and introduces certain provisions that diverge from the EU GDPR. Although the UK’s data protection framework is still considered to provide “essentially equivalent” safeguards to the EU’s GDPR, future divergence remains a possibility. Further divergence between the EU GDPR and UK GDPR could add legal risk, uncertainty, complexity, and cost to our handling of European personal data and our privacy and security compliance programs. We may no longer be able to take a unified approach across the European Union and the United Kingdom, and we will need to amend our processes and procedures to align with such divergence. In addition, EEA Member States have adopted national laws to implement the EU GDPR that may partially deviate from the EU GDPR and competent authorities in the Member States may interpret the EU GDPR obligations slightly differently from country to country. Therefore, we do not expect to operate in a uniform legal landscape in the EEA.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Similar data protection laws are either in place or under way in the United States. There are a broad variety of privacy and data security laws and regulations that may be applicable to our activities governing the collection, use, disclosure, and protection of health-related and other personal information (including, state data breach notification laws, health information and/or genetic privacy laws and federal and state consumer protection laws including Section 5 of the FTC Act, HIPAA, and the California Consumer Privacy Act, or CCPA). For example, the CCPA as amended by the California Privacy Rights Act, has created certain requirements for data use, sharing and transparency, and provides California residents certain rights concerning their personal information, such as access, correction, deletion and opt out of selling or sharing such data. A number of other states have implemented privacy legislation similar to the CCPA or are preparing to implement their own regulatory frameworks. Certain states have also passed laws that protect biometric information or are specifically focused on consumer health data (e.g., Washington, Connecticut and Nevada), which impose state regulations on consumer health data, which further increases compliance risk. These laws and regulations, including their interpretation by governmental agencies, are subject to frequent change and could have a negative impact on our business. Further, these varying interpretations could create complex compliance issues for us and our partners and potentially expose us to additional expense, liability, penalties, negatively impact our client relationships, and lead to adverse publicity, and all of these risks could negatively affect our business in the short and long term.. A wide range of enforcement agencies at both the state and federal levels, such as the Federal Trade Commission and state Attorneys General have been increasingly aggressive in reviewing and enforcing privacy and data security-related consumer protection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and legislators in the U.S. are increasingly scrutinizing and restricting certain personal data transfers and transactions involving foreign countries. For example, a January 2025 DOJ rule prohibits transfers of data to countries of concern, including China, as well as certain agreements absent specified cybersecurity controls. Actual or alleged violations of these regulations may be punishable by criminal and/or civil sanctions, and may result in exclusion from participation in federal and state programs. and could restrict our ability to use certain vendors, sites, investigators, or service providers in global clinical trials. See Item 1 “Business—Government Regulation and Product Approvals” in the 2025 Annual Report for additional information.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 breadth and depth of changes in privacy, data protection and consumer protection obligations, preparing for and complying with these requirements is rigorous and time intensive and requires significant resources and ongoing review of our technologies, systems and practices, as well as those of any third-party collaborators, service providers, contractors or consultants that store, process or transfer personal data on our behalf. Compliance with the GDPR and other similar laws or regulations associated with the enhanced protection of certain types of sensitive data, such as healthcare data or other personal information from our clinical trials, could require us to change our business practices and put in place additional compliance mechanisms, may interrupt or delay our development, regulatory and commercialization activities and increase our cost of doing business. Any failure or perceived failure by us to comply with such laws and regulations could lead to government enforcement actions, private litigation and significant fines and penalties against us and could have a material adverse effect on our business, financial condition or results of operations. There is also the threat of consumer class actions related to these laws and the overall protection of personal data. Even if we are not determined to have violated these laws, government investigations into these issues typically require the expenditure of significant resources and generate negative publicity, which could harm our reputation and our business.</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Our use of new and evolving technologies, such as artificial intelligence, or AI, may present risks and challenges that can impact our business, including by posing cybersecurity and other risks to our confidential and/or proprietary information, including personal information, and as a result we may be exposed to reputational harm and 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use, and our vendors may incorporate AI both in our own development and implementation of AI and through the adoption of commercially available tools. The use of AI presents risks and challenges that could adversely affect our business, including cybersecurity, data privacy, IT, confidentiality, regulatory, legal, operational, competitive, reputational and intellectual property risks. Specifically, risks related to accuracy, bias, artificial intelligence hallucinations, discrimination, harmful content, misinformation, fraud, scams, targeted attacks (including model poisoning or data poisoning), surveillance, data leakage, environmental and other harms may flow from our development or use of AI technologies. For example, use of certain AI tools may increase the risk of unauthorized disclosure of confidential information, compromise of proprietary intellectual property, or inadvertent inclusion of third-party intellectual property or other protected material, which could result in disputes or claims of infringement.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government and supranational regulation related to AI is evolving and could increase the burden and cost of compliance, including through requirements related to transparency, accountability, risk management, human oversight, and data governance. The EU’s Artificial Intelligence Act, or AI Act, started coming into force in August 2024, with important parts of the new law scheduled to come into effect in August 2026. In the United States, the regulatory environment is complex and uncertain. Over the past year, states have advanced, and in some cases passed, dozens of laws focusing on AI governance and regulation, including on deployment of AI in healthcare settings. At the federal level, the current administration endorsed a federal moratorium on the enforcement of state AI laws. So far, these efforts have not been successful at curtailing state action on AI regulation, contributing to a complicated legislative patchwork. In addition, there is continued uncertainty regarding the application of existing federal and state legal frameworks to uses and development of AI, and legal norms and market standards regarding AI continue to evolve. For example, the FDA issued guidance on the use of AI in medical devices, requiring detailed risk management and review processes to obtain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approvals. If we develop or use AI systems that are governed by the these laws or regulations, we will need to meet higher standards of data quality, transparency, and human oversight, and we would need to adhere to specific and potentially burdensome and costly ethical, accountability, and administrative requirements. The rapid evolution of AI will require the application of significant resources to help ensure that AI is implemented in accordance with applicable law and regulation and in a socially responsible manner. The use of certain AI technologies can also give rise to intellectual property risks. The use of AI tools by our vendors also exposes us to risk.</w:t>
      </w:r>
    </w:p>
    <w:p>
      <w:pPr>
        <w:pStyle w:val="TextBody"/>
        <w:bidi w:val="0"/>
        <w:spacing w:before="360" w:after="283"/>
        <w:jc w:val="left"/>
        <w:rPr>
          <w:rFonts w:ascii="Times New Roman" w:hAnsi="Times New Roman"/>
          <w:sz w:val="20"/>
        </w:rPr>
      </w:pPr>
      <w:r>
        <w:rPr>
          <w:rFonts w:ascii="Times New Roman" w:hAnsi="Times New Roman"/>
          <w:b/>
          <w:i/>
          <w:color w:val="000000"/>
          <w:sz w:val="20"/>
        </w:rPr>
        <w:t>Recently enacted and future legislation may increase the difficulty and cost for us to obtain marketing approval of and commercialize our product candidate and affect the prices we may obtain for any products that are approved in the United States or foreign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United States and some foreign jurisdictions, there have been a number of legislative and regulatory changes and proposed changes regarding the healthcare system that could prevent or delay marketing approval of our product candidates, restrict or regulate post-approval activities and affect our ability to profitably sell any product candidates for which we obtain marketing approval. The pharmaceutical industry has been a particular focus of these efforts and has been significantly affected by legislative initiatives. Current laws, as well as other healthcare reform measures that may be adopted in the future, may result in more rigorous coverage criteria and in additional downward pressure on the price that we receive for any FDA approved product. If reimbursement of our products is unavailable or limited in scope, our business could be materially harmed. See Item 1 “Business—Government Regulation and Product Approval—Pharmaceutical Insurance Coverage and Health Care Reform” in the 2025 Annual Report for additional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example, the IRA among other things, allows for CMS to negotiate prices for certain single-source drugs and biologics reimbursed under Medicare Part B and Part D, beginning with select high-cost drugs in 2026. The legislation subjects drug manufacturers to civil monetary penalties and a potential excise tax for offering a price that is not equal to or less than the price negotiated under the law or for taking price increases that exceed inflation. The legislation also requires manufacturers to pay rebates for drugs in Medicare Part B and Part D whose price increases exceed inflation. Further, the legislation caps Medicare beneficiaries’ annual out-of-pocket drug expenses at $2,000. The implementation of the IRA is currently subject to ongoing litigation challenging the constitutionality of the IRA’s Medicare drug price negotiation program. The effect of the IRA on our business and the healthcare industry in general is not yet known.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Through executive orders, the current U.S. administration has been taking steps to reduce drug prices, and consistent with these executive directives, in December 2025, CMS issued proposed rules establishing two mandatory drug payment models that would introduce MFN pricing principles into Medicare drug reimbursement. These proposals remain subject to notice-and-comment rulemaking and may face legal or administrative challenges. Separately, in November 2025, CMS introduced a voluntary MFN-based framework for manufacturers participating in the Medicaid Drug Rebate Program. Although participation is voluntary, the model could nonetheless influence manufacturer pricing strategies and broader market dynamics by encouraging alignment of U.S. Medicaid prices with international reference pricing benchmarks. See Item 1 “Business—Government Regulation and Product Approval—Pharmaceutical Insurance Coverage and Health Care Reform” in the 2025 Annual Report for additional information regarding these laws, regulations and orders.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continuing efforts of the government, insurance companies, managed care organizations and other payers of healthcare services to contain or reduce costs of healthcare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any of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set a price that we believe is fair for any of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revenues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availability of capital.</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these healthcare reforms,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 </w:t>
      </w:r>
    </w:p>
    <w:p>
      <w:pPr>
        <w:pStyle w:val="TextBody"/>
        <w:bidi w:val="0"/>
        <w:spacing w:before="360" w:after="283"/>
        <w:jc w:val="left"/>
        <w:rPr>
          <w:rFonts w:ascii="Times New Roman" w:hAnsi="Times New Roman"/>
          <w:sz w:val="20"/>
        </w:rPr>
      </w:pPr>
      <w:r>
        <w:rPr>
          <w:rFonts w:ascii="Times New Roman" w:hAnsi="Times New Roman"/>
          <w:b/>
          <w:i/>
          <w:color w:val="000000"/>
          <w:sz w:val="20"/>
        </w:rPr>
        <w:t>Governments outside of the United States tend to impose strict price controls, which may adversely affect our revenues, if 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countries outside of the United States,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 If reimbursement of our products is unavailable or limited in scope or amount, or if pricing is set at unsatisfactory levels, our business could be harmed, possibly materially. </w:t>
      </w:r>
    </w:p>
    <w:p>
      <w:pPr>
        <w:pStyle w:val="TextBody"/>
        <w:bidi w:val="0"/>
        <w:spacing w:before="360" w:after="283"/>
        <w:jc w:val="left"/>
        <w:rPr>
          <w:rFonts w:ascii="Times New Roman" w:hAnsi="Times New Roman"/>
          <w:sz w:val="20"/>
        </w:rPr>
      </w:pPr>
      <w:r>
        <w:rPr>
          <w:rFonts w:ascii="Times New Roman" w:hAnsi="Times New Roman"/>
          <w:b/>
          <w:i/>
          <w:color w:val="000000"/>
          <w:sz w:val="20"/>
        </w:rPr>
        <w:t>If we or any third-party manufacturers we engage now or in the future fail to comply with environmental, health and safety laws and regulations, we could become subject to fines or penalties or incur costs or liabilities that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third-party manufacturers we engage now are, and any third-party manufacturers we may engage in the future will be,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Liability under certain environmental laws governing the release and cleanup of hazardous materials is joint and several and could be imposed without regard to fault. We also could incur significant costs associated with civil or criminal fines and penalties or become subject to injunctions limiting or prohibiting our activities for failure to comply with such laws and regulations.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maintain general liability insurance as well as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with respect to the operations of our current and any future third-party contract manufacturers, it is possible that if they fail to operate in compliance with applicable environmental, health and safety laws and regulations or properly dispose of wastes associated with our products, we could be held liable for any resulting damages, suffer reputational harm or experience a disruption in the manufacture and supply of our product candidates or products. In addition, our supply chain may be adversely impacted if any of our third-party contract manufacturers become subject to injunctions or other sanctions as a result of their non-compliance with environmental, health and safety laws and regulations.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subject to anti-corruption laws, as well as export control laws, customs laws, sanctions laws and other laws governing our operations. If we fail to comply with these laws, we could be subject to civil or criminal penalties, other remedial measures and legal expenses, be precluded from developing manufacturing and selling certain products outside the United States or be required to develop and implement costly compliance programs, which could adversely affect our business, results of operations and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are subject to anti-corruption laws, including the U.K. Bribery Act 2010, or Bribery Act, the U.S. Foreign Corrupt Practices Act, or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Compliance with the FCPA, in particular,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our international operations might be subject or the manner in which existing laws might be administered or interpreted. If we expand our operations outside of the United States, we will need to dedicate additional resources to comply with numerous laws and regulations in each jurisdiction in which we plan to operate.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also subject to other laws and regulations governing our international operations, including regulations administered by the governments of the United Kingdom and the United States, and authorities in the European Union, including applicable export control regulations, economic sanctions on countries and persons, customs requirements and currency exchange regulations, collectively referred to as the Trade Control laws. In addition, 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which could have an adverse impact on our business, financial condition, results of operations and liquidity. The SEC also may suspend or bar issuers from trading securities on U.S. exchanges for violations of the FCPA’s accounting provisions. Any investigation of any potential violations of the Bribery Act, the FCPA, other anti-corruption laws or Trade Control laws by United Kingdom, United States or other authorities could also have an adverse impact on our reputation, our business, results of operations and financial condition. </w:t>
      </w:r>
    </w:p>
    <w:p>
      <w:pPr>
        <w:pStyle w:val="TextBody"/>
        <w:bidi w:val="0"/>
        <w:spacing w:before="360" w:after="283"/>
        <w:jc w:val="left"/>
        <w:rPr>
          <w:rFonts w:ascii="Times New Roman" w:hAnsi="Times New Roman"/>
          <w:sz w:val="20"/>
        </w:rPr>
      </w:pPr>
      <w:r>
        <w:rPr>
          <w:rFonts w:ascii="Times New Roman" w:hAnsi="Times New Roman"/>
          <w:b/>
          <w:i/>
          <w:color w:val="000000"/>
          <w:sz w:val="20"/>
        </w:rPr>
        <w:t>Our employees, independent contractors, consultants and vendors may engage in misconduct or other improper activities, including non-compliance with regulatory standards and requirements and insider trading, which could cause significant liability for us and harm our reputation.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fraud or other misconduct by our employees, independent contractors, consultants and vendors. Misconduct by these partners could include intentional failures to comply with FDA regulations or similar regulations of comparable foreign regulatory authorities, provide accurate information to the FDA or comparable foreign regulatory authorities, comply with manufacturing standards, comply with federal and state healthcare fraud and abuse laws and regulations and similar laws and regulations established and enforced by comparable foreign regulatory authorities, report financial information or data accurately or disclose unauthorized activities to us. Employee misconduct could also involve the improper use of information obtained in the course of clinical trials, which could result in regulatory sanctions and serious harm to our reputation. This could include violations of HIPAA, other U.S. federal and state law, and requirements of non-U.S. jurisdictions, including the EU GDPR. We are also exposed to risks in connection with any insider trading violations by employees or others affiliated with us.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standards, regulations, guidance or codes of conduct. If any such actions are instituted against us, and we are not successful in defending ourselves or asserting our rights, those actions could have a significant impact on our business and results of operations, including the imposition of significant fines or other sanctions.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internal computer and information technology systems and infrastructure, or those of our collaborators or other contractors or consultants, may fail or suffer security compromises or breaches, which could result in a disruption of our product development programs.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internal computer and information technology systems and infrastructure and those of our CROs, collaborators, and other contractors or consultants upon which our business relies, are vulnerable to breakdown or damage or interruption or otherwise may sustain damage from computer viruses, unauthorized access, data breaches, phishing attacks, cybercriminals, system malfunction, natural disasters (including hurricanes and earthquakes), terrorism, war and telecommunication and electrical failures. Such systems and infrastructure are also vulnerable to service interruptions or to security compromises or breaches from inadvertent or intentional actions by our employees, CROs or other third-party vendors, contractors, consultants and/or business partners or other third parties, or from cyber-attacks by malicious third parties. Cyber-attacks are increasing in their frequency, sophistication and intensity, and have become increasingly difficult to detect. Cyber-attacks could include wrongful conduct by insider employees or vendors, hostile foreign governments, industrial espionage, wire fraud and other forms of cyber fraud or cyber-attacks, including the deployment of harmful malware, ransomware, denial-of-service attacks, unauthorized access to or deletion of files, phishing attacks and social engineering, business email compromise, and other means to affect service reliability and threaten the confidentiality, integrity and availability of information. We, and our third party service providers, have experienced cyber incidents in the past, and we cannot guarantee that the measures we take to prevent, detect and respond to cyber-attacks will be effective to prevent or remediate future incidents. If our cybersecurity measures or those of our service providers fail to protect against unauthorized access, attacks, compromise or the mishandling of data by our employees or contractors, then our reputation, customer trust, business, results of operations and financial condition could be adversely affected. Because the techniques used by threat actors who may attempt to penetrate and sabotage our computer systems or those of our collaborators or other contractors or consultants change frequently and may not be recognized until launched against a target, we may be unable to anticipate these techniques.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not experienced any material system failure, accident, cyber-attack or security breach to date, if such an event were to occur and cause interruptions in our operations, it could result in a material disruption of our development programs and our business operations, whether due to a loss of our trade secrets or other proprietary information or other similar disruptions. For example, the loss of clinical trial data from completed or future clinical trials could result in delays in our regulatory approval efforts and significantly increase our costs to recover or reproduce the data. Further, attempts to disrupt or gain unauthorized access to our and our third-party vendors' information systems from malicious third parties or insider threats may incorporate widely varying and frequently changing tactics, which may be enhanced or facilitated by AI. To the extent that any disruption or security compromise or breach were to result in a loss of, damage to, unauthorized access, or misuse of our data, systems, infrastructure or applications, or inappropriate disclosure of confidential or proprietary information, we could incur liability (including in connection with or resulting from litigation or governmental investigations and enforcement actions), our competitive position could be harmed and the further development and commercialization of our product candidates could be delayed and our business could be otherwise adversely affected. We cannot be sure that our cyber insurance coverage will be adequate or sufficient to protect us from or to mitigate liabilities arising out of any such disruption in, or failure or security incident, breach, or compromise of our system or third-party systems.</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Employee Matters and Managing Growth</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future success depends on our ability to retain key executives and, as applicable, to attract, retain and motivate qualified personnel.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remaining employees as we explore and evaluate strategic alternatives. Although we have entered into employment offer letters with our executive officers, each of them may terminate their employment with us at any time. We do not maintain “key person” insurance for any of our executives or other employees. Depending on the outcome of any strategic process, recruiting and retaining qualified scientific, clinical, manufacturing, accounting, legal and sales and marketing personnel could also be critical to our future success.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recently implemented a workforce reduction following our discontinuation of further development of pociredir, and have had executive transitions, including of our chief executive officer, chief financial officer, president of research and development, chief scientific officer, and chief medical officer in the past. We cannot predict the likelihood, timing or effect of future transitions among our executive leadership. The loss of the services of our remaining employees could impede our ability to identify, negotiate and implement a strategic transaction to maximize stockholder value. Furthermore, replacing these key employees may be difficult given our announced plans to seek out such a transaction. If our plans change and we resume actively developing product candidates, identifying and hiring new employees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Even if we are successful in our efforts to build-out a workforce, we cannot guarantee that we will not face similar turnover in the future. In August 2022 and September 2024, we announced a workforce reduction in our research and development function, which may make us a less attractive employer to future candidates. In addition, we have relied on consultants and advisors, including scientific and clinical advisors, to assist us in formulating our research and development and commercialization strategy.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individuals may have commitments under consulting or advisory contracts with other entities that may limit their availability to us should we need their services again. Our success also depends on implementing and maintaining internal controls and the accuracy and timeliness of our financial reporting. If we are unable to continue to retain high quality personnel or attract such personnel when needed, our ability to pursue our objectives will be limited.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recent restructuring plan to significantly reduce our ongoing operating expenses may not result in our intended outcomes and may yield unintended consequences and additional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recently implemented a restructuring plan to significantly reduce our operating expenses and preserve capital following the discontinuation of development of pociredir for the treatment of SCD. The restructuring plan reduced our workforce by approximately 85%, from 57 full-time employees to 9 full-time employees, and was substantially completed during the second quarter of 2026. We incurred aggregate charges of approximately $4.3 million in connection with the restructuring plan, consisting primarily of employee severance, employee benefits and related costs, during the second quarter of 2026. We may also incur additional charges or cash expenditures not currently contemplated. The restructuring plan and related reduction in force may result in unintended consequences and costs, such as the loss of institutional knowledge and expertise, attrition beyond the intended number of employees, decreased morale among our remaining employees, and the risk that we may not achieve the anticipated benefits of the reduction in force. In addition, while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due to insufficient personnel, or require us to incur additional and unanticipated costs to hire new personnel to pursue such opportunities or initiatives. If we are unable to realize the anticipated benefits from the reduction in force, or if we experience significant adverse consequences from the reduction in force, our business, financial condition, and results of operations may be materially adversely affected.</w:t>
      </w:r>
    </w:p>
    <w:p>
      <w:pPr>
        <w:pStyle w:val="TextBody"/>
        <w:bidi w:val="0"/>
        <w:spacing w:before="360" w:after="283"/>
        <w:jc w:val="left"/>
        <w:rPr>
          <w:rFonts w:ascii="Times New Roman" w:hAnsi="Times New Roman"/>
          <w:sz w:val="20"/>
        </w:rPr>
      </w:pPr>
      <w:r>
        <w:rPr>
          <w:rFonts w:ascii="Times New Roman" w:hAnsi="Times New Roman"/>
          <w:b/>
          <w:i/>
          <w:color w:val="000000"/>
          <w:sz w:val="20"/>
        </w:rPr>
        <w:t>If we resume actively developing product candidates, we expect to need to expand our development and regulatory capabilities and, if appropriate, potentially implement sales, marketing and distribution capabilities, and as a result, we may encounter difficulties in managing our growth, which could disrupt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resume active development of our product candidates and expand our pipeline, we expect that we will experience growth in the number of our employees and the scope of our operations, particularly in the areas of drug development, clinical, regulatory affairs and, if any of our product candidates receives marketing approval, sales, marketing and distribution.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 </w:t>
      </w:r>
    </w:p>
    <w:p>
      <w:pPr>
        <w:pStyle w:val="TextBody"/>
        <w:bidi w:val="0"/>
        <w:spacing w:before="360" w:after="283"/>
        <w:jc w:val="left"/>
        <w:rPr>
          <w:rFonts w:ascii="Times New Roman" w:hAnsi="Times New Roman"/>
          <w:sz w:val="20"/>
        </w:rPr>
      </w:pPr>
      <w:r>
        <w:rPr>
          <w:rFonts w:ascii="Times New Roman" w:hAnsi="Times New Roman"/>
          <w:b/>
          <w:color w:val="000000"/>
          <w:sz w:val="20"/>
        </w:rPr>
        <w:t>Risks Related to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Our executive officers, directors and principal stockholders, if they choose to act together, have the ability to control or significantly influence all matters submitted to stockholders for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July 23, 2026, our executive officers and directors and our stockholders who owned more than 5% of our outstanding common stock in the aggregate beneficially owned shares representing approximately 53.1% of our capital stock. As a result, if these stockholders were to choose to act together, they would be able to control or significantly influence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concentration of ownership control may: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defer or prevent a change in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entrench our management and board of directors;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 or prevent a merger, consolidation, takeover or other business combination involving us that other stockholders may desire.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Provisions in our corporate charter documents and under Delaware law could make an acquisition of our company, which may be beneficial to our stockholders, more difficult and may prevent attempts by our stockholders to replace or remove our current directors and members of management.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certificate of incorporation and our bylaws may discourage, delay or prevent a merger, acquisition or other change in control of our company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 classified board of directors such that only one of three classes of directors is elected each year;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allow the authorized number of our directors to be changed only by resolution of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the manner in which stockholders can remove directors from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advance notice requirements for stockholder proposals that can be acted on at stockholder meetings and nominations to our board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 actions must be effected at a duly called stockholder meeting and prohibit actions by our stockholders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 who may call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approval of the holders of at least 75% of the votes that all our stockholders would be entitled to cast to amend or repeal specified provisions of our certificate of incorporation or bylaws.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Moreover, because we are incorporated in Delaware, we are governed by the provisions of Section 203 of the Delaware General Corporation Law, or the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 </w:t>
      </w:r>
    </w:p>
    <w:p>
      <w:pPr>
        <w:pStyle w:val="TextBody"/>
        <w:bidi w:val="0"/>
        <w:spacing w:before="360" w:after="283"/>
        <w:jc w:val="left"/>
        <w:rPr>
          <w:rFonts w:ascii="Times New Roman" w:hAnsi="Times New Roman"/>
          <w:sz w:val="20"/>
        </w:rPr>
      </w:pPr>
      <w:r>
        <w:rPr>
          <w:rFonts w:ascii="Times New Roman" w:hAnsi="Times New Roman"/>
          <w:b/>
          <w:i/>
          <w:color w:val="000000"/>
          <w:sz w:val="20"/>
        </w:rPr>
        <w:t>If securities analysts do not publish or cease publishing research or reports or publish misleading, inaccurate or unfavorable research about our business or if they publish negative evaluations of our stock, the price and trading volume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trading market for our common stock relies, in part, on the research and reports that industry or financial analysts publish about us or our business. There can be no assurance that existing analysts will continue to cover us or that new analysts will begin to cover us. There is also no assurance that any covering analyst will provide favorable coverage. Although we have obtained analyst coverage, if one or more of the analysts covering our business downgrade their evaluations of our stock or publish inaccurate or unfavorable research about our business, or provides more favorable relative recommendations about our competitors, the price of our stock could decline. If one or more of these analysts cease to cover our stock, we could lose visibility in the market for our stock, which in turn could cause our stock price and trading volume to decline.</w:t>
      </w:r>
    </w:p>
    <w:p>
      <w:pPr>
        <w:pStyle w:val="TextBody"/>
        <w:bidi w:val="0"/>
        <w:spacing w:before="360" w:after="283"/>
        <w:jc w:val="left"/>
        <w:rPr>
          <w:rFonts w:ascii="Times New Roman" w:hAnsi="Times New Roman"/>
          <w:sz w:val="20"/>
        </w:rPr>
      </w:pPr>
      <w:r>
        <w:rPr>
          <w:rFonts w:ascii="Times New Roman" w:hAnsi="Times New Roman"/>
          <w:b/>
          <w:i/>
          <w:color w:val="000000"/>
          <w:sz w:val="20"/>
        </w:rPr>
        <w:t>The price of our common stock may be volatile and fluctuate substantially, which could result in substantial losses for our stockholders.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has been, and is likely to continue to be volatile and could be subject to wide fluctuations in response to various factors, some of which are beyond our control. The stock market in general and the market for smaller biopharmaceutical companies in particular have experienced extreme volatility that has often been unrelated to the operating performance of particular companies. The market price for our common stock may be influenced by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or developments in preclinical studies and clinical trials of our product candidates or those of our competitors or potential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in commercializing our products, if and when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competitive products or technologies;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intellectual property or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product candidates or clinical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discover, develop, acquire or in-license products, product candidates, technologies or data referencing rights, the costs of commercializing any such products and the costs of development of any such product candidates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results or the financial results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general economic, industry and market conditions;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the past, following periods of volatility in the market price of a company’s securities, securities class-action litigation has often been instituted against that company. Any lawsuit to which we are a party, with or without merit, may result in an unfavorable judgment. We also may decide to settle lawsuits on unfavorable terms. Any such negative outcome could result in payments of substantial damages or fines, damage to our reputation or adverse changes to our offerings or business practices. Such litigation may also cause us to incur other substantial costs to defend such claims and divert management’s attention and resources. Furthermore, negative public announcements of the results of hearings, motions or other interim proceedings or developments could have a negative effect on the market price of our common stock. </w:t>
      </w:r>
    </w:p>
    <w:p>
      <w:pPr>
        <w:pStyle w:val="TextBody"/>
        <w:bidi w:val="0"/>
        <w:spacing w:before="360" w:after="283"/>
        <w:jc w:val="left"/>
        <w:rPr>
          <w:rFonts w:ascii="Times New Roman" w:hAnsi="Times New Roman"/>
          <w:sz w:val="20"/>
        </w:rPr>
      </w:pPr>
      <w:r>
        <w:rPr>
          <w:rFonts w:ascii="Times New Roman" w:hAnsi="Times New Roman"/>
          <w:b/>
          <w:i/>
          <w:color w:val="000000"/>
          <w:sz w:val="20"/>
        </w:rPr>
        <w:t>A significant portion of our total outstanding shares are eligible to be sold into the market, which could cause the market price of our common stock to drop significantly, even if our business is doing well.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in the market that the holders of a large number of shares intend to sell shares, could reduce the market price of our common stock. Persons who were our stockholders prior to our initial public offering continue to hold a substantial number of shares of our common stock. If such persons sell, or indicate an intention to sell, substantial amounts of our common stock in the public market, the trading price of our common stock could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have filed or intend to file universal shelf registration statements (which allows us to offer and sell securities from time to time pursuant to one or more offerings at prices and terms to be determined at the time of sale) subject to an aggregate offering amount stated therein, as well as registration statements registering all shares of common stock that we may issue under our equity compensation plans or pursuant to equity awards made to newly hired employees outside of equity compensation plans. Such registered shares can be freely sold in the public market upon issuance, subject to volume limitations applicable to affiliates. </w:t>
      </w:r>
    </w:p>
    <w:p>
      <w:pPr>
        <w:pStyle w:val="TextBody"/>
        <w:bidi w:val="0"/>
        <w:spacing w:before="360" w:after="283"/>
        <w:jc w:val="left"/>
        <w:rPr>
          <w:rFonts w:ascii="Times New Roman" w:hAnsi="Times New Roman"/>
          <w:sz w:val="20"/>
        </w:rPr>
      </w:pPr>
      <w:r>
        <w:rPr>
          <w:rFonts w:ascii="Times New Roman" w:hAnsi="Times New Roman"/>
          <w:b/>
          <w:i/>
          <w:color w:val="000000"/>
          <w:sz w:val="20"/>
        </w:rPr>
        <w:t>We are a “smaller reporting company,” and the scaled disclosure requirements applicable to smaller reporting companies may make our common stock less attractive to investors.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“smaller reporting company,” or SRC. For so long as we remain an SRC, we are permitted and intend to rely on certain scaled disclosure requirements that are applicable to other public companies that are not SRCs. These scaled disclosure requirements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being required to comply with the auditor attestation requirements in the assessment of our internal control over financial reporting;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 and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reduced disclosure obligations regarding executive compensation.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We may choose to take advantage of some or all of the available exemptions.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and will continue to incur increased costs as a result of operating as a public company, and our management will be required to devote substantial time to new compliance initiatives and corporate governance practices.</w:t>
      </w:r>
      <w:r>
        <w:rPr>
          <w:rFonts w:ascii="Times New Roman" w:hAnsi="Times New Roman"/>
          <w:color w:val="000000"/>
          <w:sz w:val="20"/>
        </w:rPr>
        <w:t xml:space="preserve">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 xml:space="preserve">As a public company we have incurred and will continue to incur significant legal, accounting and other expenses that we did not incur as a private company. The Sarbanes-Oxley Act of 2002, the Dodd-Frank Wall Street Reform and Consumer Protection Act, the listing requirements of The Nasdaq Global Market and other applicable securities rules and regulations impose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particularly as we hire additional financial and accounting employees to meet public company internal control and financial reporting requirements, and will make some activities more time-consuming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We are evaluating these rules and regulations, and cannot predict or estimate the amount of additional costs we may incur or the timing of such costs.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 xml:space="preserve">Pursuant to Section 404 of the Sarbanes-Oxley Act of 2002, or Section 404, we are required to furnish a report by our management on our internal control over financial reporting. However, while we remain an SRC, we will not be required to include an attestation report on internal control over financial reporting issued by our independent registered public accounting firm. To achieve compliance with Section 404 within the prescribed period, we conduct a process each year to document and evaluate our internal control over financial reporting, which is both costly and challenging. In this regard, we will need to continue to dedicate internal resources, including through hiring additional financial and accounting personnel,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we will not be able to conclude, within the prescribed timeframe or at all, that our internal control over financial reporting is effective as required by Section 404. If we identify one or more material weaknesses in our internal control over financial reporting, it could result in an adverse reaction in the financial markets due to a loss of confidence in the reliability of our financial statements. </w:t>
      </w:r>
    </w:p>
    <w:p>
      <w:pPr>
        <w:pStyle w:val="TextBody"/>
        <w:bidi w:val="0"/>
        <w:spacing w:before="120" w:after="283"/>
        <w:jc w:val="left"/>
        <w:rPr>
          <w:rFonts w:ascii="Times New Roman" w:hAnsi="Times New Roman"/>
          <w:sz w:val="20"/>
        </w:rPr>
      </w:pPr>
      <w:r>
        <w:rPr>
          <w:rFonts w:ascii="Times New Roman" w:hAnsi="Times New Roman"/>
          <w:b/>
          <w:i/>
          <w:color w:val="000000"/>
          <w:sz w:val="20"/>
        </w:rPr>
        <w:t>Because we do not anticipate paying any cash dividends on our capital stock in the foreseeable future, capital appreciation, if any, will be our stockholders’ sole source of gain.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declared or paid cash dividends on our capital stock. We currently intend to retain all of our future earnings, if any, to finance the growth and development of our business. As a result, capital appreciation, if any, of our common stock will be our stockholders’ sole source of gain for the foreseeable future.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sz w:val="20"/>
        </w:rPr>
      </w:pPr>
      <w:r>
        <w:rPr>
          <w:rFonts w:ascii="Times New Roman" w:hAnsi="Times New Roman"/>
          <w:b/>
          <w:i/>
          <w:color w:val="000000"/>
          <w:sz w:val="20"/>
        </w:rPr>
        <w:t>Our certificate of incorporation designates the state courts in the State of Delaware as the sole and exclusive forum for certain types of actions and proceedings that may be initiated by our stockholders, which could discourage lawsuits against the company and our directors, officers and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certificate of incorporation provides that, unless we consent in writing to the selection of an alternative forum, the Court of Chancery of the State of Delaware (or, if the Court of Chancery of the State of Delaware does not have jurisdiction, the federal district court for the District of Delaware) will be the sole and exclusive forum for (1) any derivative action or proceeding brought on our behalf, (2) any action asserting a claim of breach of a fiduciary duty owed by any of our directors, officers, employees or stockholders to our company or our stockholders, (3)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This exclusive forum provision will not apply to actions arising under the Securities Act or the Securities Exchange Act of 1934, as amended.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 Alternatively, if a court were to find the choice of forum provision contained in our certificate of incorporation to be inapplicable or unenforceable in an action, we may incur additional costs associated with resolving such action in other jurisdictions, which could materially adversely affect our business, financial condition and operating results.</w:t>
      </w:r>
    </w:p>
    <w:p>
      <w:pPr>
        <w:pStyle w:val="TextBody"/>
        <w:bidi w:val="0"/>
        <w:spacing w:before="360" w:after="283"/>
        <w:jc w:val="left"/>
        <w:rPr>
          <w:rFonts w:ascii="Times New Roman" w:hAnsi="Times New Roman"/>
          <w:b/>
          <w:color w:val="000000"/>
          <w:sz w:val="20"/>
        </w:rPr>
      </w:pPr>
      <w:bookmarkStart w:id="16" w:name="item_2_unregistered_sales_equity_secur_1"/>
      <w:bookmarkEnd w:id="16"/>
      <w:r>
        <w:rPr>
          <w:rFonts w:ascii="Times New Roman" w:hAnsi="Times New Roman"/>
          <w:b/>
          <w:color w:val="000000"/>
          <w:sz w:val="20"/>
        </w:rPr>
        <w:t>Item 2. Unregistered Sales of Equity Securities and Use of Proceeds.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7" w:name="item_3_default_upon_senior_securities_1"/>
      <w:bookmarkEnd w:id="17"/>
      <w:r>
        <w:rPr>
          <w:rFonts w:ascii="Times New Roman" w:hAnsi="Times New Roman"/>
          <w:b/>
          <w:color w:val="000000"/>
          <w:sz w:val="20"/>
        </w:rPr>
        <w:t>Item 3. Defaults Upon Senior Securities.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8" w:name="item_4_mine_safety_disclosures_1"/>
      <w:bookmarkEnd w:id="18"/>
      <w:r>
        <w:rPr>
          <w:rFonts w:ascii="Times New Roman" w:hAnsi="Times New Roman"/>
          <w:b/>
          <w:color w:val="000000"/>
          <w:sz w:val="20"/>
        </w:rPr>
        <w:t>Item 4. Mine Safety Disclosures.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item_5_other_information_1"/>
      <w:bookmarkEnd w:id="19"/>
      <w:r>
        <w:rPr>
          <w:rFonts w:ascii="Times New Roman" w:hAnsi="Times New Roman"/>
          <w:b/>
          <w:color w:val="000000"/>
          <w:sz w:val="20"/>
        </w:rPr>
        <w:t>Item 5. Other Information.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(a) None.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(b) None.</w:t>
      </w:r>
    </w:p>
    <w:p>
      <w:pPr>
        <w:pStyle w:val="TextBody"/>
        <w:bidi w:val="0"/>
        <w:spacing w:before="240" w:after="283"/>
        <w:jc w:val="left"/>
        <w:rPr>
          <w:rFonts w:ascii="Times New Roman" w:hAnsi="Times New Roman"/>
          <w:sz w:val="20"/>
        </w:rPr>
      </w:pPr>
      <w:r>
        <w:rPr>
          <w:rFonts w:ascii="Times New Roman" w:hAnsi="Times New Roman"/>
          <w:b/>
          <w:color w:val="000000"/>
          <w:sz w:val="20"/>
        </w:rPr>
        <w:t xml:space="preserve">(c) </w:t>
      </w:r>
      <w:r>
        <w:rPr>
          <w:rFonts w:ascii="Times New Roman" w:hAnsi="Times New Roman"/>
          <w:b/>
          <w:i/>
          <w:color w:val="000000"/>
          <w:sz w:val="20"/>
        </w:rPr>
        <w:t>Director and Officer Trading Plans and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20" w:name="item_6_exhibits"/>
      <w:bookmarkEnd w:id="20"/>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9"/>
        <w:gridCol w:w="146"/>
        <w:gridCol w:w="9290"/>
      </w:tblGrid>
      <w:tr>
        <w:trPr/>
        <w:tc>
          <w:tcPr>
            <w:tcW w:w="7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290" w:type="dxa"/>
            <w:tcBorders/>
            <w:vAlign w:val="center"/>
          </w:tcPr>
          <w:p>
            <w:pPr>
              <w:pStyle w:val="TableContents"/>
              <w:bidi w:val="0"/>
              <w:spacing w:before="0" w:after="283"/>
              <w:jc w:val="left"/>
              <w:rPr>
                <w:sz w:val="4"/>
                <w:szCs w:val="4"/>
              </w:rPr>
            </w:pPr>
            <w:r>
              <w:rPr>
                <w:sz w:val="4"/>
                <w:szCs w:val="4"/>
              </w:rPr>
            </w:r>
          </w:p>
        </w:tc>
      </w:tr>
      <w:tr>
        <w:trPr/>
        <w:tc>
          <w:tcPr>
            <w:tcW w:w="769" w:type="dxa"/>
            <w:tcBorders>
              <w:bottom w:val="single" w:sz="4"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the Registrant (incorporated by reference to Exhibit 3.1 to the Registrant’s Current Report on Form 8-K filed with the Securities and Exchange Commission on July 22, 2019).</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of the Restated Certificate of Incorporation of the Registrant (incorporated by reference to Exhibit 3.1 to the Registrant’s Current Report on Form 8-K filed with the Securities and Exchange Commission on June 9, 2023).</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of the Registrant (incorporated by reference to Exhibit 3.2 to the Registrant’s Current Report on Form 8-K filed with the Securities and Exchange Commission on July 22, 2019).</w:t>
              </w:r>
            </w:hyperlink>
            <w:hyperlink r:id="rId5">
              <w:r>
                <w:rPr>
                  <w:rStyle w:val="InternetLink"/>
                  <w:rFonts w:ascii="Times New Roman" w:hAnsi="Times New Roman"/>
                  <w:color w:val="0000FF"/>
                  <w:sz w:val="20"/>
                </w:rPr>
                <w:t xml:space="preserve"> </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ulc-ex10_1.htm">
              <w:r>
                <w:rPr>
                  <w:rStyle w:val="InternetLink"/>
                  <w:rFonts w:ascii="Times New Roman" w:hAnsi="Times New Roman"/>
                  <w:color w:val="0000FF"/>
                  <w:sz w:val="20"/>
                  <w:u w:val="single"/>
                </w:rPr>
                <w:t>Transition Agreement, dated April 24, 2026, by and between Registrant and Alan A. Musso.</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ulc-ex10_2.htm">
              <w:r>
                <w:rPr>
                  <w:rStyle w:val="InternetLink"/>
                  <w:rFonts w:ascii="Times New Roman" w:hAnsi="Times New Roman"/>
                  <w:color w:val="0000FF"/>
                  <w:sz w:val="20"/>
                  <w:u w:val="single"/>
                </w:rPr>
                <w:t>Amendment to Employment Agreement, dated June 5, 2026, by and between Registrant and Alex C. Sapir.</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ulc-ex10_3.htm">
              <w:r>
                <w:rPr>
                  <w:rStyle w:val="InternetLink"/>
                  <w:rFonts w:ascii="Times New Roman" w:hAnsi="Times New Roman"/>
                  <w:color w:val="0000FF"/>
                  <w:sz w:val="20"/>
                  <w:u w:val="single"/>
                </w:rPr>
                <w:t>Amendment to Employment Agreement, dated June 5, 2026, by and between Registrant and Alan A. Musso.</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ulc-ex10_4.htm">
              <w:r>
                <w:rPr>
                  <w:rStyle w:val="InternetLink"/>
                  <w:rFonts w:ascii="Times New Roman" w:hAnsi="Times New Roman"/>
                  <w:color w:val="0000FF"/>
                  <w:sz w:val="20"/>
                  <w:u w:val="single"/>
                </w:rPr>
                <w:t>Amendment to Employment Agreement, dated June 5, 2026, by and between Registrant and Curtis Oltmans.</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ulc-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ulc-ex31_2.htm">
              <w:r>
                <w:rPr>
                  <w:rStyle w:val="InternetLink"/>
                  <w:rFonts w:ascii="Times New Roman" w:hAnsi="Times New Roman"/>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ulc-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fulc-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r>
      <w:tr>
        <w:trPr/>
        <w:tc>
          <w:tcPr>
            <w:tcW w:w="76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r>
    </w:tbl>
    <w:p>
      <w:pPr>
        <w:pStyle w:val="TextBody"/>
        <w:pBdr>
          <w:bottom w:val="single" w:sz="2"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Indicates a management contract or any compensatory plan, contract or arrangement.</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herewith.</w:t>
      </w:r>
    </w:p>
    <w:p>
      <w:pPr>
        <w:pStyle w:val="TextBody"/>
        <w:bidi w:val="0"/>
        <w:jc w:val="left"/>
        <w:rPr>
          <w:rFonts w:ascii="Times New Roman" w:hAnsi="Times New Roman"/>
          <w:color w:val="000000"/>
          <w:sz w:val="20"/>
        </w:rPr>
      </w:pPr>
      <w:r>
        <w:rPr>
          <w:rFonts w:ascii="Times New Roman" w:hAnsi="Times New Roman"/>
          <w:color w:val="000000"/>
          <w:sz w:val="20"/>
        </w:rPr>
        <w:t>+ Furnished herewith.</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1" w:name="signatures"/>
      <w:bookmarkEnd w:id="21"/>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7844" w:type="dxa"/>
        <w:jc w:val="left"/>
        <w:tblInd w:w="0" w:type="dxa"/>
        <w:tblLayout w:type="fixed"/>
        <w:tblCellMar>
          <w:top w:w="28" w:type="dxa"/>
          <w:left w:w="28" w:type="dxa"/>
          <w:bottom w:w="28" w:type="dxa"/>
          <w:right w:w="28" w:type="dxa"/>
        </w:tblCellMar>
      </w:tblPr>
      <w:tblGrid>
        <w:gridCol w:w="1711"/>
        <w:gridCol w:w="146"/>
        <w:gridCol w:w="406"/>
        <w:gridCol w:w="558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581" w:type="dxa"/>
            <w:tcBorders/>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8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FULCRUM THERAPEUTICS, INC.</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58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Alex C. Sapir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Alex C. Sapir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President and Chief Executive Officer (Principal Executive Officer)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Alan Musso</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Alan Musso</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Chief Financial Officer (Principal Financial Officer)</w:t>
            </w:r>
          </w:p>
        </w:tc>
      </w:tr>
      <w:tr>
        <w:trPr/>
        <w:tc>
          <w:tcPr>
            <w:tcW w:w="17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22" w:name="fulc-ex10_1.htm"/>
      <w:bookmarkStart w:id="23" w:name="ksfulcex10_1"/>
      <w:bookmarkEnd w:id="22"/>
      <w:bookmarkEnd w:id="23"/>
      <w:r>
        <w:rPr>
          <w:rFonts w:ascii="Times New Roman" w:hAnsi="Times New Roman"/>
          <w:b/>
          <w:color w:val="000000"/>
          <w:sz w:val="24"/>
        </w:rPr>
        <w:t>Exhibit 10.1</w:t>
      </w:r>
      <w:r>
        <w:br w:type="page"/>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April 27, 2026 Alan Musso</w:t>
      </w:r>
    </w:p>
    <w:p>
      <w:pPr>
        <w:pStyle w:val="TextBody"/>
        <w:bidi w:val="0"/>
        <w:spacing w:before="1"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Dear Alan,</w:t>
      </w:r>
    </w:p>
    <w:p>
      <w:pPr>
        <w:pStyle w:val="TextBody"/>
        <w:bidi w:val="0"/>
        <w:spacing w:before="281" w:after="283"/>
        <w:jc w:val="both"/>
        <w:rPr>
          <w:rFonts w:ascii="Times New Roman" w:hAnsi="Times New Roman"/>
          <w:sz w:val="20"/>
        </w:rPr>
      </w:pPr>
      <w:r>
        <w:rPr>
          <w:rFonts w:ascii="Times New Roman" w:hAnsi="Times New Roman"/>
          <w:color w:val="000000"/>
          <w:sz w:val="24"/>
        </w:rPr>
        <w:t>This letter summarizes the terms of the transition agreement that Fulcrum Therapeutics,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is willing to offer as a result of your voluntary retirement from the Company. Please read this letter agreement (the “Letter Agreement”), which includes a general release, carefully. If you are willing to agree to its terms, please sign in the space provided below and return it to me..</w:t>
      </w:r>
    </w:p>
    <w:p>
      <w:pPr>
        <w:pStyle w:val="TextBody"/>
        <w:bidi w:val="0"/>
        <w:spacing w:before="2"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1.</w:t>
      </w:r>
    </w:p>
    <w:p>
      <w:pPr>
        <w:pStyle w:val="TextBody"/>
        <w:bidi w:val="0"/>
        <w:jc w:val="both"/>
        <w:rPr>
          <w:rFonts w:ascii="Times New Roman" w:hAnsi="Times New Roman"/>
          <w:color w:val="000000"/>
          <w:sz w:val="24"/>
        </w:rPr>
      </w:pPr>
      <w:r>
        <w:rPr>
          <w:rFonts w:ascii="Times New Roman" w:hAnsi="Times New Roman"/>
          <w:color w:val="000000"/>
          <w:sz w:val="24"/>
        </w:rPr>
        <w:t>If you do not sign this Letter Agreement within 21 days from receipt as dated above, your employment with the Company will end effective 21 days from the date of this Letter Agreement (“the Transition Date”). You will be paid for time worked through the Transition Date.</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2.</w:t>
      </w:r>
    </w:p>
    <w:p>
      <w:pPr>
        <w:pStyle w:val="TextBody"/>
        <w:bidi w:val="0"/>
        <w:jc w:val="both"/>
        <w:rPr>
          <w:rFonts w:ascii="Times New Roman" w:hAnsi="Times New Roman"/>
          <w:color w:val="000000"/>
          <w:sz w:val="24"/>
        </w:rPr>
      </w:pPr>
      <w:r>
        <w:rPr>
          <w:rFonts w:ascii="Times New Roman" w:hAnsi="Times New Roman"/>
          <w:color w:val="000000"/>
          <w:sz w:val="24"/>
        </w:rPr>
        <w:t>After the Transition Date, except as provided below, you will not be entitled to receive any benefits paid by or participate in any benefit programs offered by the Company to its employees. Your coverage under any Company sponsored health, dental, vision, life, short-term disability, long-term disability, and accidental death &amp; dismemberment insurance will terminate as of the Separation Date. You will receive, under separate cover, information concerning any right to continue your health insurance benefits after the Transition Date in accordance with COBRA.</w:t>
      </w:r>
    </w:p>
    <w:p>
      <w:pPr>
        <w:pStyle w:val="TextBody"/>
        <w:bidi w:val="0"/>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3.</w:t>
      </w:r>
    </w:p>
    <w:p>
      <w:pPr>
        <w:pStyle w:val="TextBody"/>
        <w:bidi w:val="0"/>
        <w:spacing w:before="1" w:after="283"/>
        <w:jc w:val="both"/>
        <w:rPr/>
      </w:pPr>
      <w:r>
        <w:rPr>
          <w:rFonts w:ascii="Times New Roman" w:hAnsi="Times New Roman"/>
          <w:color w:val="000000"/>
          <w:sz w:val="24"/>
        </w:rPr>
        <w:t xml:space="preserve">In compliance with the promises made herein and in the event you sign this Letter Agreement and return it to me within time period set forth in the Letter Agreement and do not revoke your acceptance pursuant to Paragraph No. 9 below, the Company agrees to provide you the payments and benefits set forth below (the “Transition Benefits”), provided that you perform your job duties and consulting services to the Company’s reasonable satisfaction and otherwise comply with Company rules, policies and directives as well as your obligations under your Executive Employment Agreement dated August 7, 2023 (the “Employment Agreement”), all through the end of the Consulting Period (as defined below). In addition, in order to be eligible for the Transition Benefits set forth below (other than in subparagraph (a)), you must timely sign and return </w:t>
      </w:r>
      <w:r>
        <w:rPr>
          <w:rFonts w:ascii="Times New Roman" w:hAnsi="Times New Roman"/>
          <w:b/>
          <w:color w:val="000000"/>
          <w:sz w:val="24"/>
          <w:u w:val="single"/>
        </w:rPr>
        <w:t>Attachment A</w:t>
      </w:r>
      <w:r>
        <w:rPr>
          <w:color w:val="000000"/>
        </w:rPr>
        <w:t xml:space="preserve"> </w:t>
      </w:r>
      <w:r>
        <w:rPr>
          <w:rFonts w:ascii="Times New Roman" w:hAnsi="Times New Roman"/>
          <w:color w:val="000000"/>
          <w:sz w:val="24"/>
        </w:rPr>
        <w:t>no earlier than February 9, 2027 and no later than February 16, 2027. For the avoidance of doubt, you will not be entitled to any Transition Benefits set forth below if (i) you voluntarily leave employment with the Company before the Extended Transition Date (as defined below) (ii) the Company terminates your employment before the Extended Transition Date, or terminates the consulting arrangement before the end of the Consulting Period, based on a good faith determination by the Company that you (a) have failed to satisfactorily perform your job duties or consulting services or (b) otherwise materially failed to comply with Company rules, policies and directives and/or the Employment Agreement, or (c) you otherwise breach the terms of this Letter Agreement or the Employment Agreement. Specifically, the Severance Benefits are as follows.</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spacing w:before="1" w:after="283"/>
        <w:jc w:val="both"/>
        <w:rPr>
          <w:rFonts w:ascii="Cambria;serif" w:hAnsi="Cambria;serif"/>
          <w:color w:val="000000"/>
          <w:sz w:val="24"/>
        </w:rPr>
      </w:pPr>
      <w:r>
        <w:rPr>
          <w:rFonts w:ascii="Cambria;serif" w:hAnsi="Cambria;serif"/>
          <w:color w:val="000000"/>
          <w:sz w:val="24"/>
        </w:rPr>
        <w:t>a.</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The Company will extend your Transition Date to a date when a new CFO is appointed, but no later than September 30, 2026 (the “Extended Transition Date”). At that point, you will transition to a non-employee consulting position and provide advice and input to the incoming CFO, CEO and others as needed for transitional purposes until February 8, 2027, (The period between the Extended Transition Date and February 8, 2027 is hereinafter referred to as the “Consulting Period”.) , As a non-employee consultant, you will be compensated with a consulting fee during the Consulting Period at the monthly rate of $5,000. You will also be eligible to receive your target 2026 annual bonus (refer to 3 c.). Further, your equity will continue vesting through February 8, 2027. You agree to make best efforts to perform assigned job duties (and subsequent consulting services) and further agree to comply with Company rules, policies and directives through the Extended Transition Date (and through the Consulting Period, as applicable).</w:t>
      </w:r>
    </w:p>
    <w:p>
      <w:pPr>
        <w:pStyle w:val="TextBody"/>
        <w:bidi w:val="0"/>
        <w:jc w:val="left"/>
        <w:rPr/>
      </w:pPr>
      <w:r>
        <w:rPr/>
        <w:t> </w:t>
      </w:r>
    </w:p>
    <w:p>
      <w:pPr>
        <w:pStyle w:val="TextBody"/>
        <w:bidi w:val="0"/>
        <w:spacing w:before="0" w:after="0"/>
        <w:jc w:val="both"/>
        <w:rPr>
          <w:rFonts w:ascii="Cambria;serif" w:hAnsi="Cambria;serif"/>
          <w:color w:val="000000"/>
          <w:sz w:val="24"/>
        </w:rPr>
      </w:pPr>
      <w:r>
        <w:rPr>
          <w:rFonts w:ascii="Cambria;serif" w:hAnsi="Cambria;serif"/>
          <w:color w:val="000000"/>
          <w:sz w:val="24"/>
        </w:rPr>
        <w:t>b.</w:t>
      </w:r>
    </w:p>
    <w:p>
      <w:pPr>
        <w:pStyle w:val="TextBody"/>
        <w:bidi w:val="0"/>
        <w:jc w:val="both"/>
        <w:rPr>
          <w:rFonts w:ascii="Times New Roman" w:hAnsi="Times New Roman"/>
          <w:color w:val="000000"/>
          <w:sz w:val="24"/>
        </w:rPr>
      </w:pPr>
      <w:r>
        <w:rPr>
          <w:rFonts w:ascii="Times New Roman" w:hAnsi="Times New Roman"/>
          <w:color w:val="000000"/>
          <w:sz w:val="24"/>
        </w:rPr>
        <w:t>The Company will pay you transition pay in the total gross amount of $366,000, less lawful deductions, which amounts equals 9 months of salary, provided however, this transition pay shall be reduced by any consulting fees paid to you during the Consulting Period as provided in subparagraph 3(a) above. This transition pay will be paid to you in the form of salary continuation beginning with the first reasonably practicable payroll cycle following the Extended Transition Date.</w:t>
      </w:r>
    </w:p>
    <w:p>
      <w:pPr>
        <w:pStyle w:val="TextBody"/>
        <w:bidi w:val="0"/>
        <w:jc w:val="left"/>
        <w:rPr/>
      </w:pPr>
      <w:r>
        <w:rPr/>
        <w:t> </w:t>
      </w:r>
    </w:p>
    <w:p>
      <w:pPr>
        <w:pStyle w:val="TextBody"/>
        <w:bidi w:val="0"/>
        <w:spacing w:before="0" w:after="0"/>
        <w:jc w:val="both"/>
        <w:rPr>
          <w:rFonts w:ascii="Cambria;serif" w:hAnsi="Cambria;serif"/>
          <w:color w:val="000000"/>
          <w:sz w:val="24"/>
        </w:rPr>
      </w:pPr>
      <w:r>
        <w:rPr>
          <w:rFonts w:ascii="Cambria;serif" w:hAnsi="Cambria;serif"/>
          <w:color w:val="000000"/>
          <w:sz w:val="24"/>
        </w:rPr>
        <w:t>c.</w:t>
      </w:r>
    </w:p>
    <w:p>
      <w:pPr>
        <w:pStyle w:val="TextBody"/>
        <w:bidi w:val="0"/>
        <w:jc w:val="both"/>
        <w:rPr/>
      </w:pPr>
      <w:r>
        <w:rPr>
          <w:rFonts w:ascii="Times New Roman" w:hAnsi="Times New Roman"/>
          <w:color w:val="000000"/>
          <w:sz w:val="24"/>
        </w:rPr>
        <w:t xml:space="preserve">The Company will pay you the gross amount of $195,200, less lawful deductions, which amount equals 100% of your 2026 target bonus. This amount will be paid to you in a lump sum with the first reasonably practicable payroll cycle after the end of Consulting Period and the expiration of the revocation period contained in </w:t>
      </w:r>
      <w:r>
        <w:rPr>
          <w:rFonts w:ascii="Times New Roman" w:hAnsi="Times New Roman"/>
          <w:b/>
          <w:color w:val="000000"/>
          <w:sz w:val="24"/>
          <w:u w:val="single"/>
        </w:rPr>
        <w:t>Attachment A</w:t>
      </w:r>
      <w:r>
        <w:rPr>
          <w:rFonts w:ascii="Times New Roman" w:hAnsi="Times New Roman"/>
          <w:color w:val="000000"/>
          <w:sz w:val="24"/>
          <w:u w:val="single"/>
        </w:rPr>
        <w:t>.</w:t>
      </w:r>
    </w:p>
    <w:p>
      <w:pPr>
        <w:pStyle w:val="TextBody"/>
        <w:bidi w:val="0"/>
        <w:spacing w:before="20" w:after="283"/>
        <w:jc w:val="left"/>
        <w:rPr/>
      </w:pPr>
      <w:r>
        <w:rPr/>
        <w:t> </w:t>
      </w:r>
    </w:p>
    <w:p>
      <w:pPr>
        <w:pStyle w:val="TextBody"/>
        <w:bidi w:val="0"/>
        <w:spacing w:before="0" w:after="0"/>
        <w:jc w:val="both"/>
        <w:rPr>
          <w:rFonts w:ascii="Cambria;serif" w:hAnsi="Cambria;serif"/>
          <w:color w:val="000000"/>
          <w:sz w:val="24"/>
        </w:rPr>
      </w:pPr>
      <w:r>
        <w:rPr>
          <w:rFonts w:ascii="Cambria;serif" w:hAnsi="Cambria;serif"/>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The time period to exercise any vested stock options shall be extended to a period of twelve (12) months, commencing on February 8, 2027.</w:t>
      </w:r>
    </w:p>
    <w:p>
      <w:pPr>
        <w:pStyle w:val="TextBody"/>
        <w:bidi w:val="0"/>
        <w:spacing w:before="31" w:after="283"/>
        <w:jc w:val="left"/>
        <w:rPr/>
      </w:pPr>
      <w:r>
        <w:rPr/>
        <w:t> </w:t>
      </w:r>
    </w:p>
    <w:p>
      <w:pPr>
        <w:pStyle w:val="TextBody"/>
        <w:bidi w:val="0"/>
        <w:spacing w:before="1" w:after="283"/>
        <w:jc w:val="both"/>
        <w:rPr>
          <w:rFonts w:ascii="Cambria;serif" w:hAnsi="Cambria;serif"/>
          <w:color w:val="000000"/>
          <w:sz w:val="24"/>
        </w:rPr>
      </w:pPr>
      <w:r>
        <w:rPr>
          <w:rFonts w:ascii="Cambria;serif" w:hAnsi="Cambria;serif"/>
          <w:color w:val="000000"/>
          <w:sz w:val="24"/>
        </w:rPr>
        <w:t>e.</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 xml:space="preserve">Provided that you are eligible for and properly and timely elect to continue your group medical insurance coverage under COBRA after the Extended Transition Date, the Company will contribute towards the cost of such COBRA coverage in the same amount as if you were actively employed, plus any COBRA administration fees, until the earlier of (i) the date that is 9 months after the Extended Transition Date; or (ii) the date you become eligible for coverage under the group health plan of another employer (the “COBRA Contribution Period”). During this COBRA Contribution Period, you will be required to contribute towards the cost of the COBRA premium in the same amount as if you were actively employed. After the COBRA Contribution Period, you will be responsible for the full cost of any such COBRA premiums. You agree to promptly notify the Company if you become eligible under the group health plan of another employer during the Severance Period. In addition, if the Company, in its sole discretion, determines the above COBRA Subsidy would violate the nondiscrimination rules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or cause the reimbursement of claims to be taxable under the Patient Protection and Affordable Care Act of 2010, together with the Health Care and Education Reconciliation Act of 2010 (collectively, the “Act”) or Section 105(h) of the Internal Revenue Code, the COBRA Subsidy will be imputed as income and treated as taxable to you to the extent necessary to eliminate any discriminatory treatment or taxation under the Act or Section 105(h) of the Code.</w:t>
      </w:r>
    </w:p>
    <w:p>
      <w:pPr>
        <w:pStyle w:val="TextBody"/>
        <w:bidi w:val="0"/>
        <w:spacing w:before="22" w:after="283"/>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0"/>
        <w:jc w:val="both"/>
        <w:rPr/>
      </w:pPr>
      <w:r>
        <w:rPr>
          <w:rFonts w:ascii="Times New Roman" w:hAnsi="Times New Roman"/>
          <w:color w:val="000000"/>
          <w:sz w:val="24"/>
        </w:rPr>
        <w:t xml:space="preserve">You understand and agree that you would not receive the Transition Benefits specified in paragraph 3 above, except for your execution of this Letter Agreement and </w:t>
      </w:r>
      <w:r>
        <w:rPr>
          <w:rFonts w:ascii="Times New Roman" w:hAnsi="Times New Roman"/>
          <w:b/>
          <w:color w:val="000000"/>
          <w:sz w:val="24"/>
          <w:u w:val="single"/>
        </w:rPr>
        <w:t>Attachment A</w:t>
      </w:r>
      <w:r>
        <w:rPr>
          <w:rFonts w:ascii="Times New Roman" w:hAnsi="Times New Roman"/>
          <w:color w:val="000000"/>
          <w:sz w:val="24"/>
        </w:rPr>
        <w:t>, and the fulfillment of the promises contained therein. In signing this Letter Agreement, you agree to perform the following as a condition to your receipt of the Transition Benefits: (a) upon your separation, promptly returning all Company-provided technology in proper condition subject to normal wear and tear (b) upon your separation, immediately returning any other Company property in your possession, (c) performing any job duties or other transitional tasks asked of you by the Company and (d) refraining from acts that are intended to cause, or that do cause, damage to the Company, its property (tangible and intangible) and its employees.</w:t>
      </w:r>
    </w:p>
    <w:p>
      <w:pPr>
        <w:pStyle w:val="TextBody"/>
        <w:bidi w:val="0"/>
        <w:spacing w:before="278" w:after="283"/>
        <w:jc w:val="both"/>
        <w:rPr>
          <w:rFonts w:ascii="Times New Roman" w:hAnsi="Times New Roman"/>
          <w:color w:val="000000"/>
          <w:sz w:val="24"/>
        </w:rPr>
      </w:pPr>
      <w:r>
        <w:rPr>
          <w:rFonts w:ascii="Times New Roman" w:hAnsi="Times New Roman"/>
          <w:color w:val="000000"/>
          <w:sz w:val="24"/>
        </w:rPr>
        <w:t>5.</w:t>
      </w:r>
    </w:p>
    <w:p>
      <w:pPr>
        <w:pStyle w:val="TextBody"/>
        <w:bidi w:val="0"/>
        <w:spacing w:before="278" w:after="283"/>
        <w:jc w:val="both"/>
        <w:rPr/>
      </w:pPr>
      <w:r>
        <w:rPr>
          <w:rFonts w:ascii="Times New Roman" w:hAnsi="Times New Roman"/>
          <w:color w:val="000000"/>
          <w:sz w:val="24"/>
        </w:rPr>
        <w:t xml:space="preserve">In consideration of the payments and other consideration to be made by the Company to you as set forth in paragraph 3 above and the promises contained in this Letter Agreement, you voluntarily and of your own freewill hereby release, forever discharge and hold harmless Fulcrum Therapeutics, Inc., its parents, subsidiaries, divisions and affiliates, its present or former officers, directors, trustees, employees, agents, insurers, or successors or assigns (the “Releasees”) from any and all claims, demands, rules or regulations, or any other causes of action of whatever nature, whether known or unknown, including, but not limited to, Title VII of the Civil Rights Act of 1964, as amended; Sections 1981 through 1988 of Title 42 of the United States Code, as amended; the Immigration Reform Control Act, as amended; the Employee Retirement Income Security Act of 1974, 29 U.S.C. § 1001, et seq. ("ERISA") (except for any vested benefits under any tax qualified benefit plan); the Occupational Safety and Health Act, as amended; the Civil Rights Act of 1866, 29 U.S.C. § 1981, et seq.; the Rehabilitation Act of 1973, 29 U.S.C. § 701, et seq.; the Americans With Disabilities Act of 1990, as amended; the Civil Rights Act of 1991; the Age Discrimination in Employment Act of 1967, as amended; the Older Workers Benefit Protection Act; the Family and Medical Leave Act; the Equal Pay Act; the Fair Credit Reporting Act; the Uniformed Services Employment and Reemployment Rights Act of 1994 (“USERRA”); the Genetic Information Nondiscrimination Act (“GINA”); the Worker Adjustment and Retraining Notification Act (WARN), 29 U.S.C. § 2101 et seq.; the Massachusetts Law Against Discrimination, G.L. c. 151B; the Massachusetts Wage Payment Statute, G.L. c. 149, §§ 148, 148A, 148B, 148C, 149, 150, 150A-150C, 151, 152, 152A, </w:t>
      </w:r>
      <w:r>
        <w:rPr>
          <w:rFonts w:ascii="Times New Roman" w:hAnsi="Times New Roman"/>
          <w:color w:val="000000"/>
          <w:sz w:val="24"/>
          <w:u w:val="single"/>
        </w:rPr>
        <w:t>et</w:t>
      </w:r>
      <w:r>
        <w:rPr>
          <w:color w:val="000000"/>
        </w:rPr>
        <w:t xml:space="preserve"> </w:t>
      </w:r>
      <w:r>
        <w:rPr>
          <w:rFonts w:ascii="Times New Roman" w:hAnsi="Times New Roman"/>
          <w:color w:val="000000"/>
          <w:sz w:val="24"/>
          <w:u w:val="single"/>
        </w:rPr>
        <w:t>seq</w:t>
      </w:r>
      <w:r>
        <w:rPr>
          <w:rFonts w:ascii="Times New Roman" w:hAnsi="Times New Roman"/>
          <w:color w:val="000000"/>
          <w:sz w:val="24"/>
        </w:rPr>
        <w:t>.; the Massachusetts Wage and Hour laws,</w:t>
      </w:r>
    </w:p>
    <w:p>
      <w:pPr>
        <w:pStyle w:val="TextBody"/>
        <w:bidi w:val="0"/>
        <w:spacing w:before="2" w:after="283"/>
        <w:jc w:val="both"/>
        <w:rPr>
          <w:rFonts w:ascii="Times New Roman" w:hAnsi="Times New Roman"/>
          <w:sz w:val="20"/>
        </w:rPr>
      </w:pPr>
      <w:r>
        <w:rPr>
          <w:rFonts w:ascii="Times New Roman" w:hAnsi="Times New Roman"/>
          <w:color w:val="000000"/>
          <w:sz w:val="24"/>
        </w:rPr>
        <w:t xml:space="preserve">G.L. c. 151§1A </w:t>
      </w:r>
      <w:r>
        <w:rPr>
          <w:rFonts w:ascii="Times New Roman" w:hAnsi="Times New Roman"/>
          <w:color w:val="000000"/>
          <w:sz w:val="24"/>
          <w:u w:val="single"/>
        </w:rPr>
        <w:t>et</w:t>
      </w:r>
      <w:r>
        <w:rPr>
          <w:rFonts w:ascii="Times New Roman" w:hAnsi="Times New Roman"/>
          <w:color w:val="000000"/>
          <w:sz w:val="20"/>
        </w:rPr>
        <w:t xml:space="preserve"> </w:t>
      </w:r>
      <w:r>
        <w:rPr>
          <w:rFonts w:ascii="Times New Roman" w:hAnsi="Times New Roman"/>
          <w:color w:val="000000"/>
          <w:sz w:val="24"/>
          <w:u w:val="single"/>
        </w:rPr>
        <w:t>seq.</w:t>
      </w:r>
      <w:r>
        <w:rPr>
          <w:rFonts w:ascii="Times New Roman" w:hAnsi="Times New Roman"/>
          <w:color w:val="000000"/>
          <w:sz w:val="24"/>
        </w:rPr>
        <w:t>; the Massachusetts Privacy Statute, G.L. c. 214, § 1B; the Massachusetts Sexual Harassment Statute, G.L. c. 214 § 1C; the Massachusetts Civil Rights Act, G.L. c. 12, § 11H; the Massachusetts Equal Rights Act, G.L. c. 93, § 102; the Massachusetts Equal Pay Act, G.L. c. 149, § 105A; the Massachusetts Parental Leave Law,</w:t>
      </w:r>
    </w:p>
    <w:p>
      <w:pPr>
        <w:pStyle w:val="TextBody"/>
        <w:bidi w:val="0"/>
        <w:jc w:val="both"/>
        <w:rPr>
          <w:rFonts w:ascii="Times New Roman" w:hAnsi="Times New Roman"/>
          <w:sz w:val="20"/>
        </w:rPr>
      </w:pPr>
      <w:r>
        <w:rPr>
          <w:rFonts w:ascii="Times New Roman" w:hAnsi="Times New Roman"/>
          <w:color w:val="000000"/>
          <w:sz w:val="24"/>
        </w:rPr>
        <w:t xml:space="preserve">G.L. c. 149, § 105D; the Massachusetts Family and Medical Leave Law, G.L. c. 175M; the North Carolina Equal Employment Practices Act, N.C. Gen. Stat. §143-422.1 </w:t>
      </w:r>
      <w:r>
        <w:rPr>
          <w:rFonts w:ascii="Times New Roman" w:hAnsi="Times New Roman"/>
          <w:color w:val="000000"/>
          <w:sz w:val="24"/>
          <w:u w:val="single"/>
        </w:rPr>
        <w:t>et seq.</w:t>
      </w:r>
      <w:r>
        <w:rPr>
          <w:rFonts w:ascii="Times New Roman" w:hAnsi="Times New Roman"/>
          <w:color w:val="000000"/>
          <w:sz w:val="24"/>
        </w:rPr>
        <w:t>; the North Carolina Parental Leave Law for School Involvement, N.C. Gen. Stat. §95-28.3; the</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North Carolina Lawful Use of Lawful Products Law, N.C. Gen. Stat. §95-28.2; the North Carolina Persons With Disabilities Protection Act, N.C. Gen. Stat. §168A-1 </w:t>
      </w:r>
      <w:r>
        <w:rPr>
          <w:rFonts w:ascii="Times New Roman" w:hAnsi="Times New Roman"/>
          <w:color w:val="000000"/>
          <w:sz w:val="24"/>
          <w:u w:val="single"/>
        </w:rPr>
        <w:t>et seq.</w:t>
      </w:r>
      <w:r>
        <w:rPr>
          <w:rFonts w:ascii="Times New Roman" w:hAnsi="Times New Roman"/>
          <w:color w:val="000000"/>
          <w:sz w:val="24"/>
        </w:rPr>
        <w:t xml:space="preserve">; the North Carolina Communicable Disease Law, N.C. Gen. Stat. §130A, §130A-148(i); the North Carolina Discrimination on the Basis of Sickle Cell Trait Law, N.C. Gen. Stat. §95-28.1; the North Carolina Genetic Testing Law; N.C. Gen. Stat. §95-28.1A; the North Carolina Retaliatory Employment Discrimination Law, N.C. Gen. Stat. §95-240 </w:t>
      </w:r>
      <w:r>
        <w:rPr>
          <w:rFonts w:ascii="Times New Roman" w:hAnsi="Times New Roman"/>
          <w:color w:val="000000"/>
          <w:sz w:val="24"/>
          <w:u w:val="single"/>
        </w:rPr>
        <w:t>et seq.</w:t>
      </w:r>
      <w:r>
        <w:rPr>
          <w:rFonts w:ascii="Times New Roman" w:hAnsi="Times New Roman"/>
          <w:color w:val="000000"/>
          <w:sz w:val="24"/>
        </w:rPr>
        <w:t xml:space="preserve">; the North Carolina Wage and Hour Act, as amended, including N.C. Gen. Stat. §95-25.2 </w:t>
      </w:r>
      <w:r>
        <w:rPr>
          <w:rFonts w:ascii="Times New Roman" w:hAnsi="Times New Roman"/>
          <w:color w:val="000000"/>
          <w:sz w:val="24"/>
          <w:u w:val="single"/>
        </w:rPr>
        <w:t>et seq.</w:t>
      </w:r>
      <w:r>
        <w:rPr>
          <w:rFonts w:ascii="Times New Roman" w:hAnsi="Times New Roman"/>
          <w:color w:val="000000"/>
          <w:sz w:val="24"/>
        </w:rPr>
        <w:t xml:space="preserve">, and §95-25.14 </w:t>
      </w:r>
      <w:r>
        <w:rPr>
          <w:rFonts w:ascii="Times New Roman" w:hAnsi="Times New Roman"/>
          <w:color w:val="000000"/>
          <w:sz w:val="24"/>
          <w:u w:val="single"/>
        </w:rPr>
        <w:t>et seq.</w:t>
      </w:r>
      <w:r>
        <w:rPr>
          <w:rFonts w:ascii="Times New Roman" w:hAnsi="Times New Roman"/>
          <w:color w:val="000000"/>
          <w:sz w:val="24"/>
        </w:rPr>
        <w:t xml:space="preserve">; the North Carolina Occupational Safety and Health Act, as amended; the North Carolina Discrimination Against Military Personnel Act, N.C. Gen. Stat. § 127B-11; (although the act does not provide a private cause of action); the North Carolina National Guard Employment Rights Act, N.C. Gen. Stat. § 127A-202.1; the North Carolina Jury Duty Leave Law, N.C. Gen. Stat. § 9-32; the North Carolina Workplace Violence Prevention Act; N.C. Gen. Stat. § 95-260 </w:t>
      </w:r>
      <w:r>
        <w:rPr>
          <w:rFonts w:ascii="Times New Roman" w:hAnsi="Times New Roman"/>
          <w:color w:val="000000"/>
          <w:sz w:val="24"/>
          <w:u w:val="single"/>
        </w:rPr>
        <w:t>et seq.</w:t>
      </w:r>
      <w:r>
        <w:rPr>
          <w:rFonts w:ascii="Times New Roman" w:hAnsi="Times New Roman"/>
          <w:color w:val="000000"/>
          <w:sz w:val="24"/>
        </w:rPr>
        <w:t xml:space="preserve">; the North Carolina Domestic Violence Law; N.C. Gen. Stat. § 50B-5.5; the North Carolina Controlled Substances Examination Regulation Act; N.C. Gen. Stat. § 90-230 </w:t>
      </w:r>
      <w:r>
        <w:rPr>
          <w:rFonts w:ascii="Times New Roman" w:hAnsi="Times New Roman"/>
          <w:color w:val="000000"/>
          <w:sz w:val="24"/>
          <w:u w:val="single"/>
        </w:rPr>
        <w:t>et seq.</w:t>
      </w:r>
      <w:r>
        <w:rPr>
          <w:rFonts w:ascii="Times New Roman" w:hAnsi="Times New Roman"/>
          <w:color w:val="000000"/>
          <w:sz w:val="24"/>
        </w:rPr>
        <w:t xml:space="preserve">; the North Carolina Fair Classification Act, N.C. Gen. Stat. § 143-761, </w:t>
      </w:r>
      <w:r>
        <w:rPr>
          <w:rFonts w:ascii="Times New Roman" w:hAnsi="Times New Roman"/>
          <w:color w:val="000000"/>
          <w:sz w:val="24"/>
          <w:u w:val="single"/>
        </w:rPr>
        <w:t>et seq.</w:t>
      </w:r>
      <w:r>
        <w:rPr>
          <w:rFonts w:ascii="Times New Roman" w:hAnsi="Times New Roman"/>
          <w:color w:val="000000"/>
          <w:sz w:val="24"/>
        </w:rPr>
        <w:t xml:space="preserve">; the North Carolina Act to Provide Limited Immunity from Liability for Claims Based on Transmission of Coronavirus Disease 2019, N.C. Gen. Stat. § 99E-70, </w:t>
      </w:r>
      <w:r>
        <w:rPr>
          <w:rFonts w:ascii="Times New Roman" w:hAnsi="Times New Roman"/>
          <w:color w:val="000000"/>
          <w:sz w:val="24"/>
          <w:u w:val="single"/>
        </w:rPr>
        <w:t>et seq.</w:t>
      </w:r>
      <w:r>
        <w:rPr>
          <w:rFonts w:ascii="Times New Roman" w:hAnsi="Times New Roman"/>
          <w:color w:val="000000"/>
          <w:sz w:val="24"/>
        </w:rPr>
        <w:t>; or any other federal or state law, regulation, or ordinance; any public policy, contract, tort, or common law; or any allegation for costs, fees, or other expenses including attorneys’ fees incurred in these matters. You agree that neither this Letter Agreement, nor the furnishing of consideration for this Letter Agreement, shall be deemed or construed at any time for any purpose as an admission by The Company of any liability or unlawful conduct of any kind.</w:t>
      </w:r>
    </w:p>
    <w:p>
      <w:pPr>
        <w:pStyle w:val="TextBody"/>
        <w:bidi w:val="0"/>
        <w:spacing w:before="4"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In addition, you agree that if any claim is not subject to release, to the extent permitted by law, you waive any right or ability to be a class or collective action representative or to otherwise participate in any putative or certified class, collective or multi-party action or proceeding based on such a claim in which the Company or any other Releasee identified in this Letter Agreement is a party.</w:t>
      </w:r>
    </w:p>
    <w:p>
      <w:pPr>
        <w:pStyle w:val="TextBody"/>
        <w:bidi w:val="0"/>
        <w:spacing w:before="1" w:after="283"/>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For the avoidance of doubt, this general release is intended to release any and all claims you may have under the Massachusetts Wage Act or any other state or local wage laws and is intended to resolve any and all disputes related to wages, commissions, bonuses or other compensation of any kind.</w:t>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Notwithstanding the foregoing, you are not waiving any rights you may have to: (a) your own vested accrued employee benefits under the Company‘s qualified retirement benefit plans as of the Extended Transition Date; (b) benefits and/or the right to seek benefits under applicable workers’ compensation and/or unemployment compensation statutes; (c) pursue claims which by law cannot be waived by signing this Letter Agreement; and/or (d) enforce this Letter Agreement.</w:t>
      </w:r>
    </w:p>
    <w:p>
      <w:pPr>
        <w:pStyle w:val="TextBody"/>
        <w:bidi w:val="0"/>
        <w:spacing w:before="15" w:after="283"/>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6.</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 xml:space="preserve">You agree not to make or publish any written or oral defamatory or disparaging statements, including online or in social media, regarding the Company, and its current and former employees, officers, directors and agents. You understand and agree that your obligations under this paragraph are material terms of this Letter Agreement, and that The Company shall have the right, in addition to any other damages, to seek and obtain the return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 w:after="283"/>
        <w:jc w:val="both"/>
        <w:rPr>
          <w:rFonts w:ascii="Times New Roman" w:hAnsi="Times New Roman"/>
          <w:color w:val="000000"/>
          <w:sz w:val="24"/>
        </w:rPr>
      </w:pPr>
      <w:r>
        <w:rPr>
          <w:rFonts w:ascii="Times New Roman" w:hAnsi="Times New Roman"/>
          <w:color w:val="000000"/>
          <w:sz w:val="24"/>
        </w:rPr>
        <w:t>of the consideration paid hereunder (without impacting the validity or enforceability of the general release contained herein) in the event you breach any of your obligations under this paragraph.</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7.</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You hereby acknowledge and reaffirm the validity of the Employee Confidentiality and Assignment Agreement or any agreement between you and the Company relating to inventions, non-disclosure of confidential information, non-solicitation and/or non-competition, the terms and conditions of which are incorporated herein by reference and remain in full force and effect for the full term stated therein. You further agree that you shall abide by any and all common-law and statutory obligations relating to protection and non-disclosure of trade secrets and confidential and proprietary documents and information. You understand that The Company would not provide you with the monies and benefits under this Letter Agreement but for your reaffirmation of these obligations. You further understand and agree that your obligations under this paragraph are material terms of this Letter Agreement, and that The Company shall have the right, in addition to any other damages, to seek and obtain the return of the consideration paid hereunder (without impacting the validity or enforceability of the general release contained herein) in the event you breach any of your obligations under this paragraph.</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8.</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You will be afforded a period of twenty-one (21) days from receipt of this Letter Agreement to consider the meaning and effect of this Letter Agreement. You further acknowledge that you have been advised to consult with an attorney and that you have had the opportunity to do so. You agree that any modifications, material or otherwise, did not restart or affect in any manner the original 21-day consideration period for the severance proposal made to you. This Letter Agreement shall have no force or effect if you do not sign and return it during the 21-day consideration period.</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may revoke this Letter Agreement for a period of seven (7) calendar days following the day you execute this Letter Agreement. Any revocation within this period must be submitted, in writing, to Kim Hazen, Chief People Officer, and state, “I hereby revoke my acceptance of the Letter Agreement.” The revocation must be personally delivered to Kim Hazen, Chief People Officer, Fulcrum Therapeutics, Inc., 26 Landsdowne Street, Cambridge, MA 02139, or e-mailed and mailed to her by first class mail and postmarked within seven (7) calendar days of execution of this Letter Agreement. This Letter Agreement shall not become effective or enforceable until the revocation period has expired. If the last day of the revocation period is a Saturday, Sunday, or legal holiday in Massachusetts or North Carolina,, then the revocation period shall not expire until the next following day which is not a Saturday, Sunday, or legal holiday.</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10.</w:t>
      </w:r>
    </w:p>
    <w:p>
      <w:pPr>
        <w:pStyle w:val="TextBody"/>
        <w:bidi w:val="0"/>
        <w:spacing w:before="243" w:after="283"/>
        <w:jc w:val="both"/>
        <w:rPr>
          <w:rFonts w:ascii="Times New Roman" w:hAnsi="Times New Roman"/>
          <w:color w:val="000000"/>
          <w:sz w:val="24"/>
        </w:rPr>
      </w:pPr>
      <w:r>
        <w:rPr>
          <w:rFonts w:ascii="Times New Roman" w:hAnsi="Times New Roman"/>
          <w:color w:val="000000"/>
          <w:sz w:val="24"/>
        </w:rPr>
        <w:t>This Letter Agreement, which will be construed under Massachusetts law, may not be modified, altered, or changed except upon express written consent of both parties wherein specific reference is made to this Letter Agreement.</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11.</w:t>
      </w:r>
    </w:p>
    <w:p>
      <w:pPr>
        <w:pStyle w:val="TextBody"/>
        <w:bidi w:val="0"/>
        <w:spacing w:before="236" w:after="283"/>
        <w:jc w:val="both"/>
        <w:rPr/>
      </w:pPr>
      <w:r>
        <w:rPr>
          <w:rFonts w:ascii="Times New Roman" w:hAnsi="Times New Roman"/>
          <w:color w:val="000000"/>
          <w:sz w:val="24"/>
        </w:rPr>
        <w:t>Nothing in this Letter Agreement or any other agreement you may have signed or company policy, prohibits, prevents, or otherwise limits you from (1) reporting possible violations of federal or other law or regulations to any governmental agency, regulatory body, or law enforcement authority (</w:t>
      </w:r>
      <w:r>
        <w:rPr>
          <w:rFonts w:ascii="Times New Roman" w:hAnsi="Times New Roman"/>
          <w:i/>
          <w:color w:val="000000"/>
          <w:sz w:val="24"/>
        </w:rPr>
        <w:t>e.g.</w:t>
      </w:r>
      <w:r>
        <w:rPr>
          <w:rFonts w:ascii="Times New Roman" w:hAnsi="Times New Roman"/>
          <w:color w:val="000000"/>
          <w:sz w:val="24"/>
        </w:rPr>
        <w:t xml:space="preserve">, EEOC, MCAD, NLRB, SEC, DOJ, CFTC, U.S. Congress,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6" w:after="283"/>
        <w:jc w:val="both"/>
        <w:rPr>
          <w:rFonts w:ascii="Times New Roman" w:hAnsi="Times New Roman"/>
          <w:color w:val="000000"/>
          <w:sz w:val="24"/>
        </w:rPr>
      </w:pPr>
      <w:r>
        <w:rPr>
          <w:rFonts w:ascii="Times New Roman" w:hAnsi="Times New Roman"/>
          <w:color w:val="000000"/>
          <w:sz w:val="24"/>
        </w:rPr>
        <w:t>or an Inspector General), (2) filing a charge or complaint with any such governmental agency, or (3) participating, testifying, or assisting in any investigation, hearing, or other proceeding brought by, in conjunction with, or otherwise under the authority of any such governmental agency. To the maximum extent permitted by law, you agree that if such an administrative claim is made, you shall not be entitled to recover any individual monetary relief or other individual remedies related to any alleged adverse employment action(s), except nothing in this Letter Agreement prohibits, prevents, or otherwise limits your ability or right to seek or receive any monetary award or bounty from any such governmental agency in connection with protected “whistleblower” activity. You are also not required to notify or obtain permission from the Company when filing a governmental whistleblower charge or complaint or engaging or participating in protected whistleblower activity.</w:t>
      </w:r>
    </w:p>
    <w:p>
      <w:pPr>
        <w:pStyle w:val="TextBody"/>
        <w:bidi w:val="0"/>
        <w:spacing w:before="247" w:after="283"/>
        <w:jc w:val="both"/>
        <w:rPr>
          <w:rFonts w:ascii="Times New Roman" w:hAnsi="Times New Roman"/>
          <w:color w:val="000000"/>
          <w:sz w:val="24"/>
        </w:rPr>
      </w:pPr>
      <w:r>
        <w:rPr>
          <w:rFonts w:ascii="Times New Roman" w:hAnsi="Times New Roman"/>
          <w:color w:val="000000"/>
          <w:sz w:val="24"/>
        </w:rPr>
        <w:t>12.</w:t>
      </w:r>
    </w:p>
    <w:p>
      <w:pPr>
        <w:pStyle w:val="TextBody"/>
        <w:bidi w:val="0"/>
        <w:spacing w:before="247" w:after="283"/>
        <w:jc w:val="both"/>
        <w:rPr>
          <w:rFonts w:ascii="Times New Roman" w:hAnsi="Times New Roman"/>
          <w:color w:val="000000"/>
          <w:sz w:val="24"/>
        </w:rPr>
      </w:pPr>
      <w:r>
        <w:rPr>
          <w:rFonts w:ascii="Times New Roman" w:hAnsi="Times New Roman"/>
          <w:color w:val="000000"/>
          <w:sz w:val="24"/>
        </w:rPr>
        <w:t>You affirm that you have been paid and have received all leave (paid or unpaid), compensation, wages, bonuses, commissions, severance pay, and/or benefits to which you may be entitled as of the date you enter into this Letter Agreement and that no other leave (paid or unpaid), compensation, wages, bonuses, commissions, severance pay (under the Employment Agreement or otherwise), and/or benefits are due to you, except as provided in this Letter Agreement. You further affirm that you have no known workplace injuries or occupational diseases. You also affirm that you have not been retaliated against for reporting any allegations of wrongdoing by the Company or its officers, including any allegations of corporate fraud. In addition, you affirm that all decisions regarding your pay and benefits through the date of your execution of this Letter Agreement were not discriminatory based on age, disability, race, color, sex, religion, national origin or any other classification protected by law.</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13.</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This Letter Agreement, represents the complete agreement between you and the Company, and fully supersedes any prior agreements or understandings between the parties, other than the Employee Confidentiality and Assignment Agreement or any other agreement between you and the Company relating to inventions, non-disclosure of confidential information, non-solicitation and/or non-competition referred to in paragraph 7, and any equity plans or agreements. For the avoidance of doubt, you will have no rights under the Employment Agreement after your employment ends. You acknowledge that you have not relied on any representations, promises, or agreements of any kind made to you in connection with your decision to sign this Letter Agreement, except those set forth herein.</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14.</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You agree to cooperate with the Company in the investigation, defense or prosecution of any claims, actions or other matters now in existence or which may be brought in the future against or on behalf of the Company. Your cooperation in connection with such claims or actions shall include, but not be limited to, being reasonably available to meet with the Company’s counsel to prepare for discovery or any mediation, arbitration, trial, administrative hearing or other proceeding or to act as a witness when reasonably requested by the Company at mutually agreeable times and at locations mutually convenient to you and the Company. Nothing herein shall require you to provide anything other than truthful information.</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15.</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 xml:space="preserve">Should any provision of this Letter Agreement be declared illegal or unenforceable by any court of competent jurisdiction and cannot be modified to be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9" w:after="283"/>
        <w:jc w:val="both"/>
        <w:rPr>
          <w:rFonts w:ascii="Times New Roman" w:hAnsi="Times New Roman"/>
          <w:color w:val="000000"/>
          <w:sz w:val="24"/>
        </w:rPr>
      </w:pPr>
      <w:r>
        <w:rPr>
          <w:rFonts w:ascii="Times New Roman" w:hAnsi="Times New Roman"/>
          <w:color w:val="000000"/>
          <w:sz w:val="24"/>
        </w:rPr>
        <w:t>enforceable consistent with the intent of the parties, excluding the general release language, such provision shall immediately become null and void, leaving the remainder of this Letter Agreement in full force and effect. However, if the general release in Paragraph No. 5 is found to be invalid, you agree to execute a valid release of the claims that are the subject of this Letter Agreement and/or are referred to in the general release in Paragraph No. 5 above.</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16.</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This Letter Agreement may be executed in counterparts, each of which when so executed shall be deemed an original, and the counterparts together shall constitute one and the same agreement. A copied, scanned, or faxed signature shall be treated the same as an original.</w:t>
      </w:r>
    </w:p>
    <w:p>
      <w:pPr>
        <w:pStyle w:val="TextBody"/>
        <w:bidi w:val="0"/>
        <w:spacing w:before="232" w:after="283"/>
        <w:jc w:val="both"/>
        <w:rPr>
          <w:rFonts w:ascii="Times New Roman" w:hAnsi="Times New Roman"/>
          <w:color w:val="000000"/>
          <w:sz w:val="24"/>
        </w:rPr>
      </w:pPr>
      <w:r>
        <w:rPr>
          <w:rFonts w:ascii="Times New Roman" w:hAnsi="Times New Roman"/>
          <w:color w:val="000000"/>
          <w:sz w:val="24"/>
        </w:rPr>
        <w:t>17.</w:t>
      </w:r>
    </w:p>
    <w:p>
      <w:pPr>
        <w:pStyle w:val="TextBody"/>
        <w:bidi w:val="0"/>
        <w:spacing w:before="232" w:after="283"/>
        <w:jc w:val="both"/>
        <w:rPr/>
      </w:pPr>
      <w:r>
        <w:rPr>
          <w:rFonts w:ascii="Times New Roman" w:hAnsi="Times New Roman"/>
          <w:color w:val="000000"/>
          <w:sz w:val="24"/>
        </w:rPr>
        <w:t>Although the Company does not guarantee the tax treatment of any payments or benefits under this Letter Agreement, it is intended that such payments and benefits be exempt from, and to the extent not exempt, comply with, Section 409A of the Internal Revenue Code of 1986, as amended, and the regulations and guidance promulgated thereunder (collectively “</w:t>
      </w:r>
      <w:r>
        <w:rPr>
          <w:rFonts w:ascii="Times New Roman" w:hAnsi="Times New Roman"/>
          <w:color w:val="000000"/>
          <w:sz w:val="24"/>
          <w:u w:val="single"/>
        </w:rPr>
        <w:t>Section 409A</w:t>
      </w:r>
      <w:r>
        <w:rPr>
          <w:color w:val="000000"/>
        </w:rPr>
        <w:t>”</w:t>
      </w:r>
      <w:r>
        <w:rPr>
          <w:rFonts w:ascii="Times New Roman" w:hAnsi="Times New Roman"/>
          <w:color w:val="000000"/>
          <w:sz w:val="24"/>
        </w:rPr>
        <w:t>) and, accordingly, to the maximum extent possible, this Letter Agreement shall be limited, construed and interpreted in accordance with such intent. For purposes of Section 409A, your right to receive installment payments pursuant to this Letter Agreement shall be treated as a right to receive a series of separate and distinct payments. In no event whatsoever shall the Company, its affiliates, or any of their respective officers, directors, employees or agents, be liable for any tax, interest or penalty that may be imposed on you by Section 409A or damages for failing to comply with Section 409A.</w:t>
      </w:r>
    </w:p>
    <w:p>
      <w:pPr>
        <w:pStyle w:val="TextBody"/>
        <w:bidi w:val="0"/>
        <w:jc w:val="left"/>
        <w:rPr/>
      </w:pPr>
      <w:r>
        <w:rPr/>
        <w:t> </w:t>
      </w:r>
    </w:p>
    <w:p>
      <w:pPr>
        <w:pStyle w:val="TextBody"/>
        <w:bidi w:val="0"/>
        <w:spacing w:before="50" w:after="283"/>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The Company would like to extend its appreciation to you for your past service, and its sincere hope for success in your future endeavors.</w:t>
      </w:r>
    </w:p>
    <w:p>
      <w:pPr>
        <w:pStyle w:val="TextBody"/>
        <w:bidi w:val="0"/>
        <w:spacing w:before="241"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Very truly yours,</w:t>
      </w:r>
    </w:p>
    <w:p>
      <w:pPr>
        <w:pStyle w:val="TextBody"/>
        <w:bidi w:val="0"/>
        <w:jc w:val="left"/>
        <w:rPr/>
      </w:pPr>
      <w:r>
        <w:rPr/>
        <w:t> </w:t>
      </w:r>
    </w:p>
    <w:tbl>
      <w:tblPr>
        <w:tblW w:w="1531" w:type="dxa"/>
        <w:jc w:val="left"/>
        <w:tblInd w:w="0" w:type="dxa"/>
        <w:tblLayout w:type="fixed"/>
        <w:tblCellMar>
          <w:top w:w="28" w:type="dxa"/>
          <w:left w:w="28" w:type="dxa"/>
          <w:bottom w:w="28" w:type="dxa"/>
          <w:right w:w="28" w:type="dxa"/>
        </w:tblCellMar>
      </w:tblPr>
      <w:tblGrid>
        <w:gridCol w:w="1531"/>
      </w:tblGrid>
      <w:tr>
        <w:trPr/>
        <w:tc>
          <w:tcPr>
            <w:tcW w:w="1531" w:type="dxa"/>
            <w:tcBorders/>
            <w:vAlign w:val="center"/>
          </w:tcPr>
          <w:p>
            <w:pPr>
              <w:pStyle w:val="TableContents"/>
              <w:bidi w:val="0"/>
              <w:spacing w:before="0" w:after="283"/>
              <w:jc w:val="left"/>
              <w:rPr>
                <w:sz w:val="4"/>
                <w:szCs w:val="4"/>
              </w:rPr>
            </w:pPr>
            <w:r>
              <w:rPr>
                <w:sz w:val="4"/>
                <w:szCs w:val="4"/>
              </w:rPr>
            </w:r>
          </w:p>
        </w:tc>
      </w:tr>
      <w:tr>
        <w:trPr/>
        <w:tc>
          <w:tcPr>
            <w:tcW w:w="15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Kim Hazen</w:t>
            </w:r>
          </w:p>
        </w:tc>
      </w:tr>
    </w:tbl>
    <w:p>
      <w:pPr>
        <w:pStyle w:val="TextBody"/>
        <w:bidi w:val="0"/>
        <w:jc w:val="left"/>
        <w:rPr>
          <w:rFonts w:ascii="Times New Roman" w:hAnsi="Times New Roman"/>
          <w:color w:val="000000"/>
          <w:sz w:val="24"/>
        </w:rPr>
      </w:pPr>
      <w:r>
        <w:rPr>
          <w:rFonts w:ascii="Times New Roman" w:hAnsi="Times New Roman"/>
          <w:color w:val="000000"/>
          <w:sz w:val="24"/>
        </w:rPr>
        <w:t>Kim Hazen</w:t>
      </w:r>
    </w:p>
    <w:p>
      <w:pPr>
        <w:pStyle w:val="TextBody"/>
        <w:bidi w:val="0"/>
        <w:jc w:val="left"/>
        <w:rPr>
          <w:rFonts w:ascii="Times New Roman" w:hAnsi="Times New Roman"/>
          <w:color w:val="000000"/>
          <w:sz w:val="24"/>
        </w:rPr>
      </w:pPr>
      <w:bookmarkStart w:id="24" w:name="chief_people_officer"/>
      <w:bookmarkEnd w:id="24"/>
      <w:r>
        <w:rPr>
          <w:rFonts w:ascii="Times New Roman" w:hAnsi="Times New Roman"/>
          <w:color w:val="000000"/>
          <w:sz w:val="24"/>
        </w:rPr>
        <w:t>Chief People Officer</w:t>
      </w:r>
    </w:p>
    <w:p>
      <w:pPr>
        <w:pStyle w:val="TextBody"/>
        <w:bidi w:val="0"/>
        <w:jc w:val="left"/>
        <w:rPr/>
      </w:pPr>
      <w:r>
        <w:rPr/>
        <w:t> </w:t>
      </w:r>
    </w:p>
    <w:p>
      <w:pPr>
        <w:pStyle w:val="TextBody"/>
        <w:bidi w:val="0"/>
        <w:jc w:val="left"/>
        <w:rPr/>
      </w:pPr>
      <w:r>
        <w:rPr/>
        <w:t> </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ACKNOWLEDGED AND AGREED TO:</w:t>
      </w:r>
    </w:p>
    <w:p>
      <w:pPr>
        <w:pStyle w:val="TextBody"/>
        <w:bidi w:val="0"/>
        <w:jc w:val="left"/>
        <w:rPr/>
      </w:pPr>
      <w:r>
        <w:rPr/>
        <w:t> </w:t>
      </w:r>
    </w:p>
    <w:tbl>
      <w:tblPr>
        <w:tblW w:w="1591" w:type="dxa"/>
        <w:jc w:val="left"/>
        <w:tblInd w:w="0" w:type="dxa"/>
        <w:tblLayout w:type="fixed"/>
        <w:tblCellMar>
          <w:top w:w="28" w:type="dxa"/>
          <w:left w:w="28" w:type="dxa"/>
          <w:bottom w:w="28" w:type="dxa"/>
          <w:right w:w="28" w:type="dxa"/>
        </w:tblCellMar>
      </w:tblPr>
      <w:tblGrid>
        <w:gridCol w:w="1591"/>
      </w:tblGrid>
      <w:tr>
        <w:trPr/>
        <w:tc>
          <w:tcPr>
            <w:tcW w:w="1591" w:type="dxa"/>
            <w:tcBorders/>
            <w:vAlign w:val="center"/>
          </w:tcPr>
          <w:p>
            <w:pPr>
              <w:pStyle w:val="TableContents"/>
              <w:bidi w:val="0"/>
              <w:spacing w:before="0" w:after="283"/>
              <w:jc w:val="left"/>
              <w:rPr>
                <w:sz w:val="4"/>
                <w:szCs w:val="4"/>
              </w:rPr>
            </w:pPr>
            <w:r>
              <w:rPr>
                <w:sz w:val="4"/>
                <w:szCs w:val="4"/>
              </w:rPr>
            </w:r>
          </w:p>
        </w:tc>
      </w:tr>
      <w:tr>
        <w:trPr/>
        <w:tc>
          <w:tcPr>
            <w:tcW w:w="159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Alan Musso</w:t>
            </w:r>
          </w:p>
        </w:tc>
      </w:tr>
    </w:tbl>
    <w:p>
      <w:pPr>
        <w:pStyle w:val="TextBody"/>
        <w:bidi w:val="0"/>
        <w:jc w:val="left"/>
        <w:rPr>
          <w:rFonts w:ascii="Times New Roman" w:hAnsi="Times New Roman"/>
          <w:color w:val="000000"/>
          <w:sz w:val="24"/>
        </w:rPr>
      </w:pPr>
      <w:r>
        <w:rPr>
          <w:rFonts w:ascii="Times New Roman" w:hAnsi="Times New Roman"/>
          <w:color w:val="000000"/>
          <w:sz w:val="24"/>
        </w:rPr>
        <w:t>Alan Musso</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pPr>
      <w:r>
        <w:rPr/>
        <w:t> </w:t>
      </w:r>
    </w:p>
    <w:p>
      <w:pPr>
        <w:pStyle w:val="TextBody"/>
        <w:bidi w:val="0"/>
        <w:spacing w:before="1" w:after="283"/>
        <w:jc w:val="center"/>
        <w:rPr>
          <w:rFonts w:ascii="Times New Roman" w:hAnsi="Times New Roman"/>
          <w:b/>
          <w:color w:val="000000"/>
          <w:sz w:val="24"/>
          <w:u w:val="single"/>
        </w:rPr>
      </w:pPr>
      <w:r>
        <w:rPr>
          <w:rFonts w:ascii="Times New Roman" w:hAnsi="Times New Roman"/>
          <w:b/>
          <w:color w:val="000000"/>
          <w:sz w:val="24"/>
          <w:u w:val="single"/>
        </w:rPr>
        <w:t>ATTACHMENT A</w:t>
      </w:r>
    </w:p>
    <w:p>
      <w:pPr>
        <w:pStyle w:val="TextBody"/>
        <w:bidi w:val="0"/>
        <w:spacing w:before="280" w:after="283"/>
        <w:jc w:val="left"/>
        <w:rPr>
          <w:rFonts w:ascii="Times New Roman" w:hAnsi="Times New Roman"/>
          <w:sz w:val="20"/>
        </w:rPr>
      </w:pPr>
      <w:r>
        <w:rPr>
          <w:rFonts w:ascii="Times New Roman" w:hAnsi="Times New Roman"/>
          <w:color w:val="000000"/>
          <w:sz w:val="24"/>
        </w:rPr>
        <w:t xml:space="preserve">In consideration of the Transition Benefits to be provided to me in Paragraph No. 3 of the Letter Agreement to which this </w:t>
      </w:r>
      <w:r>
        <w:rPr>
          <w:rFonts w:ascii="Times New Roman" w:hAnsi="Times New Roman"/>
          <w:b/>
          <w:color w:val="000000"/>
          <w:sz w:val="24"/>
          <w:u w:val="single"/>
        </w:rPr>
        <w:t>Attachment A</w:t>
      </w:r>
      <w:r>
        <w:rPr>
          <w:rFonts w:ascii="Times New Roman" w:hAnsi="Times New Roman"/>
          <w:color w:val="000000"/>
          <w:sz w:val="20"/>
        </w:rPr>
        <w:t xml:space="preserve"> </w:t>
      </w:r>
      <w:r>
        <w:rPr>
          <w:rFonts w:ascii="Times New Roman" w:hAnsi="Times New Roman"/>
          <w:color w:val="000000"/>
          <w:sz w:val="24"/>
        </w:rPr>
        <w:t>is attached, and other good and valuable consideration, the receipt of which I hereby acknowledge, I voluntarily and of my own freewill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0" w:after="283"/>
        <w:jc w:val="left"/>
        <w:rPr>
          <w:rFonts w:ascii="Times New Roman" w:hAnsi="Times New Roman"/>
          <w:sz w:val="20"/>
        </w:rPr>
      </w:pPr>
      <w:r>
        <w:rPr>
          <w:rFonts w:ascii="Times New Roman" w:hAnsi="Times New Roman"/>
          <w:color w:val="000000"/>
          <w:sz w:val="24"/>
        </w:rPr>
        <w:t xml:space="preserve">hereby release, forever discharge and hold harmless Fulcrum Therapeutics, Inc., its parents, subsidiaries, divisions and affiliates, its present or former officers, directors, trustees, employees, agents, insurers, or successors or assigns (the “Releasees”) from any and all claims, demands, rules or regulations, or any other causes of action of whatever nature, whether known or unknown, that have arisen through the date I execute this </w:t>
      </w:r>
      <w:r>
        <w:rPr>
          <w:rFonts w:ascii="Times New Roman" w:hAnsi="Times New Roman"/>
          <w:b/>
          <w:color w:val="000000"/>
          <w:sz w:val="24"/>
          <w:u w:val="single"/>
        </w:rPr>
        <w:t>Attachment A</w:t>
      </w:r>
      <w:r>
        <w:rPr>
          <w:rFonts w:ascii="Times New Roman" w:hAnsi="Times New Roman"/>
          <w:color w:val="000000"/>
          <w:sz w:val="24"/>
        </w:rPr>
        <w:t xml:space="preserve">, including, but not limited to, any alleged violations of Title VII of the Civil Rights Act of 1964, as amended; Sections 1981 through 1988 of Title 42 of the United States Code, as amended; the Age Discrimination in Employment Act of 1967, as amended; the Older Workers Benefit Protection Act; the Immigration Reform Control Act, as amended; the Employee Retirement Income Security Act of 1974, 29 U.S.C. § 1001, </w:t>
      </w:r>
      <w:r>
        <w:rPr>
          <w:rFonts w:ascii="Times New Roman" w:hAnsi="Times New Roman"/>
          <w:color w:val="000000"/>
          <w:sz w:val="24"/>
          <w:u w:val="single"/>
        </w:rPr>
        <w:t>et seq</w:t>
      </w:r>
      <w:r>
        <w:rPr>
          <w:rFonts w:ascii="Times New Roman" w:hAnsi="Times New Roman"/>
          <w:color w:val="000000"/>
          <w:sz w:val="24"/>
        </w:rPr>
        <w:t xml:space="preserve">. ("ERISA") (except for any vested benefits under any tax qualified benefit plan); the Occupational Safety and Health Act, as amended; the Civil Rights Act of 1866, 29 U.S.C. § 1981, </w:t>
      </w:r>
      <w:r>
        <w:rPr>
          <w:rFonts w:ascii="Times New Roman" w:hAnsi="Times New Roman"/>
          <w:color w:val="000000"/>
          <w:sz w:val="24"/>
          <w:u w:val="single"/>
        </w:rPr>
        <w:t>et seq.</w:t>
      </w:r>
      <w:r>
        <w:rPr>
          <w:rFonts w:ascii="Times New Roman" w:hAnsi="Times New Roman"/>
          <w:color w:val="000000"/>
          <w:sz w:val="24"/>
        </w:rPr>
        <w:t xml:space="preserve">; the Rehabilitation Act of 1973, 29 U.S.C. § 701, </w:t>
      </w:r>
      <w:r>
        <w:rPr>
          <w:rFonts w:ascii="Times New Roman" w:hAnsi="Times New Roman"/>
          <w:color w:val="000000"/>
          <w:sz w:val="24"/>
          <w:u w:val="single"/>
        </w:rPr>
        <w:t>et seq</w:t>
      </w:r>
      <w:r>
        <w:rPr>
          <w:rFonts w:ascii="Times New Roman" w:hAnsi="Times New Roman"/>
          <w:color w:val="000000"/>
          <w:sz w:val="24"/>
        </w:rPr>
        <w:t>.; the Americans With Disabilities Act of 1990, as amended; the Civil Rights Act of 1991; the Family and Medical Leave Act; the Equal Pay Act; the Fair Credit Reporting Act; the Genetic Information Nondiscrimination Act (“GINA”)</w:t>
      </w:r>
      <w:r>
        <w:rPr>
          <w:rFonts w:ascii="Times New Roman" w:hAnsi="Times New Roman"/>
          <w:color w:val="1F487C"/>
          <w:sz w:val="24"/>
        </w:rPr>
        <w:t xml:space="preserve">; </w:t>
      </w:r>
      <w:r>
        <w:rPr>
          <w:rFonts w:ascii="Times New Roman" w:hAnsi="Times New Roman"/>
          <w:color w:val="000000"/>
          <w:sz w:val="24"/>
        </w:rPr>
        <w:t xml:space="preserve">the Worker Adjustment and Retraining Notification (WARN) Act; the Massachusetts Law Against Discrimination, G.L. c. 151B; the Massachusetts Wage Payment Statute, G.L. c. 149, §§ 148, 148A, 148B, 148C, 149, 150, 150A-150C, 151, 152, 152A, </w:t>
      </w:r>
      <w:r>
        <w:rPr>
          <w:rFonts w:ascii="Times New Roman" w:hAnsi="Times New Roman"/>
          <w:color w:val="000000"/>
          <w:sz w:val="24"/>
          <w:u w:val="single"/>
        </w:rPr>
        <w:t>et seq</w:t>
      </w:r>
      <w:r>
        <w:rPr>
          <w:rFonts w:ascii="Times New Roman" w:hAnsi="Times New Roman"/>
          <w:color w:val="000000"/>
          <w:sz w:val="24"/>
        </w:rPr>
        <w:t xml:space="preserve">.; the Massachusetts Wage and Hour laws, G.L. c. 151§1A </w:t>
      </w:r>
      <w:r>
        <w:rPr>
          <w:rFonts w:ascii="Times New Roman" w:hAnsi="Times New Roman"/>
          <w:color w:val="000000"/>
          <w:sz w:val="24"/>
          <w:u w:val="single"/>
        </w:rPr>
        <w:t>et seq.</w:t>
      </w:r>
      <w:r>
        <w:rPr>
          <w:rFonts w:ascii="Times New Roman" w:hAnsi="Times New Roman"/>
          <w:color w:val="000000"/>
          <w:sz w:val="24"/>
        </w:rPr>
        <w:t>; the Massachusetts Privacy Statute, G.L. c. 214, § 1B; the Massachusetts Sexual Harassment Statute, G.L. c. 214 § 1C; the Massachusetts Civil Rights Act, G.L. c. 12, § 11H; the Massachusetts Equal Rights Act, G.L. c. 93, § 102; the Massachusetts Equal Pay Act, G.L.</w:t>
      </w:r>
    </w:p>
    <w:p>
      <w:pPr>
        <w:pStyle w:val="TextBody"/>
        <w:bidi w:val="0"/>
        <w:spacing w:before="4" w:after="283"/>
        <w:jc w:val="left"/>
        <w:rPr>
          <w:rFonts w:ascii="Times New Roman" w:hAnsi="Times New Roman"/>
          <w:sz w:val="20"/>
        </w:rPr>
      </w:pPr>
      <w:r>
        <w:rPr>
          <w:rFonts w:ascii="Times New Roman" w:hAnsi="Times New Roman"/>
          <w:color w:val="000000"/>
          <w:sz w:val="24"/>
        </w:rPr>
        <w:t xml:space="preserve">c. 149, § 105A; the Massachusetts Parental Leave Law, G.L. c. 149, § 105D; the Massachusetts Family and Medical Leave Law, G.L. c. 175M; the North Carolina Equal Employment Practices Act, N.C. Gen. Stat. §143-422.1 </w:t>
      </w:r>
      <w:r>
        <w:rPr>
          <w:rFonts w:ascii="Times New Roman" w:hAnsi="Times New Roman"/>
          <w:color w:val="000000"/>
          <w:sz w:val="24"/>
          <w:u w:val="single"/>
        </w:rPr>
        <w:t>et seq.</w:t>
      </w:r>
      <w:r>
        <w:rPr>
          <w:rFonts w:ascii="Times New Roman" w:hAnsi="Times New Roman"/>
          <w:color w:val="000000"/>
          <w:sz w:val="24"/>
        </w:rPr>
        <w:t xml:space="preserve">; the North Carolina Parental Leave Law for School Involvement, N.C. Gen. Stat. §95-28.3; the North Carolina Lawful Use of Lawful Products Law, N.C. Gen. Stat. §95-28.2; the North Carolina Persons With Disabilities Protection Act, N.C. Gen. Stat. §168A-1 </w:t>
      </w:r>
      <w:r>
        <w:rPr>
          <w:rFonts w:ascii="Times New Roman" w:hAnsi="Times New Roman"/>
          <w:color w:val="000000"/>
          <w:sz w:val="24"/>
          <w:u w:val="single"/>
        </w:rPr>
        <w:t>et seq.</w:t>
      </w:r>
      <w:r>
        <w:rPr>
          <w:rFonts w:ascii="Times New Roman" w:hAnsi="Times New Roman"/>
          <w:color w:val="000000"/>
          <w:sz w:val="24"/>
        </w:rPr>
        <w:t xml:space="preserve">; the North Carolina Communicable Disease Law, N.C. Gen. Stat. §130A, §130A-148(i); the North Carolina Discrimination on the Basis of Sickle Cell Trait Law, N.C. Gen. Stat. §95-28.1; the North Carolina Genetic Testing Law; N.C. Gen. Stat. §95-28.1A; the North Carolina Retaliatory Employment Discrimination Law, N.C. Gen. Stat. §95-240 </w:t>
      </w:r>
      <w:r>
        <w:rPr>
          <w:rFonts w:ascii="Times New Roman" w:hAnsi="Times New Roman"/>
          <w:color w:val="000000"/>
          <w:sz w:val="24"/>
          <w:u w:val="single"/>
        </w:rPr>
        <w:t>et seq.</w:t>
      </w:r>
      <w:r>
        <w:rPr>
          <w:rFonts w:ascii="Times New Roman" w:hAnsi="Times New Roman"/>
          <w:color w:val="000000"/>
          <w:sz w:val="24"/>
        </w:rPr>
        <w:t xml:space="preserve">; the North Carolina Wage and Hour Act, as amended, including N.C. Gen. Stat. §95-25.2 </w:t>
      </w:r>
      <w:r>
        <w:rPr>
          <w:rFonts w:ascii="Times New Roman" w:hAnsi="Times New Roman"/>
          <w:color w:val="000000"/>
          <w:sz w:val="24"/>
          <w:u w:val="single"/>
        </w:rPr>
        <w:t>et seq.</w:t>
      </w:r>
      <w:r>
        <w:rPr>
          <w:rFonts w:ascii="Times New Roman" w:hAnsi="Times New Roman"/>
          <w:color w:val="000000"/>
          <w:sz w:val="24"/>
        </w:rPr>
        <w:t xml:space="preserve">, and §95-25.14 </w:t>
      </w:r>
      <w:r>
        <w:rPr>
          <w:rFonts w:ascii="Times New Roman" w:hAnsi="Times New Roman"/>
          <w:color w:val="000000"/>
          <w:sz w:val="24"/>
          <w:u w:val="single"/>
        </w:rPr>
        <w:t>et seq.</w:t>
      </w:r>
      <w:r>
        <w:rPr>
          <w:rFonts w:ascii="Times New Roman" w:hAnsi="Times New Roman"/>
          <w:color w:val="000000"/>
          <w:sz w:val="24"/>
        </w:rPr>
        <w:t xml:space="preserve">; the North Carolina Occupational Safety and Health Act, as amended; the North Carolina Discrimination Against Military Personnel Act, N.C. Gen. Stat. § 127B-11; (although the act does not provide a private cause of action); the North Carolina National Guard Employment Rights Act, N.C. Gen. Stat. § 127A-202.1; the North Carolina Jury Duty Leave Law, N.C. Gen. Stat. § 9-32; the North Carolina Workplace Violence Prevention Act; N.C. Gen. Stat. § 95-260 </w:t>
      </w:r>
      <w:r>
        <w:rPr>
          <w:rFonts w:ascii="Times New Roman" w:hAnsi="Times New Roman"/>
          <w:color w:val="000000"/>
          <w:sz w:val="24"/>
          <w:u w:val="single"/>
        </w:rPr>
        <w:t>et seq.</w:t>
      </w:r>
      <w:r>
        <w:rPr>
          <w:rFonts w:ascii="Times New Roman" w:hAnsi="Times New Roman"/>
          <w:color w:val="000000"/>
          <w:sz w:val="24"/>
        </w:rPr>
        <w:t>; the North Carolina Domestic Violence Law;</w:t>
      </w:r>
    </w:p>
    <w:p>
      <w:pPr>
        <w:pStyle w:val="TextBody"/>
        <w:bidi w:val="0"/>
        <w:spacing w:before="5" w:after="283"/>
        <w:jc w:val="left"/>
        <w:rPr>
          <w:rFonts w:ascii="Times New Roman" w:hAnsi="Times New Roman"/>
          <w:sz w:val="20"/>
        </w:rPr>
      </w:pPr>
      <w:r>
        <w:rPr>
          <w:rFonts w:ascii="Times New Roman" w:hAnsi="Times New Roman"/>
          <w:color w:val="000000"/>
          <w:sz w:val="24"/>
        </w:rPr>
        <w:t xml:space="preserve">N.C. Gen. Stat. § 50B-5.5; the North Carolina Controlled Substances Examination Regulation Act; N.C. Gen. Stat. § 90-230 </w:t>
      </w:r>
      <w:r>
        <w:rPr>
          <w:rFonts w:ascii="Times New Roman" w:hAnsi="Times New Roman"/>
          <w:color w:val="000000"/>
          <w:sz w:val="24"/>
          <w:u w:val="single"/>
        </w:rPr>
        <w:t>et seq.</w:t>
      </w:r>
      <w:r>
        <w:rPr>
          <w:rFonts w:ascii="Times New Roman" w:hAnsi="Times New Roman"/>
          <w:color w:val="000000"/>
          <w:sz w:val="24"/>
        </w:rPr>
        <w:t xml:space="preserve">; the North Carolina Fair Classification Act, N.C. Gen. Stat. § 143-761, </w:t>
      </w:r>
      <w:r>
        <w:rPr>
          <w:rFonts w:ascii="Times New Roman" w:hAnsi="Times New Roman"/>
          <w:color w:val="000000"/>
          <w:sz w:val="24"/>
          <w:u w:val="single"/>
        </w:rPr>
        <w:t>et seq.</w:t>
      </w:r>
      <w:r>
        <w:rPr>
          <w:rFonts w:ascii="Times New Roman" w:hAnsi="Times New Roman"/>
          <w:color w:val="000000"/>
          <w:sz w:val="24"/>
        </w:rPr>
        <w:t xml:space="preserve">; the North Carolina Act to Provide Limited Immunity from Liability for Claims Based on Transmission of Coronavirus Disease 2019, N.C. Gen. Stat. § 99E-70, </w:t>
      </w:r>
      <w:r>
        <w:rPr>
          <w:rFonts w:ascii="Times New Roman" w:hAnsi="Times New Roman"/>
          <w:color w:val="000000"/>
          <w:sz w:val="24"/>
          <w:u w:val="single"/>
        </w:rPr>
        <w:t>et seq.</w:t>
      </w:r>
      <w:r>
        <w:rPr>
          <w:rFonts w:ascii="Times New Roman" w:hAnsi="Times New Roman"/>
          <w:color w:val="000000"/>
          <w:sz w:val="24"/>
        </w:rPr>
        <w:t>; or any other federal or state law, regulation, or ordinance; any public policy, contract, tort, or common law; or any allegation for costs, fees, or other expenses including attorneys’ fees incurred in these matters. Notwithstanding the foregoing, I am not waiving any rights I may have to (a) my own vested accrued employee benefits under the Company’s health, welfare, or retirement benefit plans as of the Extended Transition Date; (b) benefits and/or the right to seek benefits under applicable workers’ compensation and/or unemployment compensation statutes;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5" w:after="283"/>
        <w:jc w:val="left"/>
        <w:rPr>
          <w:rFonts w:ascii="Times New Roman" w:hAnsi="Times New Roman"/>
          <w:sz w:val="20"/>
        </w:rPr>
      </w:pPr>
      <w:r>
        <w:rPr>
          <w:rFonts w:ascii="Times New Roman" w:hAnsi="Times New Roman"/>
          <w:color w:val="000000"/>
          <w:sz w:val="24"/>
        </w:rPr>
        <w:t xml:space="preserve">(c) pursue claims which by law cannot be waived by signing the Letter Agreement or this </w:t>
      </w:r>
      <w:r>
        <w:rPr>
          <w:rFonts w:ascii="Times New Roman" w:hAnsi="Times New Roman"/>
          <w:b/>
          <w:color w:val="000000"/>
          <w:sz w:val="24"/>
          <w:u w:val="single"/>
        </w:rPr>
        <w:t>Attachment A</w:t>
      </w:r>
      <w:r>
        <w:rPr>
          <w:rFonts w:ascii="Times New Roman" w:hAnsi="Times New Roman"/>
          <w:color w:val="000000"/>
          <w:sz w:val="24"/>
        </w:rPr>
        <w:t>; and/or (d) enforce the Letter Agreement.</w:t>
      </w:r>
    </w:p>
    <w:p>
      <w:pPr>
        <w:pStyle w:val="TextBody"/>
        <w:bidi w:val="0"/>
        <w:spacing w:before="243" w:after="283"/>
        <w:jc w:val="left"/>
        <w:rPr>
          <w:rFonts w:ascii="Times New Roman" w:hAnsi="Times New Roman"/>
          <w:sz w:val="20"/>
        </w:rPr>
      </w:pPr>
      <w:r>
        <w:rPr>
          <w:rFonts w:ascii="Times New Roman" w:hAnsi="Times New Roman"/>
          <w:color w:val="000000"/>
          <w:sz w:val="24"/>
        </w:rPr>
        <w:t xml:space="preserve">I understand that I have been given until seven (7) days after the Extended Transition Date, which is a period of more than 21 days, to consider this general release identified as </w:t>
      </w:r>
      <w:r>
        <w:rPr>
          <w:rFonts w:ascii="Times New Roman" w:hAnsi="Times New Roman"/>
          <w:b/>
          <w:color w:val="000000"/>
          <w:sz w:val="24"/>
          <w:u w:val="single"/>
        </w:rPr>
        <w:t>Attachment A</w:t>
      </w:r>
      <w:r>
        <w:rPr>
          <w:rFonts w:ascii="Times New Roman" w:hAnsi="Times New Roman"/>
          <w:color w:val="000000"/>
          <w:sz w:val="24"/>
        </w:rPr>
        <w:t xml:space="preserve">, and that I am hereby advised to consult with an attorney prior to my execution of this general release identified as </w:t>
      </w:r>
      <w:r>
        <w:rPr>
          <w:rFonts w:ascii="Times New Roman" w:hAnsi="Times New Roman"/>
          <w:b/>
          <w:color w:val="000000"/>
          <w:sz w:val="24"/>
          <w:u w:val="single"/>
        </w:rPr>
        <w:t>Attachment A</w:t>
      </w:r>
      <w:r>
        <w:rPr>
          <w:rFonts w:ascii="Times New Roman" w:hAnsi="Times New Roman"/>
          <w:color w:val="000000"/>
          <w:sz w:val="24"/>
        </w:rPr>
        <w:t xml:space="preserve">. I also understand that I may not sign this </w:t>
      </w:r>
      <w:r>
        <w:rPr>
          <w:rFonts w:ascii="Times New Roman" w:hAnsi="Times New Roman"/>
          <w:b/>
          <w:color w:val="000000"/>
          <w:sz w:val="24"/>
          <w:u w:val="single"/>
        </w:rPr>
        <w:t>Attachment A</w:t>
      </w:r>
      <w:r>
        <w:rPr>
          <w:rFonts w:ascii="Times New Roman" w:hAnsi="Times New Roman"/>
          <w:color w:val="000000"/>
          <w:sz w:val="20"/>
        </w:rPr>
        <w:t xml:space="preserve"> </w:t>
      </w:r>
      <w:r>
        <w:rPr>
          <w:rFonts w:ascii="Times New Roman" w:hAnsi="Times New Roman"/>
          <w:color w:val="000000"/>
          <w:sz w:val="24"/>
        </w:rPr>
        <w:t xml:space="preserve">until after the Extended Transition Date. I understand that I may revoke this release identified as </w:t>
      </w:r>
      <w:r>
        <w:rPr>
          <w:rFonts w:ascii="Times New Roman" w:hAnsi="Times New Roman"/>
          <w:b/>
          <w:color w:val="000000"/>
          <w:sz w:val="24"/>
          <w:u w:val="single"/>
        </w:rPr>
        <w:t>Attachment</w:t>
      </w:r>
      <w:r>
        <w:rPr>
          <w:rFonts w:ascii="Times New Roman" w:hAnsi="Times New Roman"/>
          <w:color w:val="000000"/>
          <w:sz w:val="20"/>
        </w:rPr>
        <w:t xml:space="preserve"> </w:t>
      </w:r>
      <w:r>
        <w:rPr>
          <w:rFonts w:ascii="Times New Roman" w:hAnsi="Times New Roman"/>
          <w:b/>
          <w:color w:val="000000"/>
          <w:sz w:val="24"/>
          <w:u w:val="single"/>
        </w:rPr>
        <w:t>A</w:t>
      </w:r>
      <w:r>
        <w:rPr>
          <w:rFonts w:ascii="Times New Roman" w:hAnsi="Times New Roman"/>
          <w:color w:val="000000"/>
          <w:sz w:val="20"/>
        </w:rPr>
        <w:t xml:space="preserve"> </w:t>
      </w:r>
      <w:r>
        <w:rPr>
          <w:rFonts w:ascii="Times New Roman" w:hAnsi="Times New Roman"/>
          <w:color w:val="000000"/>
          <w:sz w:val="24"/>
        </w:rPr>
        <w:t xml:space="preserve">for a period of seven (7) days following the day I execute it, and that any revocation within this period must be submitted, in writing, to Kim Hazen, Chief People Officer and state, “I hereby revoke my acceptance of </w:t>
      </w:r>
      <w:r>
        <w:rPr>
          <w:rFonts w:ascii="Times New Roman" w:hAnsi="Times New Roman"/>
          <w:b/>
          <w:color w:val="000000"/>
          <w:sz w:val="24"/>
          <w:u w:val="single"/>
        </w:rPr>
        <w:t>Attachment A</w:t>
      </w:r>
      <w:r>
        <w:rPr>
          <w:rFonts w:ascii="Times New Roman" w:hAnsi="Times New Roman"/>
          <w:color w:val="000000"/>
          <w:sz w:val="20"/>
        </w:rPr>
        <w:t xml:space="preserve"> </w:t>
      </w:r>
      <w:r>
        <w:rPr>
          <w:rFonts w:ascii="Times New Roman" w:hAnsi="Times New Roman"/>
          <w:color w:val="000000"/>
          <w:sz w:val="24"/>
        </w:rPr>
        <w:t xml:space="preserve">to the Letter Agreement.” The revocation must be personally delivered to Kim Hazen, Chief People Officer, Fulcrum Therapeutics, Inc., 26 Landsdowne Street, Cambridge, MA 02139, or e-mailed and mailed to her by first class mail and postmarked within seven (7) calendar days of execution of this </w:t>
      </w:r>
      <w:r>
        <w:rPr>
          <w:rFonts w:ascii="Times New Roman" w:hAnsi="Times New Roman"/>
          <w:b/>
          <w:color w:val="000000"/>
          <w:sz w:val="24"/>
          <w:u w:val="single"/>
        </w:rPr>
        <w:t>Attachment A</w:t>
      </w:r>
      <w:r>
        <w:rPr>
          <w:rFonts w:ascii="Times New Roman" w:hAnsi="Times New Roman"/>
          <w:color w:val="000000"/>
          <w:sz w:val="24"/>
        </w:rPr>
        <w:t xml:space="preserve">. I further understand that any revocation of my acceptance of this </w:t>
      </w:r>
      <w:r>
        <w:rPr>
          <w:rFonts w:ascii="Times New Roman" w:hAnsi="Times New Roman"/>
          <w:b/>
          <w:color w:val="000000"/>
          <w:sz w:val="24"/>
          <w:u w:val="single"/>
        </w:rPr>
        <w:t>Attachment A</w:t>
      </w:r>
      <w:r>
        <w:rPr>
          <w:rFonts w:ascii="Times New Roman" w:hAnsi="Times New Roman"/>
          <w:color w:val="000000"/>
          <w:sz w:val="20"/>
        </w:rPr>
        <w:t xml:space="preserve"> </w:t>
      </w:r>
      <w:r>
        <w:rPr>
          <w:rFonts w:ascii="Times New Roman" w:hAnsi="Times New Roman"/>
          <w:color w:val="000000"/>
          <w:sz w:val="24"/>
        </w:rPr>
        <w:t xml:space="preserve">does not void or otherwise affect the enforceability of the general release contained in Paragraph No. 5 of the Letter Agreement to which this </w:t>
      </w:r>
      <w:r>
        <w:rPr>
          <w:rFonts w:ascii="Times New Roman" w:hAnsi="Times New Roman"/>
          <w:b/>
          <w:color w:val="000000"/>
          <w:sz w:val="24"/>
          <w:u w:val="single"/>
        </w:rPr>
        <w:t>Attachment A</w:t>
      </w:r>
      <w:r>
        <w:rPr>
          <w:rFonts w:ascii="Times New Roman" w:hAnsi="Times New Roman"/>
          <w:color w:val="000000"/>
          <w:sz w:val="20"/>
        </w:rPr>
        <w:t xml:space="preserve"> </w:t>
      </w:r>
      <w:r>
        <w:rPr>
          <w:rFonts w:ascii="Times New Roman" w:hAnsi="Times New Roman"/>
          <w:color w:val="000000"/>
          <w:sz w:val="24"/>
        </w:rPr>
        <w:t>is attached.</w:t>
      </w:r>
    </w:p>
    <w:p>
      <w:pPr>
        <w:pStyle w:val="TextBody"/>
        <w:bidi w:val="0"/>
        <w:spacing w:before="3"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I further acknowledge that I have been paid and have received all leave (paid or unpaid), compensation, wages, bonuses, commissions, severance pay, and/or benefits to which I may be entitled and that no other leave (paid or unpaid), compensation, wages, bonuses, commissions, severance pay, and/or benefits are due to me, except as otherwise expressly provided in the Letter Agreement. I further affirm that I have no known workplace injuries or occupational diseases and have been provided and/or have not been denied any leave requested under the Family and Medical Leave Act or any similar state or local law.</w:t>
      </w:r>
    </w:p>
    <w:p>
      <w:pPr>
        <w:pStyle w:val="TextBody"/>
        <w:bidi w:val="0"/>
        <w:jc w:val="left"/>
        <w:rPr/>
      </w:pPr>
      <w:r>
        <w:rPr/>
        <w:t> </w:t>
      </w:r>
    </w:p>
    <w:p>
      <w:pPr>
        <w:pStyle w:val="Heading1"/>
        <w:bidi w:val="0"/>
        <w:jc w:val="left"/>
        <w:rPr>
          <w:rFonts w:ascii="Times New Roman" w:hAnsi="Times New Roman"/>
          <w:sz w:val="20"/>
        </w:rPr>
      </w:pPr>
      <w:r>
        <w:rPr>
          <w:rFonts w:ascii="Times New Roman" w:hAnsi="Times New Roman"/>
          <w:color w:val="000000"/>
          <w:sz w:val="24"/>
        </w:rPr>
        <w:t xml:space="preserve">I UNDERSTAND THAT I CANNOT EXECUTE THIS </w:t>
      </w:r>
      <w:r>
        <w:rPr>
          <w:rFonts w:ascii="Times New Roman" w:hAnsi="Times New Roman"/>
          <w:color w:val="000000"/>
          <w:sz w:val="24"/>
          <w:u w:val="single"/>
        </w:rPr>
        <w:t>ATTACHMENT A</w:t>
      </w:r>
      <w:r>
        <w:rPr>
          <w:rFonts w:ascii="Times New Roman" w:hAnsi="Times New Roman"/>
          <w:color w:val="000000"/>
          <w:sz w:val="20"/>
        </w:rPr>
        <w:t xml:space="preserve"> </w:t>
      </w:r>
      <w:r>
        <w:rPr>
          <w:rFonts w:ascii="Times New Roman" w:hAnsi="Times New Roman"/>
          <w:color w:val="000000"/>
          <w:sz w:val="24"/>
        </w:rPr>
        <w:t xml:space="preserve">UNTIL ON OR AFTER FEBRUARY 9, 2027 BUT THAT IT MUST BE EXECUTED NO LATER THAN FEBRUARY 16, 2027 IN ORDER FOR ME TO BE ELIGIBLE FOR THE SEVERANCE BENEFITS SET FORTH IN PARAGRAPH 3 (OTHER THAN SUBPARAGRAPH 3(a))OF THE LETTER AGREEMENT TO WHICH THIS </w:t>
      </w:r>
      <w:r>
        <w:rPr>
          <w:rFonts w:ascii="Times New Roman" w:hAnsi="Times New Roman"/>
          <w:color w:val="000000"/>
          <w:sz w:val="24"/>
          <w:u w:val="single"/>
        </w:rPr>
        <w:t>ATTACHMENT A</w:t>
      </w:r>
      <w:r>
        <w:rPr>
          <w:rFonts w:ascii="Times New Roman" w:hAnsi="Times New Roman"/>
          <w:color w:val="000000"/>
          <w:sz w:val="20"/>
        </w:rPr>
        <w:t xml:space="preserve"> </w:t>
      </w:r>
      <w:r>
        <w:rPr>
          <w:rFonts w:ascii="Times New Roman" w:hAnsi="Times New Roman"/>
          <w:color w:val="000000"/>
          <w:sz w:val="24"/>
        </w:rPr>
        <w:t>IS ATTACHED.</w:t>
      </w:r>
    </w:p>
    <w:p>
      <w:pPr>
        <w:pStyle w:val="TextBody"/>
        <w:bidi w:val="0"/>
        <w:spacing w:before="237"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ACKNOWLEDGED AND AGREED TO:</w:t>
      </w:r>
    </w:p>
    <w:p>
      <w:pPr>
        <w:pStyle w:val="TextBody"/>
        <w:bidi w:val="0"/>
        <w:jc w:val="left"/>
        <w:rPr/>
      </w:pPr>
      <w:r>
        <w:rPr/>
        <w:t> </w:t>
      </w:r>
    </w:p>
    <w:p>
      <w:pPr>
        <w:pStyle w:val="TextBody"/>
        <w:bidi w:val="0"/>
        <w:spacing w:before="22" w:after="283"/>
        <w:jc w:val="left"/>
        <w:rPr>
          <w:rFonts w:ascii="Times New Roman" w:hAnsi="Times New Roman"/>
          <w:color w:val="000000"/>
          <w:sz w:val="24"/>
        </w:rPr>
      </w:pPr>
      <w:r>
        <w:rPr>
          <w:rFonts w:ascii="Times New Roman" w:hAnsi="Times New Roman"/>
          <w:color w:val="000000"/>
          <w:sz w:val="24"/>
        </w:rPr>
        <w:t>Alan Musso</w:t>
      </w:r>
    </w:p>
    <w:p>
      <w:pPr>
        <w:pStyle w:val="TextBody"/>
        <w:bidi w:val="0"/>
        <w:jc w:val="left"/>
        <w:rPr>
          <w:rFonts w:ascii="Times New Roman" w:hAnsi="Times New Roman"/>
          <w:color w:val="000000"/>
          <w:sz w:val="24"/>
        </w:rPr>
      </w:pPr>
      <w:r>
        <w:rPr>
          <w:rFonts w:ascii="Times New Roman" w:hAnsi="Times New Roman"/>
          <w:color w:val="000000"/>
          <w:sz w:val="24"/>
        </w:rPr>
        <w:t xml:space="preserve">Date: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bookmarkStart w:id="25" w:name="fulc-ex10_2.htm"/>
      <w:bookmarkStart w:id="26" w:name="ksfulcex10_2"/>
      <w:bookmarkEnd w:id="25"/>
      <w:bookmarkEnd w:id="26"/>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10.2</w:t>
      </w:r>
    </w:p>
    <w:p>
      <w:pPr>
        <w:pStyle w:val="Heading1"/>
        <w:bidi w:val="0"/>
        <w:spacing w:before="80" w:after="283"/>
        <w:jc w:val="center"/>
        <w:rPr>
          <w:rFonts w:ascii="Times New Roman" w:hAnsi="Times New Roman"/>
          <w:color w:val="000000"/>
          <w:sz w:val="24"/>
        </w:rPr>
      </w:pPr>
      <w:r>
        <w:rPr>
          <w:rFonts w:ascii="Times New Roman" w:hAnsi="Times New Roman"/>
          <w:color w:val="000000"/>
          <w:sz w:val="24"/>
        </w:rPr>
        <w:t>AMENDMENT TO EMPLOYMENT AGREEMENT</w:t>
      </w:r>
    </w:p>
    <w:p>
      <w:pPr>
        <w:pStyle w:val="TextBody"/>
        <w:bidi w:val="0"/>
        <w:spacing w:before="276" w:after="283"/>
        <w:jc w:val="both"/>
        <w:rPr>
          <w:rFonts w:ascii="Times New Roman" w:hAnsi="Times New Roman"/>
          <w:sz w:val="20"/>
        </w:rPr>
      </w:pPr>
      <w:r>
        <w:rPr>
          <w:rFonts w:ascii="Times New Roman" w:hAnsi="Times New Roman"/>
          <w:color w:val="000000"/>
          <w:sz w:val="24"/>
        </w:rPr>
        <w:t>This is an amendment (the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xml:space="preserve">) to the Executive Employment Agreement dated </w:t>
      </w:r>
      <w:r>
        <w:rPr>
          <w:rFonts w:ascii="Times New Roman" w:hAnsi="Times New Roman"/>
          <w:b/>
          <w:color w:val="000000"/>
          <w:sz w:val="24"/>
        </w:rPr>
        <w:t xml:space="preserve">May 12, 2023 </w:t>
      </w:r>
      <w:r>
        <w:rPr>
          <w:rFonts w:ascii="Times New Roman" w:hAnsi="Times New Roman"/>
          <w:color w:val="000000"/>
          <w:sz w:val="24"/>
        </w:rPr>
        <w:t>(the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by and between Fulcrum Therapeutics,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 xml:space="preserve">Alex Sapir </w:t>
      </w:r>
      <w:r>
        <w:rPr>
          <w:rFonts w:ascii="Times New Roman" w:hAnsi="Times New Roman"/>
          <w:color w:val="000000"/>
          <w:sz w:val="24"/>
        </w:rPr>
        <w:t>(the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(the Company and the Executive each a “</w:t>
      </w:r>
      <w:r>
        <w:rPr>
          <w:rFonts w:ascii="Times New Roman" w:hAnsi="Times New Roman"/>
          <w:color w:val="000000"/>
          <w:sz w:val="24"/>
          <w:u w:val="single"/>
        </w:rPr>
        <w:t>Party</w:t>
      </w:r>
      <w:r>
        <w:rPr>
          <w:rFonts w:ascii="Times New Roman" w:hAnsi="Times New Roman"/>
          <w:color w:val="000000"/>
          <w:sz w:val="20"/>
        </w:rPr>
        <w:t xml:space="preserve">” </w:t>
      </w:r>
      <w:r>
        <w:rPr>
          <w:rFonts w:ascii="Times New Roman" w:hAnsi="Times New Roman"/>
          <w:color w:val="000000"/>
          <w:sz w:val="24"/>
        </w:rPr>
        <w:t>and together the “</w:t>
      </w:r>
      <w:r>
        <w:rPr>
          <w:rFonts w:ascii="Times New Roman" w:hAnsi="Times New Roman"/>
          <w:color w:val="000000"/>
          <w:sz w:val="24"/>
          <w:u w:val="single"/>
        </w:rPr>
        <w:t>Parties</w:t>
      </w:r>
      <w:r>
        <w:rPr>
          <w:rFonts w:ascii="Times New Roman" w:hAnsi="Times New Roman"/>
          <w:color w:val="000000"/>
          <w:sz w:val="20"/>
        </w:rPr>
        <w:t>”</w:t>
      </w:r>
      <w:r>
        <w:rPr>
          <w:rFonts w:ascii="Times New Roman" w:hAnsi="Times New Roman"/>
          <w:color w:val="000000"/>
          <w:sz w:val="24"/>
        </w:rPr>
        <w:t>). This Amendment shall be effective on June 5, 2026 (the “</w:t>
      </w:r>
      <w:r>
        <w:rPr>
          <w:rFonts w:ascii="Times New Roman" w:hAnsi="Times New Roman"/>
          <w:color w:val="000000"/>
          <w:sz w:val="24"/>
          <w:u w:val="single"/>
        </w:rPr>
        <w:t>Amendment Effective</w:t>
      </w:r>
      <w:r>
        <w:rPr>
          <w:rFonts w:ascii="Times New Roman" w:hAnsi="Times New Roman"/>
          <w:color w:val="000000"/>
          <w:sz w:val="20"/>
        </w:rPr>
        <w:t xml:space="preserve"> </w:t>
      </w:r>
      <w:r>
        <w:rPr>
          <w:rFonts w:ascii="Times New Roman" w:hAnsi="Times New Roman"/>
          <w:color w:val="000000"/>
          <w:sz w:val="24"/>
          <w:u w:val="single"/>
        </w:rPr>
        <w:t>Date</w:t>
      </w:r>
      <w:r>
        <w:rPr>
          <w:rFonts w:ascii="Times New Roman" w:hAnsi="Times New Roman"/>
          <w:color w:val="000000"/>
          <w:sz w:val="24"/>
        </w:rPr>
        <w:t>.”)</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This Amendment supersedes any prior or contemporaneous agreement, communication or representation with, from or of the Company with respect to the terms described in this Amendment. Otherwise, with respect to all other terms, the Agreement remains in full force and effect. Capitalized but undefined terms in this Amendment are defined in the Agreement.</w:t>
      </w:r>
    </w:p>
    <w:p>
      <w:pPr>
        <w:pStyle w:val="TextBody"/>
        <w:bidi w:val="0"/>
        <w:spacing w:before="234" w:after="283"/>
        <w:jc w:val="left"/>
        <w:rPr>
          <w:rFonts w:ascii="Times New Roman" w:hAnsi="Times New Roman"/>
          <w:color w:val="000000"/>
          <w:sz w:val="24"/>
        </w:rPr>
      </w:pPr>
      <w:r>
        <w:rPr>
          <w:rFonts w:ascii="Times New Roman" w:hAnsi="Times New Roman"/>
          <w:color w:val="000000"/>
          <w:sz w:val="24"/>
        </w:rPr>
        <w:t>Executive’s Agreement is hereby amended as follows:</w:t>
      </w:r>
    </w:p>
    <w:p>
      <w:pPr>
        <w:pStyle w:val="TextBody"/>
        <w:bidi w:val="0"/>
        <w:spacing w:before="243" w:after="283"/>
        <w:jc w:val="left"/>
        <w:rPr>
          <w:rFonts w:ascii="Times New Roman" w:hAnsi="Times New Roman"/>
          <w:b/>
          <w:color w:val="000000"/>
          <w:sz w:val="24"/>
        </w:rPr>
      </w:pPr>
      <w:r>
        <w:rPr>
          <w:rFonts w:ascii="Times New Roman" w:hAnsi="Times New Roman"/>
          <w:b/>
          <w:color w:val="000000"/>
          <w:sz w:val="24"/>
        </w:rPr>
        <w:t>1.</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A new Section 4(i) is hereby added to the Agreement, containing the following text: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3" w:after="283"/>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Retention Bonus</w:t>
      </w:r>
      <w:r>
        <w:rPr>
          <w:rFonts w:ascii="Times New Roman" w:hAnsi="Times New Roman"/>
          <w:color w:val="000000"/>
          <w:sz w:val="24"/>
        </w:rPr>
        <w:t>. If the Executive remains employed until the closing of a Change in Control following the Amendment Effective Date, or if the Executive experiences a Qualifying Termination and complies with Section 7(d) and the Agreement’s other terms applicable to severance benefits, (in either case a “Retention Bonus Payment Event”), the Company shall pay the Executive a “</w:t>
      </w:r>
      <w:r>
        <w:rPr>
          <w:rFonts w:ascii="Times New Roman" w:hAnsi="Times New Roman"/>
          <w:color w:val="000000"/>
          <w:sz w:val="24"/>
          <w:u w:val="single"/>
        </w:rPr>
        <w:t>Retention Bonus</w:t>
      </w:r>
      <w:r>
        <w:rPr>
          <w:rFonts w:ascii="Times New Roman" w:hAnsi="Times New Roman"/>
          <w:color w:val="000000"/>
          <w:sz w:val="20"/>
        </w:rPr>
        <w:t>”</w:t>
      </w:r>
      <w:r>
        <w:rPr>
          <w:rFonts w:ascii="Times New Roman" w:hAnsi="Times New Roman"/>
          <w:color w:val="000000"/>
          <w:sz w:val="24"/>
        </w:rPr>
        <w:t>, within the timeframes described below, equal to 1.0x (one times) the Executive’s Target Bonus in addition to any other compensation or benefits to which Executive is entitled under the Agreement.</w:t>
      </w:r>
    </w:p>
    <w:p>
      <w:pPr>
        <w:pStyle w:val="TextBody"/>
        <w:bidi w:val="0"/>
        <w:spacing w:before="5"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Section 7(c) of the Agreement is hereby renumbered as Section 7(c)(i).</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rFonts w:ascii="Times New Roman" w:hAnsi="Times New Roman"/>
          <w:b/>
          <w:color w:val="000000"/>
          <w:sz w:val="24"/>
        </w:rPr>
      </w:pPr>
      <w:r>
        <w:rPr>
          <w:rFonts w:ascii="Times New Roman" w:hAnsi="Times New Roman"/>
          <w:b/>
          <w:color w:val="000000"/>
          <w:sz w:val="24"/>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9" w:after="283"/>
        <w:jc w:val="left"/>
        <w:rPr/>
      </w:pPr>
      <w:r>
        <w:rPr>
          <w:rFonts w:ascii="Times New Roman" w:hAnsi="Times New Roman"/>
          <w:color w:val="000000"/>
          <w:sz w:val="24"/>
        </w:rPr>
        <w:t xml:space="preserve">Section 7(c)(ii) is hereby added to the Agreement, containing the following text: ((c)(ii) </w:t>
      </w:r>
      <w:r>
        <w:rPr>
          <w:rFonts w:ascii="Times New Roman" w:hAnsi="Times New Roman"/>
          <w:color w:val="000000"/>
          <w:sz w:val="24"/>
          <w:u w:val="single"/>
        </w:rPr>
        <w:t>Qualifying Termination Within Six Months Prior to a Change in Control</w:t>
      </w:r>
      <w:r>
        <w:rPr>
          <w:rFonts w:ascii="Times New Roman" w:hAnsi="Times New Roman"/>
          <w:color w:val="000000"/>
          <w:sz w:val="24"/>
        </w:rPr>
        <w:t>. If 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jc w:val="left"/>
        <w:rPr>
          <w:rFonts w:ascii="Times New Roman" w:hAnsi="Times New Roman"/>
          <w:color w:val="000000"/>
          <w:sz w:val="24"/>
        </w:rPr>
      </w:pPr>
      <w:r>
        <w:rPr>
          <w:rFonts w:ascii="Times New Roman" w:hAnsi="Times New Roman"/>
          <w:color w:val="000000"/>
          <w:sz w:val="24"/>
        </w:rPr>
        <w:t>Qualifying Termination occurs within six (6) months immediately prior to a Change in Control, subject to Section 7(d) (except as modified herein), Section 8, and the other applicable terms of the Agreement (including as to payment timing and frequency), the Executive shall become entitled to the Change in Control Severance Benefits as described in Section 7(c)(i) as of, and subject in all respects to, the closing of such Change in Control transaction; provided that any Severance Benefits already provided to the Executive shall be credited against, and shall reduce, any Change in Control Severance Benefits then due to the Executive. For the avoidance of any doubt, the target bonus found in the Change in Control Severance Benefits shall be viewed as a separate benefit and not reduced, in the event that a Retention Bonus was paid.</w:t>
      </w:r>
    </w:p>
    <w:p>
      <w:pPr>
        <w:pStyle w:val="TextBody"/>
        <w:bidi w:val="0"/>
        <w:spacing w:before="1"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24"/>
        </w:rPr>
      </w:pPr>
      <w:r>
        <w:rPr>
          <w:rFonts w:ascii="Times New Roman" w:hAnsi="Times New Roman"/>
          <w:color w:val="000000"/>
          <w:sz w:val="24"/>
        </w:rPr>
        <w:t>Section 7(d) is hereby deleted and is replaced with the following Section 7, which is hereby added to the Agreement, containing the following text: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5"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Release and Payment Dates</w:t>
      </w:r>
      <w:r>
        <w:rPr>
          <w:rFonts w:ascii="Times New Roman" w:hAnsi="Times New Roman"/>
          <w:color w:val="000000"/>
          <w:sz w:val="24"/>
        </w:rPr>
        <w:t>. As a condition of the Executive’s receipt of the Severance Benefits, the Change in Control Severance Benefits and the Retention Bonus, as applicable, the Executive must execute and deliver to the Company a release of claims agreement in a form to be provided by the Company (other than a standard release of employment-related claims and a mutual nondisparagement provision, such form will not include any new obligations or restrictive covenants imposed on Executive beyond those to which the Executive is otherwise subject as of the Termination</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35" w:after="283"/>
        <w:jc w:val="both"/>
        <w:rPr>
          <w:rFonts w:ascii="Times New Roman" w:hAnsi="Times New Roman"/>
          <w:sz w:val="20"/>
        </w:rPr>
      </w:pPr>
      <w:r>
        <w:rPr>
          <w:rFonts w:ascii="Times New Roman" w:hAnsi="Times New Roman"/>
          <w:color w:val="000000"/>
          <w:sz w:val="24"/>
        </w:rPr>
        <w:t>Date or the date the Retention Bonus becomes payable under this Agreement or other agreements executed by Executive and the Company) (in the case of a Qualifying Termination, such release agreement is referred to herein as the “</w:t>
      </w:r>
      <w:r>
        <w:rPr>
          <w:rFonts w:ascii="Times New Roman" w:hAnsi="Times New Roman"/>
          <w:color w:val="000000"/>
          <w:sz w:val="24"/>
          <w:u w:val="single"/>
        </w:rPr>
        <w:t>Severance Agreement;</w:t>
      </w:r>
      <w:r>
        <w:rPr>
          <w:rFonts w:ascii="Times New Roman" w:hAnsi="Times New Roman"/>
          <w:color w:val="000000"/>
          <w:sz w:val="20"/>
        </w:rPr>
        <w:t xml:space="preserve">” </w:t>
      </w:r>
      <w:r>
        <w:rPr>
          <w:rFonts w:ascii="Times New Roman" w:hAnsi="Times New Roman"/>
          <w:color w:val="000000"/>
          <w:sz w:val="24"/>
        </w:rPr>
        <w:t>in the case of the Retention Bonus, such release agreement is referred to herein as the “</w:t>
      </w:r>
      <w:r>
        <w:rPr>
          <w:rFonts w:ascii="Times New Roman" w:hAnsi="Times New Roman"/>
          <w:color w:val="000000"/>
          <w:sz w:val="24"/>
          <w:u w:val="single"/>
        </w:rPr>
        <w:t>Release</w:t>
      </w:r>
      <w:r>
        <w:rPr>
          <w:rFonts w:ascii="Times New Roman" w:hAnsi="Times New Roman"/>
          <w:color w:val="000000"/>
          <w:sz w:val="20"/>
        </w:rPr>
        <w:t xml:space="preserv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Such Severance Agreement or Release Agreement, as applicable, must become irrevocable within 60 days (or such shorter period as may be directed by the Company) following: (i) the Executive’s Termination Date in the case of Severance Benefits or Change in Control Severance Benefits under Section (c)(i) or, (ii) in the case of Change in Control Severance Benefits under Section (c)(ii) and any applicable Retention Bonus, the closing of the Change in Control Transaction.</w:t>
      </w:r>
    </w:p>
    <w:p>
      <w:pPr>
        <w:pStyle w:val="TextBody"/>
        <w:bidi w:val="0"/>
        <w:spacing w:before="241" w:after="283"/>
        <w:jc w:val="both"/>
        <w:rPr>
          <w:rFonts w:ascii="Times New Roman" w:hAnsi="Times New Roman"/>
          <w:sz w:val="20"/>
        </w:rPr>
      </w:pPr>
      <w:r>
        <w:rPr>
          <w:rFonts w:ascii="Times New Roman" w:hAnsi="Times New Roman"/>
          <w:color w:val="000000"/>
          <w:sz w:val="24"/>
        </w:rPr>
        <w:t>The Severance Benefits or the Change in Control Severance Benefits under Section (c)(i) (other than any COBRA subsidy), as applicable, will be paid or commence to be paid in the first regular payroll beginning after the Severance Agreement becomes effective and irrevocable, provided that if the foregoing 60 day period (or such shorter period as may be directed by the Company) would end in a calendar year subsequent to the year in which the Executive’s employment ends, the Severance Benefits or Change in Control Severance Benefits (other than any COBRA subsidy), as applicable, will not be paid or begin to be paid before the first payroll of the subsequent calendar year (the date the Severance Benefits or Change in Control Severance Benefits under Section (c)(i), as applicable, commence pursuant to this sentence, the “</w:t>
      </w:r>
      <w:r>
        <w:rPr>
          <w:rFonts w:ascii="Times New Roman" w:hAnsi="Times New Roman"/>
          <w:color w:val="000000"/>
          <w:sz w:val="24"/>
          <w:u w:val="single"/>
        </w:rPr>
        <w:t>Payment</w:t>
      </w:r>
      <w:r>
        <w:rPr>
          <w:rFonts w:ascii="Times New Roman" w:hAnsi="Times New Roman"/>
          <w:color w:val="000000"/>
          <w:sz w:val="20"/>
        </w:rPr>
        <w:t xml:space="preserve"> </w:t>
      </w:r>
      <w:r>
        <w:rPr>
          <w:rFonts w:ascii="Times New Roman" w:hAnsi="Times New Roman"/>
          <w:color w:val="000000"/>
          <w:sz w:val="24"/>
          <w:u w:val="single"/>
        </w:rPr>
        <w:t>Date</w:t>
      </w:r>
      <w:r>
        <w:rPr>
          <w:rFonts w:ascii="Times New Roman" w:hAnsi="Times New Roman"/>
          <w:color w:val="000000"/>
          <w:sz w:val="20"/>
        </w:rPr>
        <w:t>”</w:t>
      </w:r>
      <w:r>
        <w:rPr>
          <w:rFonts w:ascii="Times New Roman" w:hAnsi="Times New Roman"/>
          <w:color w:val="000000"/>
          <w:sz w:val="24"/>
        </w:rPr>
        <w:t>).</w:t>
      </w:r>
    </w:p>
    <w:p>
      <w:pPr>
        <w:pStyle w:val="TextBody"/>
        <w:bidi w:val="0"/>
        <w:spacing w:before="241" w:after="283"/>
        <w:jc w:val="both"/>
        <w:rPr>
          <w:rFonts w:ascii="Times New Roman" w:hAnsi="Times New Roman"/>
          <w:sz w:val="20"/>
        </w:rPr>
      </w:pPr>
      <w:r>
        <w:rPr>
          <w:rFonts w:ascii="Times New Roman" w:hAnsi="Times New Roman"/>
          <w:color w:val="000000"/>
          <w:sz w:val="24"/>
        </w:rPr>
        <w:t>The Change in Control Severance Benefits under Section (c)(ii) (other than any COBRA subsidy), as applicable, will be paid or commence to be paid in the first regular payroll beginning 60 days (or such shorter period as may be directed by the Company) after the closing of the Change in Control transaction, on the condition that the Severance Agreement becomes effective and irrevocable, provided, however, that if such 60 day period would end in a calendar year subsequent to the year in which the closing of the Change in Control transaction occurred, the Change in Control Severance Benefits under Section (c)(ii) (other than any COBRA subsidy), as applicable, will not be paid or begin to be paid before the first payroll of the subsequent calendar year (the date the Change in Control Severance Benefits under Section (c)(ii) commence pursuant to this sentence, the “</w:t>
      </w:r>
      <w:r>
        <w:rPr>
          <w:rFonts w:ascii="Times New Roman" w:hAnsi="Times New Roman"/>
          <w:color w:val="000000"/>
          <w:sz w:val="24"/>
          <w:u w:val="single"/>
        </w:rPr>
        <w:t>Look-Back Payment Date</w:t>
      </w:r>
      <w:r>
        <w:rPr>
          <w:rFonts w:ascii="Times New Roman" w:hAnsi="Times New Roman"/>
          <w:color w:val="000000"/>
          <w:sz w:val="20"/>
        </w:rPr>
        <w:t>”</w:t>
      </w:r>
      <w:r>
        <w:rPr>
          <w:rFonts w:ascii="Times New Roman" w:hAnsi="Times New Roman"/>
          <w:color w:val="000000"/>
          <w:sz w:val="24"/>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If a Retention Bonus Payment Event occurs in connection with a Qualifying Termination as provided above, the Retention Bonus shall be paid on the date the first severance payment is made. If a Retention Bonus Payment Event occurs in connection with a Change in Control as provided above, the Retention Bonus will be paid in the first regular payroll beginning 60 days (or such shorter period as may be directed by the Company) after the closing of the Change in Control transaction, provided, however, that if such 60 day period would end in a calendar year subsequent to the year in which the closing of the Change in Control transaction occurred, the Retention Bonus will not be paid before the first payroll of the subsequent calendar year.</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In all cases, the Executive must continue to comply with the ECAA and any similar agreement with the Company or its affiliates in order to be eligible to continue receiving the Severance Benefits or Change in Control Severance Benefits, as applicable.</w:t>
      </w:r>
    </w:p>
    <w:p>
      <w:pPr>
        <w:pStyle w:val="TextBody"/>
        <w:bidi w:val="0"/>
        <w:spacing w:before="77" w:after="283"/>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r>
        <w:rPr>
          <w:rFonts w:ascii="Times New Roman" w:hAnsi="Times New Roman"/>
          <w:b/>
          <w:color w:val="000000"/>
          <w:sz w:val="24"/>
        </w:rPr>
        <w:t xml:space="preserve">Additional Terms. </w:t>
      </w:r>
      <w:r>
        <w:rPr>
          <w:rFonts w:ascii="Times New Roman" w:hAnsi="Times New Roman"/>
          <w:color w:val="000000"/>
          <w:sz w:val="24"/>
        </w:rPr>
        <w:t xml:space="preserve">In signing this Amendment, each Party agrees that it is not relying on relying on any representation, communication, promise, policy or practice of the other Party with respect to the Amendment that is not expressly contained herein. The Executive agrees that the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11"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consideration for which Executive is eligible under this Amendment is sufficient consideration, independent of Executive’s employment, for Executive’s restrictive covenant obligations to the Company.</w:t>
      </w:r>
    </w:p>
    <w:p>
      <w:pPr>
        <w:pStyle w:val="TextBody"/>
        <w:bidi w:val="0"/>
        <w:spacing w:before="224" w:after="283"/>
        <w:jc w:val="both"/>
        <w:rPr>
          <w:rFonts w:ascii="Times New Roman" w:hAnsi="Times New Roman"/>
          <w:b/>
          <w:color w:val="000000"/>
          <w:sz w:val="24"/>
        </w:rPr>
      </w:pPr>
      <w:r>
        <w:rPr>
          <w:rFonts w:ascii="Times New Roman" w:hAnsi="Times New Roman"/>
          <w:b/>
          <w:color w:val="000000"/>
          <w:sz w:val="24"/>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24" w:after="283"/>
        <w:jc w:val="both"/>
        <w:rPr/>
      </w:pPr>
      <w:r>
        <w:rPr>
          <w:rFonts w:ascii="Times New Roman" w:hAnsi="Times New Roman"/>
          <w:b/>
          <w:color w:val="000000"/>
          <w:sz w:val="24"/>
        </w:rPr>
        <w:t xml:space="preserve">References to the Agreement. </w:t>
      </w:r>
      <w:r>
        <w:rPr>
          <w:rFonts w:ascii="Times New Roman" w:hAnsi="Times New Roman"/>
          <w:color w:val="000000"/>
          <w:sz w:val="24"/>
        </w:rPr>
        <w:t>All references to the Agreement in the Agreement or in this Amendment will mean the Agreement as amended by this Amendment.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24" w:after="283"/>
        <w:jc w:val="left"/>
        <w:rPr>
          <w:rFonts w:ascii="Times New Roman" w:hAnsi="Times New Roman"/>
          <w:color w:val="000000"/>
          <w:sz w:val="24"/>
        </w:rPr>
      </w:pPr>
      <w:r>
        <w:rPr>
          <w:rFonts w:ascii="Times New Roman" w:hAnsi="Times New Roman"/>
          <w:color w:val="000000"/>
          <w:sz w:val="24"/>
        </w:rPr>
        <w:t>IN WITNESS WHEREOF, the Parties hereto have executed this Agreement as of the day and year set forth above.</w:t>
      </w:r>
    </w:p>
    <w:p>
      <w:pPr>
        <w:pStyle w:val="TextBody"/>
        <w:bidi w:val="0"/>
        <w:spacing w:before="237"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FULCRUM THERAPEUTICS, INC.</w:t>
      </w:r>
    </w:p>
    <w:p>
      <w:pPr>
        <w:pStyle w:val="TextBody"/>
        <w:bidi w:val="0"/>
        <w:jc w:val="left"/>
        <w:rPr/>
      </w:pPr>
      <w:r>
        <w:rPr/>
        <w:t> </w:t>
      </w:r>
    </w:p>
    <w:tbl>
      <w:tblPr>
        <w:tblW w:w="5567" w:type="dxa"/>
        <w:jc w:val="left"/>
        <w:tblInd w:w="0" w:type="dxa"/>
        <w:tblLayout w:type="fixed"/>
        <w:tblCellMar>
          <w:top w:w="28" w:type="dxa"/>
          <w:left w:w="28" w:type="dxa"/>
          <w:bottom w:w="28" w:type="dxa"/>
          <w:right w:w="28" w:type="dxa"/>
        </w:tblCellMar>
      </w:tblPr>
      <w:tblGrid>
        <w:gridCol w:w="751"/>
        <w:gridCol w:w="4816"/>
      </w:tblGrid>
      <w:tr>
        <w:trPr/>
        <w:tc>
          <w:tcPr>
            <w:tcW w:w="751" w:type="dxa"/>
            <w:tcBorders/>
            <w:vAlign w:val="center"/>
          </w:tcPr>
          <w:p>
            <w:pPr>
              <w:pStyle w:val="TableContents"/>
              <w:bidi w:val="0"/>
              <w:spacing w:before="0" w:after="283"/>
              <w:jc w:val="left"/>
              <w:rPr>
                <w:sz w:val="4"/>
                <w:szCs w:val="4"/>
              </w:rPr>
            </w:pPr>
            <w:r>
              <w:rPr>
                <w:sz w:val="4"/>
                <w:szCs w:val="4"/>
              </w:rPr>
            </w:r>
          </w:p>
        </w:tc>
        <w:tc>
          <w:tcPr>
            <w:tcW w:w="4816"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8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Curtis Oltmans</w:t>
            </w:r>
          </w:p>
        </w:tc>
      </w:tr>
      <w:tr>
        <w:trPr/>
        <w:tc>
          <w:tcPr>
            <w:tcW w:w="7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48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Curtis Oltmans</w:t>
            </w:r>
          </w:p>
        </w:tc>
      </w:tr>
      <w:tr>
        <w:trPr/>
        <w:tc>
          <w:tcPr>
            <w:tcW w:w="7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48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Legal Officer and Head of External Affairs</w:t>
            </w:r>
          </w:p>
        </w:tc>
      </w:tr>
    </w:tbl>
    <w:p>
      <w:pPr>
        <w:pStyle w:val="TextBody"/>
        <w:bidi w:val="0"/>
        <w:spacing w:before="80" w:after="283"/>
        <w:jc w:val="left"/>
        <w:rPr/>
      </w:pPr>
      <w:r>
        <w:rPr/>
        <w:t> </w:t>
      </w:r>
    </w:p>
    <w:p>
      <w:pPr>
        <w:pStyle w:val="TextBody"/>
        <w:bidi w:val="0"/>
        <w:spacing w:before="80" w:after="283"/>
        <w:jc w:val="left"/>
        <w:rPr/>
      </w:pPr>
      <w:r>
        <w:rPr/>
        <w:t> </w:t>
      </w:r>
    </w:p>
    <w:p>
      <w:pPr>
        <w:pStyle w:val="TextBody"/>
        <w:bidi w:val="0"/>
        <w:spacing w:before="80" w:after="283"/>
        <w:jc w:val="left"/>
        <w:rPr>
          <w:rFonts w:ascii="Times New Roman" w:hAnsi="Times New Roman"/>
          <w:color w:val="000000"/>
          <w:sz w:val="24"/>
        </w:rPr>
      </w:pPr>
      <w:r>
        <w:rPr>
          <w:rFonts w:ascii="Times New Roman" w:hAnsi="Times New Roman"/>
          <w:color w:val="000000"/>
          <w:sz w:val="24"/>
        </w:rPr>
        <w:t>EXECUTIVE:</w:t>
      </w:r>
    </w:p>
    <w:p>
      <w:pPr>
        <w:pStyle w:val="TextBody"/>
        <w:bidi w:val="0"/>
        <w:jc w:val="left"/>
        <w:rPr/>
      </w:pPr>
      <w:r>
        <w:rPr/>
        <w:t> </w:t>
      </w:r>
    </w:p>
    <w:tbl>
      <w:tblPr>
        <w:tblW w:w="2477" w:type="dxa"/>
        <w:jc w:val="left"/>
        <w:tblInd w:w="0" w:type="dxa"/>
        <w:tblLayout w:type="fixed"/>
        <w:tblCellMar>
          <w:top w:w="28" w:type="dxa"/>
          <w:left w:w="28" w:type="dxa"/>
          <w:bottom w:w="28" w:type="dxa"/>
          <w:right w:w="28" w:type="dxa"/>
        </w:tblCellMar>
      </w:tblPr>
      <w:tblGrid>
        <w:gridCol w:w="751"/>
        <w:gridCol w:w="1726"/>
      </w:tblGrid>
      <w:tr>
        <w:trPr/>
        <w:tc>
          <w:tcPr>
            <w:tcW w:w="751"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7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Alex C. Sapir</w:t>
            </w:r>
          </w:p>
        </w:tc>
      </w:tr>
      <w:tr>
        <w:trPr/>
        <w:tc>
          <w:tcPr>
            <w:tcW w:w="7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72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Alex C. Sapir</w:t>
            </w:r>
          </w:p>
        </w:tc>
      </w:tr>
    </w:tbl>
    <w:p>
      <w:pPr>
        <w:pStyle w:val="TextBody"/>
        <w:bidi w:val="0"/>
        <w:jc w:val="left"/>
        <w:rPr/>
      </w:pPr>
      <w:r>
        <w:rPr/>
        <w:t> </w:t>
      </w:r>
    </w:p>
    <w:p>
      <w:pPr>
        <w:pStyle w:val="TextBody"/>
        <w:bidi w:val="0"/>
        <w:jc w:val="left"/>
        <w:rPr/>
      </w:pPr>
      <w:r>
        <w:rPr/>
        <w:t> </w:t>
      </w:r>
    </w:p>
    <w:p>
      <w:pPr>
        <w:pStyle w:val="TextBody"/>
        <w:bidi w:val="0"/>
        <w:spacing w:before="11"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pPr>
      <w:bookmarkStart w:id="27" w:name="fulc-ex10_3.htm"/>
      <w:bookmarkStart w:id="28" w:name="ksfulcex10_3"/>
      <w:bookmarkEnd w:id="27"/>
      <w:bookmarkEnd w:id="28"/>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10.3</w:t>
      </w:r>
    </w:p>
    <w:p>
      <w:pPr>
        <w:pStyle w:val="Heading1"/>
        <w:bidi w:val="0"/>
        <w:spacing w:before="80" w:after="283"/>
        <w:jc w:val="center"/>
        <w:rPr>
          <w:rFonts w:ascii="Times New Roman" w:hAnsi="Times New Roman"/>
          <w:color w:val="000000"/>
          <w:sz w:val="24"/>
        </w:rPr>
      </w:pPr>
      <w:r>
        <w:rPr>
          <w:rFonts w:ascii="Times New Roman" w:hAnsi="Times New Roman"/>
          <w:color w:val="000000"/>
          <w:sz w:val="24"/>
        </w:rPr>
        <w:t>AMENDMENT TO EMPLOYMENT AGREEMENT</w:t>
      </w:r>
    </w:p>
    <w:p>
      <w:pPr>
        <w:pStyle w:val="TextBody"/>
        <w:bidi w:val="0"/>
        <w:spacing w:before="276" w:after="283"/>
        <w:jc w:val="both"/>
        <w:rPr>
          <w:rFonts w:ascii="Times New Roman" w:hAnsi="Times New Roman"/>
          <w:sz w:val="20"/>
        </w:rPr>
      </w:pPr>
      <w:r>
        <w:rPr>
          <w:rFonts w:ascii="Times New Roman" w:hAnsi="Times New Roman"/>
          <w:color w:val="000000"/>
          <w:sz w:val="24"/>
        </w:rPr>
        <w:t>This is an amendment (the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xml:space="preserve">) to the Executive Employment Agreement dated </w:t>
      </w:r>
      <w:r>
        <w:rPr>
          <w:rFonts w:ascii="Times New Roman" w:hAnsi="Times New Roman"/>
          <w:b/>
          <w:color w:val="000000"/>
          <w:sz w:val="24"/>
        </w:rPr>
        <w:t xml:space="preserve">August 7, 2023 </w:t>
      </w:r>
      <w:r>
        <w:rPr>
          <w:rFonts w:ascii="Times New Roman" w:hAnsi="Times New Roman"/>
          <w:color w:val="000000"/>
          <w:sz w:val="24"/>
        </w:rPr>
        <w:t>(the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by and between Fulcrum Therapeutics,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 xml:space="preserve">Alan Musso </w:t>
      </w:r>
      <w:r>
        <w:rPr>
          <w:rFonts w:ascii="Times New Roman" w:hAnsi="Times New Roman"/>
          <w:color w:val="000000"/>
          <w:sz w:val="24"/>
        </w:rPr>
        <w:t>(the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(the Company and the Executive each a “</w:t>
      </w:r>
      <w:r>
        <w:rPr>
          <w:rFonts w:ascii="Times New Roman" w:hAnsi="Times New Roman"/>
          <w:color w:val="000000"/>
          <w:sz w:val="24"/>
          <w:u w:val="single"/>
        </w:rPr>
        <w:t>Party</w:t>
      </w:r>
      <w:r>
        <w:rPr>
          <w:rFonts w:ascii="Times New Roman" w:hAnsi="Times New Roman"/>
          <w:color w:val="000000"/>
          <w:sz w:val="20"/>
        </w:rPr>
        <w:t xml:space="preserve">” </w:t>
      </w:r>
      <w:r>
        <w:rPr>
          <w:rFonts w:ascii="Times New Roman" w:hAnsi="Times New Roman"/>
          <w:color w:val="000000"/>
          <w:sz w:val="24"/>
        </w:rPr>
        <w:t>and together the “</w:t>
      </w:r>
      <w:r>
        <w:rPr>
          <w:rFonts w:ascii="Times New Roman" w:hAnsi="Times New Roman"/>
          <w:color w:val="000000"/>
          <w:sz w:val="24"/>
          <w:u w:val="single"/>
        </w:rPr>
        <w:t>Parties</w:t>
      </w:r>
      <w:r>
        <w:rPr>
          <w:rFonts w:ascii="Times New Roman" w:hAnsi="Times New Roman"/>
          <w:color w:val="000000"/>
          <w:sz w:val="20"/>
        </w:rPr>
        <w:t>”</w:t>
      </w:r>
      <w:r>
        <w:rPr>
          <w:rFonts w:ascii="Times New Roman" w:hAnsi="Times New Roman"/>
          <w:color w:val="000000"/>
          <w:sz w:val="24"/>
        </w:rPr>
        <w:t>). This Amendment shall be effective on June 5, 2026 (the “</w:t>
      </w:r>
      <w:r>
        <w:rPr>
          <w:rFonts w:ascii="Times New Roman" w:hAnsi="Times New Roman"/>
          <w:color w:val="000000"/>
          <w:sz w:val="24"/>
          <w:u w:val="single"/>
        </w:rPr>
        <w:t>Amendment Effective</w:t>
      </w:r>
      <w:r>
        <w:rPr>
          <w:rFonts w:ascii="Times New Roman" w:hAnsi="Times New Roman"/>
          <w:color w:val="000000"/>
          <w:sz w:val="20"/>
        </w:rPr>
        <w:t xml:space="preserve"> </w:t>
      </w:r>
      <w:r>
        <w:rPr>
          <w:rFonts w:ascii="Times New Roman" w:hAnsi="Times New Roman"/>
          <w:color w:val="000000"/>
          <w:sz w:val="24"/>
          <w:u w:val="single"/>
        </w:rPr>
        <w:t>Date</w:t>
      </w:r>
      <w:r>
        <w:rPr>
          <w:rFonts w:ascii="Times New Roman" w:hAnsi="Times New Roman"/>
          <w:color w:val="000000"/>
          <w:sz w:val="24"/>
        </w:rPr>
        <w:t>.”)</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This Amendment supersedes any prior or contemporaneous agreement, communication or representation with, from or of the Company with respect to the terms described in this Amendment. Otherwise, with respect to all other terms, the Agreement remains in full force and effect. Capitalized but undefined terms in this Amendment are defined in the Agreement.</w:t>
      </w:r>
    </w:p>
    <w:p>
      <w:pPr>
        <w:pStyle w:val="TextBody"/>
        <w:bidi w:val="0"/>
        <w:spacing w:before="234" w:after="283"/>
        <w:jc w:val="left"/>
        <w:rPr>
          <w:rFonts w:ascii="Times New Roman" w:hAnsi="Times New Roman"/>
          <w:color w:val="000000"/>
          <w:sz w:val="24"/>
        </w:rPr>
      </w:pPr>
      <w:r>
        <w:rPr>
          <w:rFonts w:ascii="Times New Roman" w:hAnsi="Times New Roman"/>
          <w:color w:val="000000"/>
          <w:sz w:val="24"/>
        </w:rPr>
        <w:t>Executive’s Agreement is hereby amended as follows:</w:t>
      </w:r>
    </w:p>
    <w:p>
      <w:pPr>
        <w:pStyle w:val="TextBody"/>
        <w:bidi w:val="0"/>
        <w:spacing w:before="243" w:after="283"/>
        <w:jc w:val="left"/>
        <w:rPr>
          <w:rFonts w:ascii="Times New Roman" w:hAnsi="Times New Roman"/>
          <w:b/>
          <w:color w:val="000000"/>
          <w:sz w:val="24"/>
        </w:rPr>
      </w:pPr>
      <w:r>
        <w:rPr>
          <w:rFonts w:ascii="Times New Roman" w:hAnsi="Times New Roman"/>
          <w:b/>
          <w:color w:val="000000"/>
          <w:sz w:val="24"/>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A new Section 4(j) is hereby added to the Agreement, containing the following text: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3" w:after="283"/>
        <w:jc w:val="both"/>
        <w:rPr>
          <w:rFonts w:ascii="Times New Roman" w:hAnsi="Times New Roman"/>
          <w:sz w:val="20"/>
        </w:rPr>
      </w:pPr>
      <w:r>
        <w:rPr>
          <w:rFonts w:ascii="Times New Roman" w:hAnsi="Times New Roman"/>
          <w:color w:val="000000"/>
          <w:sz w:val="24"/>
        </w:rPr>
        <w:t xml:space="preserve">(j) </w:t>
      </w:r>
      <w:r>
        <w:rPr>
          <w:rFonts w:ascii="Times New Roman" w:hAnsi="Times New Roman"/>
          <w:color w:val="000000"/>
          <w:sz w:val="24"/>
          <w:u w:val="single"/>
        </w:rPr>
        <w:t>Retention Bonus</w:t>
      </w:r>
      <w:r>
        <w:rPr>
          <w:rFonts w:ascii="Times New Roman" w:hAnsi="Times New Roman"/>
          <w:color w:val="000000"/>
          <w:sz w:val="24"/>
        </w:rPr>
        <w:t>. If the Executive remains employed until the closing of a Change in Control following the Amendment Effective Date, or if the Executive experiences a Qualifying Termination and complies with Section 7(d) and the Agreement’s other terms applicable to severance benefits, (in either case a “Retention Bonus Payment Event”), the Company shall pay the Executive a “</w:t>
      </w:r>
      <w:r>
        <w:rPr>
          <w:rFonts w:ascii="Times New Roman" w:hAnsi="Times New Roman"/>
          <w:color w:val="000000"/>
          <w:sz w:val="24"/>
          <w:u w:val="single"/>
        </w:rPr>
        <w:t>Retention Bonus</w:t>
      </w:r>
      <w:r>
        <w:rPr>
          <w:rFonts w:ascii="Times New Roman" w:hAnsi="Times New Roman"/>
          <w:color w:val="000000"/>
          <w:sz w:val="20"/>
        </w:rPr>
        <w:t>”</w:t>
      </w:r>
      <w:r>
        <w:rPr>
          <w:rFonts w:ascii="Times New Roman" w:hAnsi="Times New Roman"/>
          <w:color w:val="000000"/>
          <w:sz w:val="24"/>
        </w:rPr>
        <w:t>, within the timeframes described below, equal to 1.0x (one times) the Executive’s Target Bonus in addition to any other compensation or benefits to which Executive is entitled under the Agreement.</w:t>
      </w:r>
    </w:p>
    <w:p>
      <w:pPr>
        <w:pStyle w:val="TextBody"/>
        <w:bidi w:val="0"/>
        <w:spacing w:before="5"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24"/>
        </w:rPr>
      </w:pPr>
      <w:bookmarkStart w:id="29" w:name="x__section_7_c__of_the_agreement_is_here"/>
      <w:bookmarkEnd w:id="29"/>
      <w:r>
        <w:rPr>
          <w:rFonts w:ascii="Times New Roman" w:hAnsi="Times New Roman"/>
          <w:color w:val="000000"/>
          <w:sz w:val="24"/>
        </w:rPr>
        <w:t>Section 7(c) of the Agreement is hereby renumbered as Section 7(c)(i).</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rFonts w:ascii="Times New Roman" w:hAnsi="Times New Roman"/>
          <w:b/>
          <w:color w:val="000000"/>
          <w:sz w:val="24"/>
        </w:rPr>
      </w:pPr>
      <w:r>
        <w:rPr>
          <w:rFonts w:ascii="Times New Roman" w:hAnsi="Times New Roman"/>
          <w:b/>
          <w:color w:val="000000"/>
          <w:sz w:val="24"/>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9" w:after="283"/>
        <w:jc w:val="left"/>
        <w:rPr/>
      </w:pPr>
      <w:bookmarkStart w:id="30" w:name="x__section_7_c__ii__is_hereby_added_to_t"/>
      <w:bookmarkEnd w:id="30"/>
      <w:r>
        <w:rPr>
          <w:rFonts w:ascii="Times New Roman" w:hAnsi="Times New Roman"/>
          <w:color w:val="000000"/>
          <w:sz w:val="24"/>
        </w:rPr>
        <w:t xml:space="preserve">Section 7(c)(ii) is hereby added to the Agreement, containing the following text: ((c)(ii) </w:t>
      </w:r>
      <w:r>
        <w:rPr>
          <w:rFonts w:ascii="Times New Roman" w:hAnsi="Times New Roman"/>
          <w:color w:val="000000"/>
          <w:sz w:val="24"/>
          <w:u w:val="single"/>
        </w:rPr>
        <w:t>Qualifying Termination Within Six Months Prior to a Change in Control</w:t>
      </w:r>
      <w:r>
        <w:rPr>
          <w:rFonts w:ascii="Times New Roman" w:hAnsi="Times New Roman"/>
          <w:color w:val="000000"/>
          <w:sz w:val="24"/>
        </w:rPr>
        <w:t>. If 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jc w:val="left"/>
        <w:rPr>
          <w:rFonts w:ascii="Times New Roman" w:hAnsi="Times New Roman"/>
          <w:color w:val="000000"/>
          <w:sz w:val="24"/>
        </w:rPr>
      </w:pPr>
      <w:r>
        <w:rPr>
          <w:rFonts w:ascii="Times New Roman" w:hAnsi="Times New Roman"/>
          <w:color w:val="000000"/>
          <w:sz w:val="24"/>
        </w:rPr>
        <w:t>Qualifying Termination occurs within six (6) months immediately prior to a Change in Control, subject to Section 7(d) (except as modified herein), Section 8, and the other applicable terms of the Agreement (including as to payment timing and frequency), the Executive shall become entitled to the Change in Control Severance Benefits as described in Section 7(c)(i) as of, and subject in all respects to, the closing of such Change in Control transaction; provided that any Severance Benefits already provided to the Executive shall be credited against, and shall reduce, any Change in Control Severance Benefits then due to the Executive. For the avoidance of any doubt, the target bonus found in the Change in Control Severance Benefits shall be viewed as a separate benefit and not reduced, in the event that a Retention Bonus was paid.</w:t>
      </w:r>
    </w:p>
    <w:p>
      <w:pPr>
        <w:pStyle w:val="TextBody"/>
        <w:bidi w:val="0"/>
        <w:spacing w:before="1"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24"/>
        </w:rPr>
      </w:pPr>
      <w:bookmarkStart w:id="31" w:name="x__section_7_d__is_hereby_deleted_and_is"/>
      <w:bookmarkEnd w:id="31"/>
      <w:r>
        <w:rPr>
          <w:rFonts w:ascii="Times New Roman" w:hAnsi="Times New Roman"/>
          <w:color w:val="000000"/>
          <w:sz w:val="24"/>
        </w:rPr>
        <w:t>Section 7(d) is hereby deleted and is replaced with the following Section 7, which is hereby added to the Agreement, containing the following text: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5"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Release and Payment Dates</w:t>
      </w:r>
      <w:r>
        <w:rPr>
          <w:rFonts w:ascii="Times New Roman" w:hAnsi="Times New Roman"/>
          <w:color w:val="000000"/>
          <w:sz w:val="24"/>
        </w:rPr>
        <w:t>. As a condition of the Executive’s receipt of the Severance Benefits, the Change in Control Severance Benefits and the Retention Bonus, as applicable, the Executive must execute and deliver to the Company a release of claims agreement in a form to be provided by the Company (other than a standard release of employment-related claims and a</w:t>
      </w:r>
    </w:p>
    <w:p>
      <w:pPr>
        <w:pStyle w:val="TextBody"/>
        <w:bidi w:val="0"/>
        <w:spacing w:before="80" w:after="283"/>
        <w:jc w:val="both"/>
        <w:rPr>
          <w:rFonts w:ascii="Times New Roman" w:hAnsi="Times New Roman"/>
          <w:sz w:val="20"/>
        </w:rPr>
      </w:pPr>
      <w:r>
        <w:rPr>
          <w:rFonts w:ascii="Times New Roman" w:hAnsi="Times New Roman"/>
          <w:color w:val="000000"/>
          <w:sz w:val="24"/>
        </w:rPr>
        <w:t>mutual nondisparagement provision, such form will not include any new obligations or restrictive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4"/>
        </w:rPr>
        <w:t>covenants imposed on Executive beyond those to which the Executive is otherwise subject as of the Termination Date or the date the Retention Bonus becomes payable under this Agreement or other agreements executed by Executive and the Company) (in the case of a Qualifying Termination, such release agreement is referred to herein as the “</w:t>
      </w:r>
      <w:r>
        <w:rPr>
          <w:rFonts w:ascii="Times New Roman" w:hAnsi="Times New Roman"/>
          <w:color w:val="000000"/>
          <w:sz w:val="24"/>
          <w:u w:val="single"/>
        </w:rPr>
        <w:t>Severance Agreement;</w:t>
      </w:r>
      <w:r>
        <w:rPr>
          <w:rFonts w:ascii="Times New Roman" w:hAnsi="Times New Roman"/>
          <w:color w:val="000000"/>
          <w:sz w:val="20"/>
        </w:rPr>
        <w:t xml:space="preserve">” </w:t>
      </w:r>
      <w:r>
        <w:rPr>
          <w:rFonts w:ascii="Times New Roman" w:hAnsi="Times New Roman"/>
          <w:color w:val="000000"/>
          <w:sz w:val="24"/>
        </w:rPr>
        <w:t>in the case of the Retention Bonus, such release agreement is referred to herein as the “</w:t>
      </w:r>
      <w:r>
        <w:rPr>
          <w:rFonts w:ascii="Times New Roman" w:hAnsi="Times New Roman"/>
          <w:color w:val="000000"/>
          <w:sz w:val="24"/>
          <w:u w:val="single"/>
        </w:rPr>
        <w:t>Release</w:t>
      </w:r>
      <w:r>
        <w:rPr>
          <w:rFonts w:ascii="Times New Roman" w:hAnsi="Times New Roman"/>
          <w:color w:val="000000"/>
          <w:sz w:val="20"/>
        </w:rPr>
        <w:t xml:space="preserv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Such Severance Agreement or Release Agreement, as applicable, must become irrevocable within 60 days (or such shorter period as may be directed by the Company) following: (i) the Executive’s Termination Date in the case of Severance Benefits or Change in Control Severance Benefits under Section (c)(i) or, (ii) in the case of Change in Control Severance Benefits under Section (c)(ii) and any applicable Retention Bonus, the closing of the Change in Control Transaction.</w:t>
      </w:r>
    </w:p>
    <w:p>
      <w:pPr>
        <w:pStyle w:val="TextBody"/>
        <w:bidi w:val="0"/>
        <w:spacing w:before="241" w:after="283"/>
        <w:jc w:val="both"/>
        <w:rPr>
          <w:rFonts w:ascii="Times New Roman" w:hAnsi="Times New Roman"/>
          <w:sz w:val="20"/>
        </w:rPr>
      </w:pPr>
      <w:r>
        <w:rPr>
          <w:rFonts w:ascii="Times New Roman" w:hAnsi="Times New Roman"/>
          <w:color w:val="000000"/>
          <w:sz w:val="24"/>
        </w:rPr>
        <w:t>The Severance Benefits or the Change in Control Severance Benefits under Section (c)(i) (other than any COBRA subsidy), as applicable, will be paid or commence to be paid in the first regular payroll beginning after the Severance Agreement becomes effective and irrevocable, provided that if the foregoing 60 day period (or such shorter period as may be directed by the Company) would end in a calendar year subsequent to the year in which the Executive’s employment ends, the Severance Benefits or Change in Control Severance Benefits (other than any COBRA subsidy), as applicable, will not be paid or begin to be paid before the first payroll of the subsequent calendar year (the date the Severance Benefits or Change in Control Severance Benefits under Section (c)(i), as applicable, commence pursuant to this sentence, the “</w:t>
      </w:r>
      <w:r>
        <w:rPr>
          <w:rFonts w:ascii="Times New Roman" w:hAnsi="Times New Roman"/>
          <w:color w:val="000000"/>
          <w:sz w:val="24"/>
          <w:u w:val="single"/>
        </w:rPr>
        <w:t>Payment</w:t>
      </w:r>
      <w:r>
        <w:rPr>
          <w:rFonts w:ascii="Times New Roman" w:hAnsi="Times New Roman"/>
          <w:color w:val="000000"/>
          <w:sz w:val="20"/>
        </w:rPr>
        <w:t xml:space="preserve"> </w:t>
      </w:r>
      <w:r>
        <w:rPr>
          <w:rFonts w:ascii="Times New Roman" w:hAnsi="Times New Roman"/>
          <w:color w:val="000000"/>
          <w:sz w:val="24"/>
          <w:u w:val="single"/>
        </w:rPr>
        <w:t>Date</w:t>
      </w:r>
      <w:r>
        <w:rPr>
          <w:rFonts w:ascii="Times New Roman" w:hAnsi="Times New Roman"/>
          <w:color w:val="000000"/>
          <w:sz w:val="20"/>
        </w:rPr>
        <w:t>”</w:t>
      </w:r>
      <w:r>
        <w:rPr>
          <w:rFonts w:ascii="Times New Roman" w:hAnsi="Times New Roman"/>
          <w:color w:val="000000"/>
          <w:sz w:val="24"/>
        </w:rPr>
        <w:t>).</w:t>
      </w:r>
    </w:p>
    <w:p>
      <w:pPr>
        <w:pStyle w:val="TextBody"/>
        <w:bidi w:val="0"/>
        <w:spacing w:before="241" w:after="283"/>
        <w:jc w:val="both"/>
        <w:rPr>
          <w:rFonts w:ascii="Times New Roman" w:hAnsi="Times New Roman"/>
          <w:sz w:val="20"/>
        </w:rPr>
      </w:pPr>
      <w:r>
        <w:rPr>
          <w:rFonts w:ascii="Times New Roman" w:hAnsi="Times New Roman"/>
          <w:color w:val="000000"/>
          <w:sz w:val="24"/>
        </w:rPr>
        <w:t>The Change in Control Severance Benefits under Section (c)(ii) (other than any COBRA subsidy), as applicable, will be paid or commence to be paid in the first regular payroll beginning 60 days (or such shorter period as may be directed by the Company) after the closing of the Change in Control transaction, on the condition that the Severance Agreement becomes effective and irrevocable, provided, however, that if such 60 day period would end in a calendar year subsequent to the year in which the closing of the Change in Control transaction occurred, the Change in Control Severance Benefits under Section (c)(ii) (other than any COBRA subsidy), as applicable, will not be paid or begin to be paid before the first payroll of the subsequent calendar year (the date the Change in Control Severance Benefits under Section (c)(ii) commence pursuant to this sentence, the “</w:t>
      </w:r>
      <w:r>
        <w:rPr>
          <w:rFonts w:ascii="Times New Roman" w:hAnsi="Times New Roman"/>
          <w:color w:val="000000"/>
          <w:sz w:val="24"/>
          <w:u w:val="single"/>
        </w:rPr>
        <w:t>Look-Back Payment Date</w:t>
      </w:r>
      <w:r>
        <w:rPr>
          <w:rFonts w:ascii="Times New Roman" w:hAnsi="Times New Roman"/>
          <w:color w:val="000000"/>
          <w:sz w:val="20"/>
        </w:rPr>
        <w:t>”</w:t>
      </w:r>
      <w:r>
        <w:rPr>
          <w:rFonts w:ascii="Times New Roman" w:hAnsi="Times New Roman"/>
          <w:color w:val="000000"/>
          <w:sz w:val="24"/>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If a Retention Bonus Payment Event occurs in connection with a Qualifying Termination as provided above, the Retention Bonus shall be paid on the date the first severance payment is made. If a Retention Bonus Payment Event occurs in connection with a Change in Control as provided above, the Retention Bonus will be paid in the first regular payroll beginning 60 days (or such shorter period as may be directed by the Company) after the closing of the Change in Control transaction, provided, however, that if such 60 day period would end in a calendar year subsequent to the year in which the closing of the Change in Control transaction occurred, the Retention Bonus will not be paid before the first payroll of the subsequent calendar year.</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In all cases, the Executive must continue to comply with the ECAA and any similar agreement with the Company or its affiliates in order to be eligible to continue receiving the Severance Benefits or Change in Control Severance Benefits, as applicable.</w:t>
      </w:r>
    </w:p>
    <w:p>
      <w:pPr>
        <w:pStyle w:val="TextBody"/>
        <w:bidi w:val="0"/>
        <w:spacing w:before="77" w:after="283"/>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bookmarkStart w:id="32" w:name="x__additional_terms____in_signing_this_a"/>
      <w:bookmarkEnd w:id="32"/>
      <w:r>
        <w:rPr>
          <w:rFonts w:ascii="Times New Roman" w:hAnsi="Times New Roman"/>
          <w:b/>
          <w:color w:val="000000"/>
          <w:sz w:val="24"/>
        </w:rPr>
        <w:t xml:space="preserve">Additional Terms. </w:t>
      </w:r>
      <w:r>
        <w:rPr>
          <w:rFonts w:ascii="Times New Roman" w:hAnsi="Times New Roman"/>
          <w:color w:val="000000"/>
          <w:sz w:val="24"/>
        </w:rPr>
        <w:t xml:space="preserve">In signing this Amendment, each Party agrees that it is not relying on relying on any representation, communication, promise, policy or practice of the other Party with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11" w:after="283"/>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respect to the Amendment that is not expressly contained herein. The Executive agrees that the consideration for which Executive is eligible under this Amendment is sufficient consideration, independent of Executive’s employment, for Executive’s restrictive covenant obligations to the Company.</w:t>
      </w:r>
    </w:p>
    <w:p>
      <w:pPr>
        <w:pStyle w:val="TextBody"/>
        <w:bidi w:val="0"/>
        <w:spacing w:before="224" w:after="283"/>
        <w:jc w:val="both"/>
        <w:rPr>
          <w:rFonts w:ascii="Times New Roman" w:hAnsi="Times New Roman"/>
          <w:b/>
          <w:color w:val="000000"/>
          <w:sz w:val="24"/>
        </w:rPr>
      </w:pPr>
      <w:r>
        <w:rPr>
          <w:rFonts w:ascii="Times New Roman" w:hAnsi="Times New Roman"/>
          <w:b/>
          <w:color w:val="000000"/>
          <w:sz w:val="24"/>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24" w:after="283"/>
        <w:jc w:val="both"/>
        <w:rPr/>
      </w:pPr>
      <w:bookmarkStart w:id="33" w:name="x__references_to_the_agreement___all_ref"/>
      <w:bookmarkEnd w:id="33"/>
      <w:r>
        <w:rPr>
          <w:rFonts w:ascii="Times New Roman" w:hAnsi="Times New Roman"/>
          <w:b/>
          <w:color w:val="000000"/>
          <w:sz w:val="24"/>
        </w:rPr>
        <w:t xml:space="preserve">References to the Agreement. </w:t>
      </w:r>
      <w:r>
        <w:rPr>
          <w:rFonts w:ascii="Times New Roman" w:hAnsi="Times New Roman"/>
          <w:color w:val="000000"/>
          <w:sz w:val="24"/>
        </w:rPr>
        <w:t>All references to the Agreement in the Agreement or in this Amendment will mean the Agreement as amended by this Amendment.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24" w:after="283"/>
        <w:jc w:val="left"/>
        <w:rPr>
          <w:rFonts w:ascii="Times New Roman" w:hAnsi="Times New Roman"/>
          <w:color w:val="000000"/>
          <w:sz w:val="24"/>
        </w:rPr>
      </w:pPr>
      <w:r>
        <w:rPr>
          <w:rFonts w:ascii="Times New Roman" w:hAnsi="Times New Roman"/>
          <w:color w:val="000000"/>
          <w:sz w:val="24"/>
        </w:rPr>
        <w:t>IN WITNESS WHEREOF, the Parties hereto have executed this Agreement as of the day and year set forth above.</w:t>
      </w:r>
    </w:p>
    <w:p>
      <w:pPr>
        <w:pStyle w:val="TextBody"/>
        <w:bidi w:val="0"/>
        <w:spacing w:before="237"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FULCRUM THERAPEUTICS, INC.</w:t>
      </w:r>
    </w:p>
    <w:p>
      <w:pPr>
        <w:pStyle w:val="TextBody"/>
        <w:bidi w:val="0"/>
        <w:jc w:val="left"/>
        <w:rPr/>
      </w:pPr>
      <w:r>
        <w:rPr/>
        <w:t> </w:t>
      </w:r>
    </w:p>
    <w:p>
      <w:pPr>
        <w:pStyle w:val="TextBody"/>
        <w:bidi w:val="0"/>
        <w:spacing w:before="123" w:after="283"/>
        <w:jc w:val="left"/>
        <w:rPr/>
      </w:pPr>
      <w:r>
        <w:rPr/>
        <w:t> </w:t>
      </w:r>
    </w:p>
    <w:tbl>
      <w:tblPr>
        <w:tblW w:w="5567" w:type="dxa"/>
        <w:jc w:val="left"/>
        <w:tblInd w:w="0" w:type="dxa"/>
        <w:tblLayout w:type="fixed"/>
        <w:tblCellMar>
          <w:top w:w="28" w:type="dxa"/>
          <w:left w:w="28" w:type="dxa"/>
          <w:bottom w:w="28" w:type="dxa"/>
          <w:right w:w="28" w:type="dxa"/>
        </w:tblCellMar>
      </w:tblPr>
      <w:tblGrid>
        <w:gridCol w:w="751"/>
        <w:gridCol w:w="4816"/>
      </w:tblGrid>
      <w:tr>
        <w:trPr/>
        <w:tc>
          <w:tcPr>
            <w:tcW w:w="751" w:type="dxa"/>
            <w:tcBorders/>
            <w:vAlign w:val="center"/>
          </w:tcPr>
          <w:p>
            <w:pPr>
              <w:pStyle w:val="TableContents"/>
              <w:bidi w:val="0"/>
              <w:spacing w:before="0" w:after="283"/>
              <w:jc w:val="left"/>
              <w:rPr>
                <w:sz w:val="4"/>
                <w:szCs w:val="4"/>
              </w:rPr>
            </w:pPr>
            <w:r>
              <w:rPr>
                <w:sz w:val="4"/>
                <w:szCs w:val="4"/>
              </w:rPr>
            </w:r>
          </w:p>
        </w:tc>
        <w:tc>
          <w:tcPr>
            <w:tcW w:w="4816"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48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Curtis Oltmans</w:t>
            </w:r>
          </w:p>
        </w:tc>
      </w:tr>
      <w:tr>
        <w:trPr/>
        <w:tc>
          <w:tcPr>
            <w:tcW w:w="7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48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Curtis Oltmans</w:t>
            </w:r>
          </w:p>
        </w:tc>
      </w:tr>
      <w:tr>
        <w:trPr/>
        <w:tc>
          <w:tcPr>
            <w:tcW w:w="7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481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Legal Officer and Head of External Affairs</w:t>
            </w:r>
          </w:p>
        </w:tc>
      </w:tr>
    </w:tbl>
    <w:p>
      <w:pPr>
        <w:pStyle w:val="TextBody"/>
        <w:bidi w:val="0"/>
        <w:spacing w:before="80" w:after="283"/>
        <w:jc w:val="left"/>
        <w:rPr/>
      </w:pPr>
      <w:r>
        <w:rPr/>
        <w:t> </w:t>
      </w:r>
    </w:p>
    <w:p>
      <w:pPr>
        <w:pStyle w:val="TextBody"/>
        <w:bidi w:val="0"/>
        <w:spacing w:before="80" w:after="283"/>
        <w:jc w:val="left"/>
        <w:rPr/>
      </w:pPr>
      <w:r>
        <w:rPr/>
        <w:t> </w:t>
      </w:r>
    </w:p>
    <w:p>
      <w:pPr>
        <w:pStyle w:val="TextBody"/>
        <w:bidi w:val="0"/>
        <w:spacing w:before="80" w:after="283"/>
        <w:jc w:val="left"/>
        <w:rPr>
          <w:rFonts w:ascii="Times New Roman" w:hAnsi="Times New Roman"/>
          <w:color w:val="000000"/>
          <w:sz w:val="24"/>
        </w:rPr>
      </w:pPr>
      <w:r>
        <w:rPr>
          <w:rFonts w:ascii="Times New Roman" w:hAnsi="Times New Roman"/>
          <w:color w:val="000000"/>
          <w:sz w:val="24"/>
        </w:rPr>
        <w:t>EXECUTIVE:</w:t>
      </w:r>
    </w:p>
    <w:p>
      <w:pPr>
        <w:pStyle w:val="TextBody"/>
        <w:bidi w:val="0"/>
        <w:jc w:val="left"/>
        <w:rPr/>
      </w:pPr>
      <w:r>
        <w:rPr/>
        <w:t> </w:t>
      </w:r>
    </w:p>
    <w:tbl>
      <w:tblPr>
        <w:tblW w:w="2327" w:type="dxa"/>
        <w:jc w:val="left"/>
        <w:tblInd w:w="0" w:type="dxa"/>
        <w:tblLayout w:type="fixed"/>
        <w:tblCellMar>
          <w:top w:w="28" w:type="dxa"/>
          <w:left w:w="28" w:type="dxa"/>
          <w:bottom w:w="28" w:type="dxa"/>
          <w:right w:w="28" w:type="dxa"/>
        </w:tblCellMar>
      </w:tblPr>
      <w:tblGrid>
        <w:gridCol w:w="751"/>
        <w:gridCol w:w="1576"/>
      </w:tblGrid>
      <w:tr>
        <w:trPr/>
        <w:tc>
          <w:tcPr>
            <w:tcW w:w="751"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57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Alan Musso</w:t>
            </w:r>
          </w:p>
        </w:tc>
      </w:tr>
      <w:tr>
        <w:trPr/>
        <w:tc>
          <w:tcPr>
            <w:tcW w:w="7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57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Alan Musso</w:t>
            </w:r>
          </w:p>
        </w:tc>
      </w:tr>
    </w:tbl>
    <w:p>
      <w:pPr>
        <w:pStyle w:val="TextBody"/>
        <w:bidi w:val="0"/>
        <w:jc w:val="left"/>
        <w:rPr/>
      </w:pPr>
      <w:r>
        <w:rPr/>
        <w:t> </w:t>
      </w:r>
    </w:p>
    <w:p>
      <w:pPr>
        <w:pStyle w:val="TextBody"/>
        <w:bidi w:val="0"/>
        <w:jc w:val="left"/>
        <w:rPr/>
      </w:pPr>
      <w:r>
        <w:rPr/>
        <w:t> </w:t>
      </w:r>
    </w:p>
    <w:p>
      <w:pPr>
        <w:pStyle w:val="TextBody"/>
        <w:bidi w:val="0"/>
        <w:spacing w:before="11" w:after="283"/>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bookmarkStart w:id="34" w:name="fulc-ex10_4.htm"/>
      <w:bookmarkStart w:id="35" w:name="ksfulcex10_4"/>
      <w:bookmarkEnd w:id="34"/>
      <w:bookmarkEnd w:id="35"/>
      <w:r>
        <w:rPr/>
        <w:t> </w:t>
      </w:r>
      <w:r>
        <w:br w:type="page"/>
      </w:r>
    </w:p>
    <w:p>
      <w:pPr>
        <w:pStyle w:val="TextBody"/>
        <w:bidi w:val="0"/>
        <w:jc w:val="right"/>
        <w:rPr>
          <w:rFonts w:ascii="Times New Roman" w:hAnsi="Times New Roman"/>
          <w:b/>
          <w:color w:val="000000"/>
          <w:sz w:val="24"/>
        </w:rPr>
      </w:pPr>
      <w:r>
        <w:rPr>
          <w:rFonts w:ascii="Times New Roman" w:hAnsi="Times New Roman"/>
          <w:b/>
          <w:color w:val="000000"/>
          <w:sz w:val="24"/>
        </w:rPr>
        <w:t>Exhibit 10.4</w:t>
      </w:r>
    </w:p>
    <w:p>
      <w:pPr>
        <w:pStyle w:val="Heading1"/>
        <w:bidi w:val="0"/>
        <w:spacing w:before="80" w:after="283"/>
        <w:jc w:val="center"/>
        <w:rPr>
          <w:rFonts w:ascii="Times New Roman" w:hAnsi="Times New Roman"/>
          <w:color w:val="000000"/>
          <w:sz w:val="24"/>
        </w:rPr>
      </w:pPr>
      <w:r>
        <w:rPr>
          <w:rFonts w:ascii="Times New Roman" w:hAnsi="Times New Roman"/>
          <w:color w:val="000000"/>
          <w:sz w:val="24"/>
        </w:rPr>
        <w:t>AMENDMENT TO EMPLOYMENT AGREEMENT</w:t>
      </w:r>
    </w:p>
    <w:p>
      <w:pPr>
        <w:pStyle w:val="TextBody"/>
        <w:bidi w:val="0"/>
        <w:spacing w:before="276" w:after="283"/>
        <w:jc w:val="both"/>
        <w:rPr>
          <w:rFonts w:ascii="Times New Roman" w:hAnsi="Times New Roman"/>
          <w:sz w:val="20"/>
        </w:rPr>
      </w:pPr>
      <w:r>
        <w:rPr>
          <w:rFonts w:ascii="Times New Roman" w:hAnsi="Times New Roman"/>
          <w:color w:val="000000"/>
          <w:sz w:val="24"/>
        </w:rPr>
        <w:t>This is an amendment (the “</w:t>
      </w:r>
      <w:r>
        <w:rPr>
          <w:rFonts w:ascii="Times New Roman" w:hAnsi="Times New Roman"/>
          <w:color w:val="000000"/>
          <w:sz w:val="24"/>
          <w:u w:val="single"/>
        </w:rPr>
        <w:t>Amendment</w:t>
      </w:r>
      <w:r>
        <w:rPr>
          <w:rFonts w:ascii="Times New Roman" w:hAnsi="Times New Roman"/>
          <w:color w:val="000000"/>
          <w:sz w:val="20"/>
        </w:rPr>
        <w:t>”</w:t>
      </w:r>
      <w:r>
        <w:rPr>
          <w:rFonts w:ascii="Times New Roman" w:hAnsi="Times New Roman"/>
          <w:color w:val="000000"/>
          <w:sz w:val="24"/>
        </w:rPr>
        <w:t xml:space="preserve">) to the Executive Employment Agreement dated </w:t>
      </w:r>
      <w:r>
        <w:rPr>
          <w:rFonts w:ascii="Times New Roman" w:hAnsi="Times New Roman"/>
          <w:b/>
          <w:color w:val="000000"/>
          <w:sz w:val="24"/>
        </w:rPr>
        <w:t xml:space="preserve">December 22, 2025 </w:t>
      </w:r>
      <w:r>
        <w:rPr>
          <w:rFonts w:ascii="Times New Roman" w:hAnsi="Times New Roman"/>
          <w:color w:val="000000"/>
          <w:sz w:val="24"/>
        </w:rPr>
        <w:t>(the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by and between Fulcrum Therapeutics,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olor w:val="000000"/>
          <w:sz w:val="24"/>
        </w:rPr>
        <w:t xml:space="preserve">Curt Oltmans </w:t>
      </w:r>
      <w:r>
        <w:rPr>
          <w:rFonts w:ascii="Times New Roman" w:hAnsi="Times New Roman"/>
          <w:color w:val="000000"/>
          <w:sz w:val="24"/>
        </w:rPr>
        <w:t>(the “</w:t>
      </w:r>
      <w:r>
        <w:rPr>
          <w:rFonts w:ascii="Times New Roman" w:hAnsi="Times New Roman"/>
          <w:color w:val="000000"/>
          <w:sz w:val="24"/>
          <w:u w:val="single"/>
        </w:rPr>
        <w:t>Executive</w:t>
      </w:r>
      <w:r>
        <w:rPr>
          <w:rFonts w:ascii="Times New Roman" w:hAnsi="Times New Roman"/>
          <w:color w:val="000000"/>
          <w:sz w:val="20"/>
        </w:rPr>
        <w:t>”</w:t>
      </w:r>
      <w:r>
        <w:rPr>
          <w:rFonts w:ascii="Times New Roman" w:hAnsi="Times New Roman"/>
          <w:color w:val="000000"/>
          <w:sz w:val="24"/>
        </w:rPr>
        <w:t>) (the Company and the Executive each a “</w:t>
      </w:r>
      <w:r>
        <w:rPr>
          <w:rFonts w:ascii="Times New Roman" w:hAnsi="Times New Roman"/>
          <w:color w:val="000000"/>
          <w:sz w:val="24"/>
          <w:u w:val="single"/>
        </w:rPr>
        <w:t>Party</w:t>
      </w:r>
      <w:r>
        <w:rPr>
          <w:rFonts w:ascii="Times New Roman" w:hAnsi="Times New Roman"/>
          <w:color w:val="000000"/>
          <w:sz w:val="20"/>
        </w:rPr>
        <w:t xml:space="preserve">” </w:t>
      </w:r>
      <w:r>
        <w:rPr>
          <w:rFonts w:ascii="Times New Roman" w:hAnsi="Times New Roman"/>
          <w:color w:val="000000"/>
          <w:sz w:val="24"/>
        </w:rPr>
        <w:t>and together the “</w:t>
      </w:r>
      <w:r>
        <w:rPr>
          <w:rFonts w:ascii="Times New Roman" w:hAnsi="Times New Roman"/>
          <w:color w:val="000000"/>
          <w:sz w:val="24"/>
          <w:u w:val="single"/>
        </w:rPr>
        <w:t>Parties</w:t>
      </w:r>
      <w:r>
        <w:rPr>
          <w:rFonts w:ascii="Times New Roman" w:hAnsi="Times New Roman"/>
          <w:color w:val="000000"/>
          <w:sz w:val="20"/>
        </w:rPr>
        <w:t>”</w:t>
      </w:r>
      <w:r>
        <w:rPr>
          <w:rFonts w:ascii="Times New Roman" w:hAnsi="Times New Roman"/>
          <w:color w:val="000000"/>
          <w:sz w:val="24"/>
        </w:rPr>
        <w:t>). This Amendment shall be effective on June 5, 2026 (the “</w:t>
      </w:r>
      <w:r>
        <w:rPr>
          <w:rFonts w:ascii="Times New Roman" w:hAnsi="Times New Roman"/>
          <w:color w:val="000000"/>
          <w:sz w:val="24"/>
          <w:u w:val="single"/>
        </w:rPr>
        <w:t>Amendment</w:t>
      </w:r>
      <w:r>
        <w:rPr>
          <w:rFonts w:ascii="Times New Roman" w:hAnsi="Times New Roman"/>
          <w:color w:val="000000"/>
          <w:sz w:val="20"/>
        </w:rPr>
        <w:t xml:space="preserve"> </w:t>
      </w:r>
      <w:r>
        <w:rPr>
          <w:rFonts w:ascii="Times New Roman" w:hAnsi="Times New Roman"/>
          <w:color w:val="000000"/>
          <w:sz w:val="24"/>
          <w:u w:val="single"/>
        </w:rPr>
        <w:t>Effective Date</w:t>
      </w:r>
      <w:r>
        <w:rPr>
          <w:rFonts w:ascii="Times New Roman" w:hAnsi="Times New Roman"/>
          <w:color w:val="000000"/>
          <w:sz w:val="24"/>
        </w:rPr>
        <w:t>.”)</w:t>
      </w:r>
    </w:p>
    <w:p>
      <w:pPr>
        <w:pStyle w:val="TextBody"/>
        <w:bidi w:val="0"/>
        <w:spacing w:before="238" w:after="283"/>
        <w:jc w:val="both"/>
        <w:rPr>
          <w:rFonts w:ascii="Times New Roman" w:hAnsi="Times New Roman"/>
          <w:color w:val="000000"/>
          <w:sz w:val="24"/>
        </w:rPr>
      </w:pPr>
      <w:r>
        <w:rPr>
          <w:rFonts w:ascii="Times New Roman" w:hAnsi="Times New Roman"/>
          <w:color w:val="000000"/>
          <w:sz w:val="24"/>
        </w:rPr>
        <w:t>This Amendment supersedes any prior or contemporaneous agreement, communication or representation with, from or of the Company with respect to the terms described in this Amendment. Otherwise, with respect to all other terms, the Agreement remains in full force and effect. Capitalized but undefined terms in this Amendment are defined in the Agreement.</w:t>
      </w:r>
    </w:p>
    <w:p>
      <w:pPr>
        <w:pStyle w:val="TextBody"/>
        <w:bidi w:val="0"/>
        <w:spacing w:before="234" w:after="283"/>
        <w:jc w:val="left"/>
        <w:rPr>
          <w:rFonts w:ascii="Times New Roman" w:hAnsi="Times New Roman"/>
          <w:color w:val="000000"/>
          <w:sz w:val="24"/>
        </w:rPr>
      </w:pPr>
      <w:r>
        <w:rPr>
          <w:rFonts w:ascii="Times New Roman" w:hAnsi="Times New Roman"/>
          <w:color w:val="000000"/>
          <w:sz w:val="24"/>
        </w:rPr>
        <w:t>Executive’s Agreement is hereby amended as follows:</w:t>
      </w:r>
    </w:p>
    <w:p>
      <w:pPr>
        <w:pStyle w:val="TextBody"/>
        <w:bidi w:val="0"/>
        <w:spacing w:before="243" w:after="283"/>
        <w:jc w:val="left"/>
        <w:rPr>
          <w:rFonts w:ascii="Times New Roman" w:hAnsi="Times New Roman"/>
          <w:b/>
          <w:color w:val="000000"/>
          <w:sz w:val="24"/>
        </w:rPr>
      </w:pPr>
      <w:r>
        <w:rPr>
          <w:rFonts w:ascii="Times New Roman" w:hAnsi="Times New Roman"/>
          <w:b/>
          <w:color w:val="000000"/>
          <w:sz w:val="24"/>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3" w:after="283"/>
        <w:jc w:val="left"/>
        <w:rPr>
          <w:rFonts w:ascii="Times New Roman" w:hAnsi="Times New Roman"/>
          <w:color w:val="000000"/>
          <w:sz w:val="24"/>
        </w:rPr>
      </w:pPr>
      <w:r>
        <w:rPr>
          <w:rFonts w:ascii="Times New Roman" w:hAnsi="Times New Roman"/>
          <w:color w:val="000000"/>
          <w:sz w:val="24"/>
        </w:rPr>
        <w:t>A new Section 4(h) is hereby added to the Agreement, containing the following text: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3" w:after="283"/>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Retention Bonus</w:t>
      </w:r>
      <w:r>
        <w:rPr>
          <w:rFonts w:ascii="Times New Roman" w:hAnsi="Times New Roman"/>
          <w:color w:val="000000"/>
          <w:sz w:val="24"/>
        </w:rPr>
        <w:t>. If the Executive remains employed until the closing of a Change in Control following the Amendment Effective Date, or if the Executive experiences a Qualifying Termination and complies with Section 7(d) and the Agreement’s other terms applicable to severance benefits, (in either case a “Retention Bonus Payment Event”), the Company shall pay the Executive a “</w:t>
      </w:r>
      <w:r>
        <w:rPr>
          <w:rFonts w:ascii="Times New Roman" w:hAnsi="Times New Roman"/>
          <w:color w:val="000000"/>
          <w:sz w:val="24"/>
          <w:u w:val="single"/>
        </w:rPr>
        <w:t>Retention Bonus</w:t>
      </w:r>
      <w:r>
        <w:rPr>
          <w:rFonts w:ascii="Times New Roman" w:hAnsi="Times New Roman"/>
          <w:color w:val="000000"/>
          <w:sz w:val="20"/>
        </w:rPr>
        <w:t>”</w:t>
      </w:r>
      <w:r>
        <w:rPr>
          <w:rFonts w:ascii="Times New Roman" w:hAnsi="Times New Roman"/>
          <w:color w:val="000000"/>
          <w:sz w:val="24"/>
        </w:rPr>
        <w:t>, within the timeframes described below, equal to 1.0x (one times) the Executive’s Target Bonus in addition to any other compensation or benefits to which Executive is entitled under the Agreement.</w:t>
      </w:r>
    </w:p>
    <w:p>
      <w:pPr>
        <w:pStyle w:val="TextBody"/>
        <w:bidi w:val="0"/>
        <w:spacing w:before="5"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24"/>
        </w:rPr>
      </w:pPr>
      <w:bookmarkStart w:id="36" w:name="x__section_7_c__of_the_agreement_is_here"/>
      <w:bookmarkEnd w:id="36"/>
      <w:r>
        <w:rPr>
          <w:rFonts w:ascii="Times New Roman" w:hAnsi="Times New Roman"/>
          <w:color w:val="000000"/>
          <w:sz w:val="24"/>
        </w:rPr>
        <w:t>Section 7(c) of the Agreement is hereby renumbered as Section 7(c)(i).</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9" w:after="283"/>
        <w:jc w:val="left"/>
        <w:rPr>
          <w:rFonts w:ascii="Times New Roman" w:hAnsi="Times New Roman"/>
          <w:b/>
          <w:color w:val="000000"/>
          <w:sz w:val="24"/>
        </w:rPr>
      </w:pPr>
      <w:r>
        <w:rPr>
          <w:rFonts w:ascii="Times New Roman" w:hAnsi="Times New Roman"/>
          <w:b/>
          <w:color w:val="000000"/>
          <w:sz w:val="24"/>
        </w:rPr>
        <w:t>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9" w:after="283"/>
        <w:jc w:val="left"/>
        <w:rPr/>
      </w:pPr>
      <w:bookmarkStart w:id="37" w:name="x__section_7_c__ii__is_hereby_added_to_t"/>
      <w:bookmarkEnd w:id="37"/>
      <w:r>
        <w:rPr>
          <w:rFonts w:ascii="Times New Roman" w:hAnsi="Times New Roman"/>
          <w:color w:val="000000"/>
          <w:sz w:val="24"/>
        </w:rPr>
        <w:t xml:space="preserve">Section 7(c)(ii) is hereby added to the Agreement, containing the following text: ((c)(ii) </w:t>
      </w:r>
      <w:r>
        <w:rPr>
          <w:rFonts w:ascii="Times New Roman" w:hAnsi="Times New Roman"/>
          <w:color w:val="000000"/>
          <w:sz w:val="24"/>
          <w:u w:val="single"/>
        </w:rPr>
        <w:t>Qualifying Termination Within Six Months Prior to a Change in Control</w:t>
      </w:r>
      <w:r>
        <w:rPr>
          <w:rFonts w:ascii="Times New Roman" w:hAnsi="Times New Roman"/>
          <w:color w:val="000000"/>
          <w:sz w:val="24"/>
        </w:rPr>
        <w:t>. If a</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 w:after="283"/>
        <w:jc w:val="left"/>
        <w:rPr>
          <w:rFonts w:ascii="Times New Roman" w:hAnsi="Times New Roman"/>
          <w:color w:val="000000"/>
          <w:sz w:val="24"/>
        </w:rPr>
      </w:pPr>
      <w:r>
        <w:rPr>
          <w:rFonts w:ascii="Times New Roman" w:hAnsi="Times New Roman"/>
          <w:color w:val="000000"/>
          <w:sz w:val="24"/>
        </w:rPr>
        <w:t>Qualifying Termination occurs within six (6) months immediately prior to a Change in Control, subject to Section 7(d) (except as modified herein), Section 8, and the other applicable terms of the Agreement (including as to payment timing and frequency), the Executive shall become entitled to the Change in Control Severance Benefits as described in Section 7(c)(i) as of, and subject in all respects to, the closing of such Change in Control transaction; provided that any Severance Benefits already provided to the Executive shall be credited against, and shall reduce, any Change in Control Severance Benefits then due to the Executive. For the avoidance of any doubt, the target bonus found in the Change in Control Severance Benefits shall be viewed as a separate benefit and not reduced, in the event that a Retention Bonus was paid.</w:t>
      </w:r>
    </w:p>
    <w:p>
      <w:pPr>
        <w:pStyle w:val="TextBody"/>
        <w:bidi w:val="0"/>
        <w:spacing w:before="1"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left"/>
        <w:rPr>
          <w:rFonts w:ascii="Times New Roman" w:hAnsi="Times New Roman"/>
          <w:color w:val="000000"/>
          <w:sz w:val="24"/>
        </w:rPr>
      </w:pPr>
      <w:bookmarkStart w:id="38" w:name="x__section_7_d__is_hereby_deleted_and_is"/>
      <w:bookmarkEnd w:id="38"/>
      <w:r>
        <w:rPr>
          <w:rFonts w:ascii="Times New Roman" w:hAnsi="Times New Roman"/>
          <w:color w:val="000000"/>
          <w:sz w:val="24"/>
        </w:rPr>
        <w:t>Section 7(d) is hereby deleted and is replaced with the following Section 7, which is hereby added to the Agreement, containing the following text: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35" w:after="283"/>
        <w:jc w:val="both"/>
        <w:rPr>
          <w:rFonts w:ascii="Times New Roman" w:hAnsi="Times New Roman"/>
          <w:sz w:val="20"/>
        </w:rPr>
      </w:pPr>
      <w:r>
        <w:rPr>
          <w:rFonts w:ascii="Times New Roman" w:hAnsi="Times New Roman"/>
          <w:color w:val="000000"/>
          <w:sz w:val="24"/>
        </w:rPr>
        <w:t xml:space="preserve">(d) </w:t>
      </w:r>
      <w:r>
        <w:rPr>
          <w:rFonts w:ascii="Times New Roman" w:hAnsi="Times New Roman"/>
          <w:i/>
          <w:color w:val="000000"/>
          <w:sz w:val="24"/>
        </w:rPr>
        <w:t>Release and Payment Dates</w:t>
      </w:r>
      <w:r>
        <w:rPr>
          <w:rFonts w:ascii="Times New Roman" w:hAnsi="Times New Roman"/>
          <w:color w:val="000000"/>
          <w:sz w:val="24"/>
        </w:rPr>
        <w:t>. As a condition of the Executive’s receipt of the Severance Benefits, the Change in Control Severance Benefits and the Retention Bonus, as applicable, the Executive must execute and deliver to the Company a release of claims agreement in a form to be provided by the Company (other than a standard release of employment-related claims and a</w:t>
      </w:r>
    </w:p>
    <w:p>
      <w:pPr>
        <w:pStyle w:val="TextBody"/>
        <w:bidi w:val="0"/>
        <w:spacing w:before="80" w:after="283"/>
        <w:jc w:val="both"/>
        <w:rPr>
          <w:rFonts w:ascii="Times New Roman" w:hAnsi="Times New Roman"/>
          <w:sz w:val="20"/>
        </w:rPr>
      </w:pPr>
      <w:r>
        <w:rPr>
          <w:rFonts w:ascii="Times New Roman" w:hAnsi="Times New Roman"/>
          <w:color w:val="000000"/>
          <w:sz w:val="24"/>
        </w:rPr>
        <w:t>mutual nondisparagement provision, such form will not include any new obligations or restrictive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rFonts w:ascii="Times New Roman" w:hAnsi="Times New Roman"/>
          <w:sz w:val="20"/>
        </w:rPr>
      </w:pPr>
      <w:r>
        <w:rPr>
          <w:rFonts w:ascii="Times New Roman" w:hAnsi="Times New Roman"/>
          <w:color w:val="000000"/>
          <w:sz w:val="24"/>
        </w:rPr>
        <w:t>covenants imposed on Executive beyond those to which the Executive is otherwise subject as of the Termination Date or the date the Retention Bonus becomes payable under this Agreement or other agreements executed by Executive and the Company) (in the case of a Qualifying Termination, such release agreement is referred to herein as the “</w:t>
      </w:r>
      <w:r>
        <w:rPr>
          <w:rFonts w:ascii="Times New Roman" w:hAnsi="Times New Roman"/>
          <w:color w:val="000000"/>
          <w:sz w:val="24"/>
          <w:u w:val="single"/>
        </w:rPr>
        <w:t>Severance Agreement;</w:t>
      </w:r>
      <w:r>
        <w:rPr>
          <w:rFonts w:ascii="Times New Roman" w:hAnsi="Times New Roman"/>
          <w:color w:val="000000"/>
          <w:sz w:val="20"/>
        </w:rPr>
        <w:t xml:space="preserve">” </w:t>
      </w:r>
      <w:r>
        <w:rPr>
          <w:rFonts w:ascii="Times New Roman" w:hAnsi="Times New Roman"/>
          <w:color w:val="000000"/>
          <w:sz w:val="24"/>
        </w:rPr>
        <w:t>in the case of the Retention Bonus, such release agreement is referred to herein as the “</w:t>
      </w:r>
      <w:r>
        <w:rPr>
          <w:rFonts w:ascii="Times New Roman" w:hAnsi="Times New Roman"/>
          <w:color w:val="000000"/>
          <w:sz w:val="24"/>
          <w:u w:val="single"/>
        </w:rPr>
        <w:t>Release</w:t>
      </w:r>
      <w:r>
        <w:rPr>
          <w:rFonts w:ascii="Times New Roman" w:hAnsi="Times New Roman"/>
          <w:color w:val="000000"/>
          <w:sz w:val="20"/>
        </w:rPr>
        <w:t xml:space="preserv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 Such Severance Agreement or Release Agreement, as applicable, must become irrevocable within 60 days (or such shorter period as may be directed by the Company) following: (i) the Executive’s Termination Date in the case of Severance Benefits or Change in Control Severance Benefits under Section (c)(i) or, (ii) in the case of Change in Control Severance Benefits under Section (c)(ii) and any applicable Retention Bonus, the closing of the Change in Control Transaction.</w:t>
      </w:r>
    </w:p>
    <w:p>
      <w:pPr>
        <w:pStyle w:val="TextBody"/>
        <w:bidi w:val="0"/>
        <w:spacing w:before="241" w:after="283"/>
        <w:jc w:val="both"/>
        <w:rPr>
          <w:rFonts w:ascii="Times New Roman" w:hAnsi="Times New Roman"/>
          <w:sz w:val="20"/>
        </w:rPr>
      </w:pPr>
      <w:r>
        <w:rPr>
          <w:rFonts w:ascii="Times New Roman" w:hAnsi="Times New Roman"/>
          <w:color w:val="000000"/>
          <w:sz w:val="24"/>
        </w:rPr>
        <w:t>The Severance Benefits or the Change in Control Severance Benefits under Section (c)(i) (other than any COBRA subsidy), as applicable, will be paid or commence to be paid in the first regular payroll beginning after the Severance Agreement becomes effective and irrevocable, provided that if the foregoing 60 day period (or such shorter period as may be directed by the Company) would end in a calendar year subsequent to the year in which the Executive’s employment ends, the Severance Benefits or Change in Control Severance Benefits (other than any COBRA subsidy), as applicable, will not be paid or begin to be paid before the first payroll of the subsequent calendar year (the date the Severance Benefits or Change in Control Severance Benefits under Section (c)(i), as applicable, commence pursuant to this sentence, the “</w:t>
      </w:r>
      <w:r>
        <w:rPr>
          <w:rFonts w:ascii="Times New Roman" w:hAnsi="Times New Roman"/>
          <w:color w:val="000000"/>
          <w:sz w:val="24"/>
          <w:u w:val="single"/>
        </w:rPr>
        <w:t>Payment</w:t>
      </w:r>
      <w:r>
        <w:rPr>
          <w:rFonts w:ascii="Times New Roman" w:hAnsi="Times New Roman"/>
          <w:color w:val="000000"/>
          <w:sz w:val="20"/>
        </w:rPr>
        <w:t xml:space="preserve"> </w:t>
      </w:r>
      <w:r>
        <w:rPr>
          <w:rFonts w:ascii="Times New Roman" w:hAnsi="Times New Roman"/>
          <w:color w:val="000000"/>
          <w:sz w:val="24"/>
          <w:u w:val="single"/>
        </w:rPr>
        <w:t>Date</w:t>
      </w:r>
      <w:r>
        <w:rPr>
          <w:rFonts w:ascii="Times New Roman" w:hAnsi="Times New Roman"/>
          <w:color w:val="000000"/>
          <w:sz w:val="20"/>
        </w:rPr>
        <w:t>”</w:t>
      </w:r>
      <w:r>
        <w:rPr>
          <w:rFonts w:ascii="Times New Roman" w:hAnsi="Times New Roman"/>
          <w:color w:val="000000"/>
          <w:sz w:val="24"/>
        </w:rPr>
        <w:t>).</w:t>
      </w:r>
    </w:p>
    <w:p>
      <w:pPr>
        <w:pStyle w:val="TextBody"/>
        <w:bidi w:val="0"/>
        <w:spacing w:before="241" w:after="283"/>
        <w:jc w:val="both"/>
        <w:rPr>
          <w:rFonts w:ascii="Times New Roman" w:hAnsi="Times New Roman"/>
          <w:sz w:val="20"/>
        </w:rPr>
      </w:pPr>
      <w:r>
        <w:rPr>
          <w:rFonts w:ascii="Times New Roman" w:hAnsi="Times New Roman"/>
          <w:color w:val="000000"/>
          <w:sz w:val="24"/>
        </w:rPr>
        <w:t>The Change in Control Severance Benefits under Section (c)(ii) (other than any COBRA subsidy), as applicable, will be paid or commence to be paid in the first regular payroll beginning 60 days (or such shorter period as may be directed by the Company) after the closing of the Change in Control transaction, on the condition that the Severance Agreement becomes effective and irrevocable, provided, however, that if such 60 day period would end in a calendar year subsequent to the year in which the closing of the Change in Control transaction occurred, the Change in Control Severance Benefits under Section (c)(ii) (other than any COBRA subsidy), as applicable, will not be paid or begin to be paid before the first payroll of the subsequent calendar year (the date the Change in Control Severance Benefits under Section (c)(ii) commence pursuant to this sentence, the “</w:t>
      </w:r>
      <w:r>
        <w:rPr>
          <w:rFonts w:ascii="Times New Roman" w:hAnsi="Times New Roman"/>
          <w:color w:val="000000"/>
          <w:sz w:val="24"/>
          <w:u w:val="single"/>
        </w:rPr>
        <w:t>Look-Back Payment Date</w:t>
      </w:r>
      <w:r>
        <w:rPr>
          <w:rFonts w:ascii="Times New Roman" w:hAnsi="Times New Roman"/>
          <w:color w:val="000000"/>
          <w:sz w:val="20"/>
        </w:rPr>
        <w:t>”</w:t>
      </w:r>
      <w:r>
        <w:rPr>
          <w:rFonts w:ascii="Times New Roman" w:hAnsi="Times New Roman"/>
          <w:color w:val="000000"/>
          <w:sz w:val="24"/>
        </w:rPr>
        <w:t>).</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If a Retention Bonus Payment Event occurs in connection with a Qualifying Termination as provided above, the Retention Bonus shall be paid on the date the first severance payment is made. If a Retention Bonus Payment Event occurs in connection with a Change in Control as provided above, the Retention Bonus will be paid in the first regular payroll beginning 60 days (or such shorter period as may be directed by the Company) after the closing of the Change in Control transaction, provided, however, that if such 60 day period would end in a calendar year subsequent to the year in which the closing of the Change in Control transaction occurred, the Retention Bonus will not be paid before the first payroll of the subsequent calendar year.</w:t>
      </w:r>
    </w:p>
    <w:p>
      <w:pPr>
        <w:pStyle w:val="TextBody"/>
        <w:bidi w:val="0"/>
        <w:spacing w:before="241" w:after="283"/>
        <w:jc w:val="both"/>
        <w:rPr>
          <w:rFonts w:ascii="Times New Roman" w:hAnsi="Times New Roman"/>
          <w:color w:val="000000"/>
          <w:sz w:val="24"/>
        </w:rPr>
      </w:pPr>
      <w:r>
        <w:rPr>
          <w:rFonts w:ascii="Times New Roman" w:hAnsi="Times New Roman"/>
          <w:color w:val="000000"/>
          <w:sz w:val="24"/>
        </w:rPr>
        <w:t>In all cases, the Executive must continue to comply with the ECAA and any similar agreement with the Company or its affiliates in order to be eligible to continue receiving the Severance Benefits or Change in Control Severance Benefits, as applicable.</w:t>
      </w:r>
    </w:p>
    <w:p>
      <w:pPr>
        <w:pStyle w:val="TextBody"/>
        <w:bidi w:val="0"/>
        <w:spacing w:before="77" w:after="283"/>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jc w:val="both"/>
        <w:rPr/>
      </w:pPr>
      <w:bookmarkStart w:id="39" w:name="x__additional_terms____in_signing_this_a"/>
      <w:bookmarkEnd w:id="39"/>
      <w:r>
        <w:rPr>
          <w:rFonts w:ascii="Times New Roman" w:hAnsi="Times New Roman"/>
          <w:b/>
          <w:color w:val="000000"/>
          <w:sz w:val="24"/>
        </w:rPr>
        <w:t xml:space="preserve">Additional Terms. </w:t>
      </w:r>
      <w:r>
        <w:rPr>
          <w:rFonts w:ascii="Times New Roman" w:hAnsi="Times New Roman"/>
          <w:color w:val="000000"/>
          <w:sz w:val="24"/>
        </w:rPr>
        <w:t xml:space="preserve">In signing this Amendment, each Party agrees that it is not relying on relying on any representation, communication, promise, policy or practice of the other Party with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r>
        <w:rPr/>
        <w:t> </w:t>
      </w:r>
    </w:p>
    <w:p>
      <w:pPr>
        <w:pStyle w:val="TextBody"/>
        <w:bidi w:val="0"/>
        <w:spacing w:before="11" w:after="283"/>
        <w:jc w:val="center"/>
        <w:rPr>
          <w:rFonts w:ascii="Times New Roman" w:hAnsi="Times New Roman"/>
          <w:color w:val="000000"/>
          <w:sz w:val="22"/>
        </w:rPr>
      </w:pPr>
      <w:r>
        <w:rPr>
          <w:rFonts w:ascii="Times New Roman" w:hAnsi="Times New Roman"/>
          <w:color w:val="000000"/>
          <w:sz w:val="22"/>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respect to the Amendment that is not expressly contained herein. The Executive agrees that the consideration for which Executive is eligible under this Amendment is sufficient consideration, independent of Executive’s employment, for Executive’s restrictive covenant obligations to the Company.</w:t>
      </w:r>
    </w:p>
    <w:p>
      <w:pPr>
        <w:pStyle w:val="TextBody"/>
        <w:bidi w:val="0"/>
        <w:spacing w:before="224" w:after="283"/>
        <w:jc w:val="both"/>
        <w:rPr>
          <w:rFonts w:ascii="Times New Roman" w:hAnsi="Times New Roman"/>
          <w:b/>
          <w:color w:val="000000"/>
          <w:sz w:val="24"/>
        </w:rPr>
      </w:pPr>
      <w:r>
        <w:rPr>
          <w:rFonts w:ascii="Times New Roman" w:hAnsi="Times New Roman"/>
          <w:b/>
          <w:color w:val="000000"/>
          <w:sz w:val="24"/>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24" w:after="283"/>
        <w:jc w:val="both"/>
        <w:rPr/>
      </w:pPr>
      <w:bookmarkStart w:id="40" w:name="x__references_to_the_agreement___all_ref"/>
      <w:bookmarkEnd w:id="40"/>
      <w:r>
        <w:rPr>
          <w:rFonts w:ascii="Times New Roman" w:hAnsi="Times New Roman"/>
          <w:b/>
          <w:color w:val="000000"/>
          <w:sz w:val="24"/>
        </w:rPr>
        <w:t xml:space="preserve">References to the Agreement. </w:t>
      </w:r>
      <w:r>
        <w:rPr>
          <w:rFonts w:ascii="Times New Roman" w:hAnsi="Times New Roman"/>
          <w:color w:val="000000"/>
          <w:sz w:val="24"/>
        </w:rPr>
        <w:t>All references to the Agreement in the Agreement or in this Amendment will mean the Agreement as amended by this Amendment.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24" w:after="283"/>
        <w:jc w:val="left"/>
        <w:rPr>
          <w:rFonts w:ascii="Times New Roman" w:hAnsi="Times New Roman"/>
          <w:color w:val="000000"/>
          <w:sz w:val="24"/>
        </w:rPr>
      </w:pPr>
      <w:r>
        <w:rPr>
          <w:rFonts w:ascii="Times New Roman" w:hAnsi="Times New Roman"/>
          <w:color w:val="000000"/>
          <w:sz w:val="24"/>
        </w:rPr>
        <w:t>IN WITNESS WHEREOF, the Parties hereto have executed this Agreement as of the day and year set forth above.</w:t>
      </w:r>
    </w:p>
    <w:p>
      <w:pPr>
        <w:pStyle w:val="TextBody"/>
        <w:bidi w:val="0"/>
        <w:spacing w:before="237"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FULCRUM THERAPEUTICS, INC.</w:t>
      </w:r>
    </w:p>
    <w:p>
      <w:pPr>
        <w:pStyle w:val="TextBody"/>
        <w:bidi w:val="0"/>
        <w:jc w:val="left"/>
        <w:rPr/>
      </w:pPr>
      <w:r>
        <w:rPr/>
        <w:t> </w:t>
      </w:r>
    </w:p>
    <w:tbl>
      <w:tblPr>
        <w:tblW w:w="4502" w:type="dxa"/>
        <w:jc w:val="left"/>
        <w:tblInd w:w="0" w:type="dxa"/>
        <w:tblLayout w:type="fixed"/>
        <w:tblCellMar>
          <w:top w:w="28" w:type="dxa"/>
          <w:left w:w="28" w:type="dxa"/>
          <w:bottom w:w="28" w:type="dxa"/>
          <w:right w:w="28" w:type="dxa"/>
        </w:tblCellMar>
      </w:tblPr>
      <w:tblGrid>
        <w:gridCol w:w="751"/>
        <w:gridCol w:w="3751"/>
      </w:tblGrid>
      <w:tr>
        <w:trPr/>
        <w:tc>
          <w:tcPr>
            <w:tcW w:w="751" w:type="dxa"/>
            <w:tcBorders/>
            <w:vAlign w:val="center"/>
          </w:tcPr>
          <w:p>
            <w:pPr>
              <w:pStyle w:val="TableContents"/>
              <w:bidi w:val="0"/>
              <w:spacing w:before="0" w:after="283"/>
              <w:jc w:val="left"/>
              <w:rPr>
                <w:sz w:val="4"/>
                <w:szCs w:val="4"/>
              </w:rPr>
            </w:pPr>
            <w:r>
              <w:rPr>
                <w:sz w:val="4"/>
                <w:szCs w:val="4"/>
              </w:rPr>
            </w:r>
          </w:p>
        </w:tc>
        <w:tc>
          <w:tcPr>
            <w:tcW w:w="3751"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375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Alex C. Sapir</w:t>
            </w:r>
          </w:p>
        </w:tc>
      </w:tr>
      <w:tr>
        <w:trPr/>
        <w:tc>
          <w:tcPr>
            <w:tcW w:w="7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37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Alex C. Sapir</w:t>
            </w:r>
          </w:p>
        </w:tc>
      </w:tr>
      <w:tr>
        <w:trPr/>
        <w:tc>
          <w:tcPr>
            <w:tcW w:w="7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Title:</w:t>
            </w:r>
          </w:p>
        </w:tc>
        <w:tc>
          <w:tcPr>
            <w:tcW w:w="37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Chief Executive Officer and President</w:t>
            </w:r>
          </w:p>
        </w:tc>
      </w:tr>
    </w:tbl>
    <w:p>
      <w:pPr>
        <w:pStyle w:val="TextBody"/>
        <w:bidi w:val="0"/>
        <w:spacing w:before="80" w:after="283"/>
        <w:jc w:val="left"/>
        <w:rPr/>
      </w:pPr>
      <w:r>
        <w:rPr/>
        <w:t> </w:t>
      </w:r>
    </w:p>
    <w:p>
      <w:pPr>
        <w:pStyle w:val="TextBody"/>
        <w:bidi w:val="0"/>
        <w:spacing w:before="80" w:after="283"/>
        <w:jc w:val="left"/>
        <w:rPr/>
      </w:pPr>
      <w:r>
        <w:rPr/>
        <w:t> </w:t>
      </w:r>
    </w:p>
    <w:p>
      <w:pPr>
        <w:pStyle w:val="TextBody"/>
        <w:bidi w:val="0"/>
        <w:spacing w:before="80" w:after="283"/>
        <w:jc w:val="left"/>
        <w:rPr>
          <w:rFonts w:ascii="Times New Roman" w:hAnsi="Times New Roman"/>
          <w:color w:val="000000"/>
          <w:sz w:val="24"/>
        </w:rPr>
      </w:pPr>
      <w:r>
        <w:rPr>
          <w:rFonts w:ascii="Times New Roman" w:hAnsi="Times New Roman"/>
          <w:color w:val="000000"/>
          <w:sz w:val="24"/>
        </w:rPr>
        <w:t>EXECUTIVE:</w:t>
      </w:r>
    </w:p>
    <w:p>
      <w:pPr>
        <w:pStyle w:val="TextBody"/>
        <w:bidi w:val="0"/>
        <w:jc w:val="left"/>
        <w:rPr/>
      </w:pPr>
      <w:r>
        <w:rPr/>
        <w:t> </w:t>
      </w:r>
    </w:p>
    <w:tbl>
      <w:tblPr>
        <w:tblW w:w="2597" w:type="dxa"/>
        <w:jc w:val="left"/>
        <w:tblInd w:w="0" w:type="dxa"/>
        <w:tblLayout w:type="fixed"/>
        <w:tblCellMar>
          <w:top w:w="28" w:type="dxa"/>
          <w:left w:w="28" w:type="dxa"/>
          <w:bottom w:w="28" w:type="dxa"/>
          <w:right w:w="28" w:type="dxa"/>
        </w:tblCellMar>
      </w:tblPr>
      <w:tblGrid>
        <w:gridCol w:w="751"/>
        <w:gridCol w:w="1846"/>
      </w:tblGrid>
      <w:tr>
        <w:trPr/>
        <w:tc>
          <w:tcPr>
            <w:tcW w:w="751"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r>
      <w:tr>
        <w:trPr/>
        <w:tc>
          <w:tcPr>
            <w:tcW w:w="7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By:</w:t>
            </w:r>
          </w:p>
        </w:tc>
        <w:tc>
          <w:tcPr>
            <w:tcW w:w="184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/s/ Curtis Oltmans</w:t>
            </w:r>
          </w:p>
        </w:tc>
      </w:tr>
      <w:tr>
        <w:trPr/>
        <w:tc>
          <w:tcPr>
            <w:tcW w:w="751"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Name:</w:t>
            </w:r>
          </w:p>
        </w:tc>
        <w:tc>
          <w:tcPr>
            <w:tcW w:w="1846" w:type="dxa"/>
            <w:tcBorders/>
            <w:tcMar>
              <w:top w:w="0" w:type="dxa"/>
              <w:left w:w="0" w:type="dxa"/>
              <w:bottom w:w="0" w:type="dxa"/>
              <w:right w:w="0" w:type="dxa"/>
            </w:tcMar>
            <w:vAlign w:val="center"/>
          </w:tcPr>
          <w:p>
            <w:pPr>
              <w:pStyle w:val="TableContents"/>
              <w:bidi w:val="0"/>
              <w:jc w:val="left"/>
              <w:rPr/>
            </w:pPr>
            <w:r>
              <w:rPr/>
              <w:t> </w:t>
            </w:r>
          </w:p>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Curtis Oltmans</w:t>
            </w:r>
          </w:p>
        </w:tc>
      </w:tr>
    </w:tbl>
    <w:p>
      <w:pPr>
        <w:pStyle w:val="TextBody"/>
        <w:bidi w:val="0"/>
        <w:jc w:val="left"/>
        <w:rPr/>
      </w:pPr>
      <w:r>
        <w:rPr/>
        <w:t> </w:t>
      </w:r>
    </w:p>
    <w:p>
      <w:pPr>
        <w:pStyle w:val="TextBody"/>
        <w:bidi w:val="0"/>
        <w:spacing w:before="80" w:after="283"/>
        <w:jc w:val="left"/>
        <w:rPr/>
      </w:pPr>
      <w:r>
        <w:rPr/>
        <w:t> </w:t>
      </w:r>
    </w:p>
    <w:p>
      <w:pPr>
        <w:pStyle w:val="TextBody"/>
        <w:bidi w:val="0"/>
        <w:jc w:val="left"/>
        <w:rPr/>
      </w:pPr>
      <w:r>
        <w:rPr/>
        <w:t> </w:t>
      </w:r>
    </w:p>
    <w:p>
      <w:pPr>
        <w:pStyle w:val="TextBody"/>
        <w:bidi w:val="0"/>
        <w:spacing w:before="11" w:after="283"/>
        <w:jc w:val="center"/>
        <w:rPr>
          <w:rFonts w:ascii="Times New Roman" w:hAnsi="Times New Roman"/>
          <w:color w:val="000000"/>
          <w:sz w:val="22"/>
        </w:rPr>
      </w:pPr>
      <w:r>
        <w:rPr>
          <w:rFonts w:ascii="Times New Roman" w:hAnsi="Times New Roman"/>
          <w:color w:val="000000"/>
          <w:sz w:val="22"/>
        </w:rPr>
        <w:t>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1" w:name="fulc-ex31_1.htm"/>
      <w:bookmarkStart w:id="42" w:name="ksfulcex31_1"/>
      <w:bookmarkEnd w:id="41"/>
      <w:bookmarkEnd w:id="42"/>
      <w:r>
        <w:rPr>
          <w:rFonts w:ascii="Times New Roman" w:hAnsi="Times New Roman"/>
          <w:b/>
          <w:color w:val="000000"/>
          <w:sz w:val="20"/>
        </w:rPr>
        <w:t>Exhibit 31.1</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 xml:space="preserve">CERTIFICATION PURSUANT TO RULES 13a-14(a) AND 15d-14(a) UNDER THE SECURITIES </w:t>
        <w:br/>
        <w:t>EXCHANGE ACT OF 1934, AS ADOPTED PURSUANT TO SECTION 302 OF THE SARBANES-</w:t>
        <w:br/>
        <w:t>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Alex C. Sapir,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Fulcrum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328" w:type="dxa"/>
        <w:jc w:val="left"/>
        <w:tblInd w:w="0" w:type="dxa"/>
        <w:tblLayout w:type="fixed"/>
        <w:tblCellMar>
          <w:top w:w="28" w:type="dxa"/>
          <w:left w:w="28" w:type="dxa"/>
          <w:bottom w:w="28" w:type="dxa"/>
          <w:right w:w="28" w:type="dxa"/>
        </w:tblCellMar>
      </w:tblPr>
      <w:tblGrid>
        <w:gridCol w:w="1711"/>
        <w:gridCol w:w="406"/>
        <w:gridCol w:w="3211"/>
      </w:tblGrid>
      <w:tr>
        <w:trPr/>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C. Sapir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C. Sapir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43" w:name="fulc-ex31_2.htm"/>
      <w:bookmarkStart w:id="44" w:name="ksfulcex31_2"/>
      <w:bookmarkEnd w:id="43"/>
      <w:bookmarkEnd w:id="44"/>
      <w:r>
        <w:rPr>
          <w:rFonts w:ascii="Times New Roman" w:hAnsi="Times New Roman"/>
          <w:b/>
          <w:color w:val="000000"/>
          <w:sz w:val="20"/>
        </w:rPr>
        <w:t>Exhibit 31.2</w:t>
      </w:r>
      <w:r>
        <w:rPr>
          <w:rFonts w:ascii="Times New Roman" w:hAnsi="Times New Roman"/>
          <w:color w:val="000000"/>
          <w:sz w:val="20"/>
        </w:rPr>
        <w:t xml:space="preserve"> </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 xml:space="preserve">CERTIFICATION PURSUANT TO RULES 13a-14(a) AND 15d-14(a) UNDER THE SECURITIES </w:t>
        <w:br/>
        <w:t>EXCHANGE ACT OF 1934, AS ADOPTED PURSUANT TO SECTION 302 OF THE SARBANES-</w:t>
        <w:br/>
        <w:t>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Alan Musso,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 I have reviewed this Quarterly Report on Form 10-Q of Fulcrum Therapeutics,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533" w:type="dxa"/>
        <w:jc w:val="left"/>
        <w:tblInd w:w="0" w:type="dxa"/>
        <w:tblLayout w:type="fixed"/>
        <w:tblCellMar>
          <w:top w:w="28" w:type="dxa"/>
          <w:left w:w="28" w:type="dxa"/>
          <w:bottom w:w="28" w:type="dxa"/>
          <w:right w:w="28" w:type="dxa"/>
        </w:tblCellMar>
      </w:tblPr>
      <w:tblGrid>
        <w:gridCol w:w="1711"/>
        <w:gridCol w:w="406"/>
        <w:gridCol w:w="2416"/>
      </w:tblGrid>
      <w:tr>
        <w:trPr/>
        <w:tc>
          <w:tcPr>
            <w:tcW w:w="17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Alan Musso</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Musso</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71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5" w:name="fulc-ex32_1.htm"/>
      <w:bookmarkStart w:id="46" w:name="ksfulcex32_1"/>
      <w:bookmarkEnd w:id="45"/>
      <w:bookmarkEnd w:id="4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Fulcrum Therapeutics, Inc. (the “Company”) for the period ended June 30, 2026, as filed with the Securities and Exchange Commission on the date hereof (the “Report”), the undersigned, Alex C. Sapir, President and Chief Executive Officer of the Company, hereby certifies, pursuant to 18 U.S.C. Section 1350, as adopted pursuant to Section 906 of the Sarbanes-Oxley Act of 2002, that to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5474" w:type="dxa"/>
        <w:jc w:val="left"/>
        <w:tblInd w:w="0" w:type="dxa"/>
        <w:tblLayout w:type="fixed"/>
        <w:tblCellMar>
          <w:top w:w="28" w:type="dxa"/>
          <w:left w:w="28" w:type="dxa"/>
          <w:bottom w:w="28" w:type="dxa"/>
          <w:right w:w="28" w:type="dxa"/>
        </w:tblCellMar>
      </w:tblPr>
      <w:tblGrid>
        <w:gridCol w:w="1711"/>
        <w:gridCol w:w="146"/>
        <w:gridCol w:w="406"/>
        <w:gridCol w:w="3211"/>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71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Alex C. Sapir</w:t>
            </w:r>
          </w:p>
        </w:tc>
      </w:tr>
      <w:tr>
        <w:trPr/>
        <w:tc>
          <w:tcPr>
            <w:tcW w:w="171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vMerge w:val="continue"/>
            <w:tcBorders/>
            <w:tcMar>
              <w:top w:w="0" w:type="dxa"/>
              <w:left w:w="0" w:type="dxa"/>
              <w:bottom w:w="0" w:type="dxa"/>
              <w:right w:w="0" w:type="dxa"/>
            </w:tcMar>
            <w:vAlign w:val="center"/>
          </w:tcPr>
          <w:p>
            <w:pPr>
              <w:pStyle w:val="Normal"/>
              <w:bidi w:val="0"/>
              <w:jc w:val="left"/>
              <w:rPr/>
            </w:pPr>
            <w:r>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Alex C. Sapir</w:t>
            </w:r>
          </w:p>
        </w:tc>
      </w:tr>
      <w:tr>
        <w:trPr/>
        <w:tc>
          <w:tcPr>
            <w:tcW w:w="171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vMerge w:val="continue"/>
            <w:tcBorders/>
            <w:tcMar>
              <w:top w:w="0" w:type="dxa"/>
              <w:left w:w="0" w:type="dxa"/>
              <w:bottom w:w="0" w:type="dxa"/>
              <w:right w:w="0" w:type="dxa"/>
            </w:tcMar>
            <w:vAlign w:val="center"/>
          </w:tcPr>
          <w:p>
            <w:pPr>
              <w:pStyle w:val="Normal"/>
              <w:bidi w:val="0"/>
              <w:jc w:val="left"/>
              <w:rPr/>
            </w:pPr>
            <w:r>
              <w:rPr/>
            </w:r>
          </w:p>
        </w:tc>
        <w:tc>
          <w:tcPr>
            <w:tcW w:w="321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President and Chief Executive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fulc-ex32_2.htm"/>
      <w:bookmarkStart w:id="48" w:name="ksfulcex32_2"/>
      <w:bookmarkEnd w:id="47"/>
      <w:bookmarkEnd w:id="48"/>
      <w:r>
        <w:rPr>
          <w:rFonts w:ascii="Times New Roman" w:hAnsi="Times New Roman"/>
          <w:b/>
          <w:color w:val="000000"/>
          <w:sz w:val="20"/>
        </w:rPr>
        <w:t>Exhibit 32.2</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on Form 10-Q of Fulcrum Therapeutics, Inc. (the “Company”) for the period ended June 30, 2026, as filed with the Securities and Exchange Commission on the date hereof (the “Report”), the undersigned, Alan Musso, Chief Financial Officer of the Company, hereby certifies, pursuant to 18 U.S.C. Section 1350, as adopted pursuant to Section 906 of the Sarbanes-Oxley Act of 2002, that to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 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 the information contained in the Report fairly presents, in all material respects, the financial condition and results of operations of the Company.</w:t>
      </w:r>
    </w:p>
    <w:p>
      <w:pPr>
        <w:pStyle w:val="TextBody"/>
        <w:bidi w:val="0"/>
        <w:jc w:val="left"/>
        <w:rPr/>
      </w:pPr>
      <w:r>
        <w:rPr/>
        <w:t> </w:t>
      </w:r>
    </w:p>
    <w:tbl>
      <w:tblPr>
        <w:tblW w:w="4679" w:type="dxa"/>
        <w:jc w:val="left"/>
        <w:tblInd w:w="0" w:type="dxa"/>
        <w:tblLayout w:type="fixed"/>
        <w:tblCellMar>
          <w:top w:w="28" w:type="dxa"/>
          <w:left w:w="28" w:type="dxa"/>
          <w:bottom w:w="28" w:type="dxa"/>
          <w:right w:w="28" w:type="dxa"/>
        </w:tblCellMar>
      </w:tblPr>
      <w:tblGrid>
        <w:gridCol w:w="1711"/>
        <w:gridCol w:w="146"/>
        <w:gridCol w:w="406"/>
        <w:gridCol w:w="2416"/>
      </w:tblGrid>
      <w:tr>
        <w:trPr/>
        <w:tc>
          <w:tcPr>
            <w:tcW w:w="17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711"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July 30,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vMerge w:val="restart"/>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Alan Musso</w:t>
            </w:r>
          </w:p>
        </w:tc>
      </w:tr>
      <w:tr>
        <w:trPr/>
        <w:tc>
          <w:tcPr>
            <w:tcW w:w="171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vMerge w:val="continue"/>
            <w:tcBorders/>
            <w:tcMar>
              <w:top w:w="0" w:type="dxa"/>
              <w:left w:w="0" w:type="dxa"/>
              <w:bottom w:w="0" w:type="dxa"/>
              <w:right w:w="0" w:type="dxa"/>
            </w:tcMar>
            <w:vAlign w:val="center"/>
          </w:tcPr>
          <w:p>
            <w:pPr>
              <w:pStyle w:val="Normal"/>
              <w:bidi w:val="0"/>
              <w:jc w:val="left"/>
              <w:rPr/>
            </w:pPr>
            <w:r>
              <w:rPr/>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Alan Musso</w:t>
            </w:r>
          </w:p>
        </w:tc>
      </w:tr>
      <w:tr>
        <w:trPr/>
        <w:tc>
          <w:tcPr>
            <w:tcW w:w="1711"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vMerge w:val="continue"/>
            <w:tcBorders/>
            <w:tcMar>
              <w:top w:w="0" w:type="dxa"/>
              <w:left w:w="0" w:type="dxa"/>
              <w:bottom w:w="0" w:type="dxa"/>
              <w:right w:w="0" w:type="dxa"/>
            </w:tcMar>
            <w:vAlign w:val="center"/>
          </w:tcPr>
          <w:p>
            <w:pPr>
              <w:pStyle w:val="Normal"/>
              <w:bidi w:val="0"/>
              <w:jc w:val="left"/>
              <w:rPr/>
            </w:pPr>
            <w:r>
              <w:rPr/>
            </w:r>
          </w:p>
        </w:tc>
        <w:tc>
          <w:tcPr>
            <w:tcW w:w="241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Chief Financial Officer</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Cambr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0001680581/000104746919004324/a2239321zex-3_1.htm" TargetMode="External"/><Relationship Id="rId3" Type="http://schemas.openxmlformats.org/officeDocument/2006/relationships/hyperlink" Target="https://www.sec.gov/Archives/edgar/data/1680581/000119312523164435/d463131dex31.htm" TargetMode="External"/><Relationship Id="rId4" Type="http://schemas.openxmlformats.org/officeDocument/2006/relationships/hyperlink" Target="https://www.sec.gov/Archives/edgar/data/0001680581/000104746919004324/a2239321zex-3_2.htm" TargetMode="External"/><Relationship Id="rId5" Type="http://schemas.openxmlformats.org/officeDocument/2006/relationships/hyperlink" Target="https://www.sec.gov/Archives/edgar/data/0001680581/000104746919004324/a2239321zex-3_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58489</Words>
  <Characters>323966</Characters>
  <CharactersWithSpaces>382978</CharactersWithSpaces>
  <Paragraphs>5675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