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1"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22860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2)*</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58" w:lineRule="exact"/>
        <w:tabs>
          <w:tab w:leader="none" w:pos="102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18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right="80" w:firstLine="656"/>
        <w:spacing w:after="0" w:line="241" w:lineRule="auto"/>
        <w:tabs>
          <w:tab w:leader="none" w:pos="796"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8"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6"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20" w:type="dxa"/>
            <w:vAlign w:val="bottom"/>
          </w:tcPr>
          <w:p>
            <w:pPr>
              <w:ind w:left="400"/>
              <w:spacing w:after="0"/>
              <w:rPr>
                <w:sz w:val="20"/>
                <w:szCs w:val="20"/>
                <w:color w:val="auto"/>
              </w:rPr>
            </w:pPr>
            <w:r>
              <w:rPr>
                <w:rFonts w:ascii="Arial" w:cs="Arial" w:eastAsia="Arial" w:hAnsi="Arial"/>
                <w:sz w:val="16"/>
                <w:szCs w:val="16"/>
                <w:color w:val="auto"/>
                <w:w w:val="94"/>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20" w:type="dxa"/>
            <w:vAlign w:val="bottom"/>
            <w:vMerge w:val="restart"/>
          </w:tcPr>
          <w:p>
            <w:pPr>
              <w:ind w:left="740"/>
              <w:spacing w:after="0"/>
              <w:rPr>
                <w:sz w:val="20"/>
                <w:szCs w:val="20"/>
                <w:color w:val="auto"/>
              </w:rPr>
            </w:pPr>
            <w:r>
              <w:rPr>
                <w:rFonts w:ascii="Arial" w:cs="Arial" w:eastAsia="Arial" w:hAnsi="Arial"/>
                <w:sz w:val="20"/>
                <w:szCs w:val="20"/>
                <w:color w:val="auto"/>
              </w:rPr>
              <w:t>RTW Investments,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3"/>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3,866,872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3,866,872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3,866,872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9.5%</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PN, IA</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5"/>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20" w:type="dxa"/>
            <w:vAlign w:val="bottom"/>
          </w:tcPr>
          <w:p>
            <w:pPr>
              <w:ind w:left="400"/>
              <w:spacing w:after="0"/>
              <w:rPr>
                <w:sz w:val="20"/>
                <w:szCs w:val="20"/>
                <w:color w:val="auto"/>
              </w:rPr>
            </w:pPr>
            <w:r>
              <w:rPr>
                <w:rFonts w:ascii="Arial" w:cs="Arial" w:eastAsia="Arial" w:hAnsi="Arial"/>
                <w:sz w:val="16"/>
                <w:szCs w:val="16"/>
                <w:color w:val="auto"/>
                <w:w w:val="94"/>
              </w:rPr>
              <w:t>NAMES OF REPORTING PERSONS</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20" w:type="dxa"/>
            <w:vAlign w:val="bottom"/>
            <w:vMerge w:val="restart"/>
          </w:tcPr>
          <w:p>
            <w:pPr>
              <w:ind w:left="740"/>
              <w:spacing w:after="0"/>
              <w:rPr>
                <w:sz w:val="20"/>
                <w:szCs w:val="20"/>
                <w:color w:val="auto"/>
              </w:rPr>
            </w:pPr>
            <w:r>
              <w:rPr>
                <w:rFonts w:ascii="Arial" w:cs="Arial" w:eastAsia="Arial" w:hAnsi="Arial"/>
                <w:sz w:val="20"/>
                <w:szCs w:val="20"/>
                <w:color w:val="auto"/>
              </w:rPr>
              <w:t>Roderick Wong</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6"/>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7"/>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3,866,872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3,866,872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3,866,872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274"/>
              <w:spacing w:after="0"/>
              <w:rPr>
                <w:sz w:val="20"/>
                <w:szCs w:val="20"/>
                <w:color w:val="auto"/>
              </w:rPr>
            </w:pPr>
            <w:r>
              <w:rPr>
                <w:rFonts w:ascii="Arial" w:cs="Arial" w:eastAsia="Arial" w:hAnsi="Arial"/>
                <w:sz w:val="20"/>
                <w:szCs w:val="20"/>
                <w:color w:val="auto"/>
              </w:rPr>
              <w:t>9.5%</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 HC</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8"/>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1(a).</w:t>
            </w:r>
          </w:p>
        </w:tc>
        <w:tc>
          <w:tcPr>
            <w:tcW w:w="9740" w:type="dxa"/>
            <w:vAlign w:val="bottom"/>
            <w:gridSpan w:val="14"/>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414"/>
        </w:trPr>
        <w:tc>
          <w:tcPr>
            <w:tcW w:w="126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Arial" w:cs="Arial" w:eastAsia="Arial" w:hAnsi="Arial"/>
                <w:sz w:val="20"/>
                <w:szCs w:val="20"/>
                <w:color w:val="auto"/>
              </w:rPr>
              <w:t>The name of the issuer is Fulcrum Therapeutics, Inc. (the "Company").</w:t>
            </w:r>
          </w:p>
        </w:tc>
      </w:tr>
      <w:tr>
        <w:trPr>
          <w:trHeight w:val="20"/>
        </w:trPr>
        <w:tc>
          <w:tcPr>
            <w:tcW w:w="12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0"/>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40" w:type="dxa"/>
            <w:vAlign w:val="bottom"/>
            <w:gridSpan w:val="14"/>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59"/>
        </w:trPr>
        <w:tc>
          <w:tcPr>
            <w:tcW w:w="126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Arial" w:cs="Arial" w:eastAsia="Arial" w:hAnsi="Arial"/>
                <w:sz w:val="20"/>
                <w:szCs w:val="20"/>
                <w:color w:val="auto"/>
                <w:w w:val="90"/>
              </w:rPr>
              <w:t>The Company's principal executive offices are located at 26 Landsdowne Street, Cambridge, Massachusetts 02139.</w:t>
            </w:r>
          </w:p>
        </w:tc>
      </w:tr>
      <w:tr>
        <w:trPr>
          <w:trHeight w:val="445"/>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2(a).</w:t>
            </w:r>
          </w:p>
        </w:tc>
        <w:tc>
          <w:tcPr>
            <w:tcW w:w="9740" w:type="dxa"/>
            <w:vAlign w:val="bottom"/>
            <w:gridSpan w:val="14"/>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w:t>
            </w:r>
          </w:p>
        </w:tc>
        <w:tc>
          <w:tcPr>
            <w:tcW w:w="8640" w:type="dxa"/>
            <w:vAlign w:val="bottom"/>
            <w:gridSpan w:val="13"/>
          </w:tcPr>
          <w:p>
            <w:pPr>
              <w:ind w:left="140"/>
              <w:spacing w:after="0"/>
              <w:rPr>
                <w:sz w:val="20"/>
                <w:szCs w:val="20"/>
                <w:color w:val="auto"/>
              </w:rPr>
            </w:pPr>
            <w:r>
              <w:rPr>
                <w:rFonts w:ascii="Arial" w:cs="Arial" w:eastAsia="Arial" w:hAnsi="Arial"/>
                <w:sz w:val="20"/>
                <w:szCs w:val="20"/>
                <w:color w:val="auto"/>
                <w:w w:val="90"/>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40" w:type="dxa"/>
            <w:vAlign w:val="bottom"/>
            <w:gridSpan w:val="13"/>
          </w:tcPr>
          <w:p>
            <w:pPr>
              <w:ind w:left="140"/>
              <w:spacing w:after="0" w:line="209" w:lineRule="exact"/>
              <w:rPr>
                <w:sz w:val="20"/>
                <w:szCs w:val="20"/>
                <w:color w:val="auto"/>
              </w:rPr>
            </w:pPr>
            <w:r>
              <w:rPr>
                <w:rFonts w:ascii="Arial" w:cs="Arial" w:eastAsia="Arial" w:hAnsi="Arial"/>
                <w:sz w:val="20"/>
                <w:szCs w:val="20"/>
                <w:color w:val="auto"/>
                <w:w w:val="92"/>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40" w:type="dxa"/>
            <w:vAlign w:val="bottom"/>
            <w:gridSpan w:val="13"/>
          </w:tcPr>
          <w:p>
            <w:pPr>
              <w:ind w:left="140"/>
              <w:spacing w:after="0"/>
              <w:rPr>
                <w:sz w:val="20"/>
                <w:szCs w:val="20"/>
                <w:color w:val="auto"/>
              </w:rPr>
            </w:pPr>
            <w:r>
              <w:rPr>
                <w:rFonts w:ascii="Arial" w:cs="Arial" w:eastAsia="Arial" w:hAnsi="Arial"/>
                <w:sz w:val="20"/>
                <w:szCs w:val="20"/>
                <w:color w:val="auto"/>
              </w:rPr>
              <w:t>by the RTW Funds; and</w:t>
            </w:r>
          </w:p>
        </w:tc>
      </w:tr>
      <w:tr>
        <w:trPr>
          <w:trHeight w:val="414"/>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(ii)</w:t>
            </w:r>
          </w:p>
        </w:tc>
        <w:tc>
          <w:tcPr>
            <w:tcW w:w="8640" w:type="dxa"/>
            <w:vAlign w:val="bottom"/>
            <w:gridSpan w:val="13"/>
          </w:tcPr>
          <w:p>
            <w:pPr>
              <w:ind w:left="140"/>
              <w:spacing w:after="0"/>
              <w:rPr>
                <w:sz w:val="20"/>
                <w:szCs w:val="20"/>
                <w:color w:val="auto"/>
              </w:rPr>
            </w:pPr>
            <w:r>
              <w:rPr>
                <w:rFonts w:ascii="Arial" w:cs="Arial" w:eastAsia="Arial" w:hAnsi="Arial"/>
                <w:sz w:val="20"/>
                <w:szCs w:val="20"/>
                <w:color w:val="auto"/>
              </w:rPr>
              <w:t>Mr. Roderick Wong ("Mr.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40" w:type="dxa"/>
            <w:vAlign w:val="bottom"/>
            <w:gridSpan w:val="13"/>
          </w:tcPr>
          <w:p>
            <w:pPr>
              <w:ind w:left="140"/>
              <w:spacing w:after="0"/>
              <w:rPr>
                <w:sz w:val="20"/>
                <w:szCs w:val="20"/>
                <w:color w:val="auto"/>
              </w:rPr>
            </w:pPr>
            <w:r>
              <w:rPr>
                <w:rFonts w:ascii="Arial" w:cs="Arial" w:eastAsia="Arial" w:hAnsi="Arial"/>
                <w:sz w:val="20"/>
                <w:szCs w:val="20"/>
                <w:color w:val="auto"/>
              </w:rPr>
              <w:t>Investments, with respect to the Shares directly held by the RTW Funds.</w:t>
            </w:r>
          </w:p>
        </w:tc>
      </w:tr>
      <w:tr>
        <w:trPr>
          <w:trHeight w:val="414"/>
        </w:trPr>
        <w:tc>
          <w:tcPr>
            <w:tcW w:w="126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Arial" w:cs="Arial" w:eastAsia="Arial" w:hAnsi="Arial"/>
                <w:sz w:val="20"/>
                <w:szCs w:val="20"/>
                <w:color w:val="auto"/>
                <w:w w:val="96"/>
              </w:rPr>
              <w:t>The filing of this statement should not be construed as an admission that any of the foregoing persons or any</w:t>
            </w:r>
          </w:p>
        </w:tc>
      </w:tr>
      <w:tr>
        <w:trPr>
          <w:trHeight w:val="250"/>
        </w:trPr>
        <w:tc>
          <w:tcPr>
            <w:tcW w:w="1260" w:type="dxa"/>
            <w:vAlign w:val="bottom"/>
          </w:tcPr>
          <w:p>
            <w:pPr>
              <w:spacing w:after="0"/>
              <w:rPr>
                <w:sz w:val="21"/>
                <w:szCs w:val="21"/>
                <w:color w:val="auto"/>
              </w:rPr>
            </w:pPr>
          </w:p>
        </w:tc>
        <w:tc>
          <w:tcPr>
            <w:tcW w:w="9740" w:type="dxa"/>
            <w:vAlign w:val="bottom"/>
            <w:gridSpan w:val="14"/>
          </w:tcPr>
          <w:p>
            <w:pPr>
              <w:ind w:left="440"/>
              <w:spacing w:after="0"/>
              <w:rPr>
                <w:sz w:val="20"/>
                <w:szCs w:val="20"/>
                <w:color w:val="auto"/>
              </w:rPr>
            </w:pPr>
            <w:r>
              <w:rPr>
                <w:rFonts w:ascii="Arial" w:cs="Arial" w:eastAsia="Arial" w:hAnsi="Arial"/>
                <w:sz w:val="20"/>
                <w:szCs w:val="20"/>
                <w:color w:val="auto"/>
                <w:w w:val="92"/>
              </w:rPr>
              <w:t>Reporting Person is, for the purposes of Section 13 of the Act, the beneficial owner of the Shares reported herein.</w:t>
            </w:r>
          </w:p>
        </w:tc>
      </w:tr>
      <w:tr>
        <w:trPr>
          <w:trHeight w:val="445"/>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2(b).</w:t>
            </w:r>
          </w:p>
        </w:tc>
        <w:tc>
          <w:tcPr>
            <w:tcW w:w="9740" w:type="dxa"/>
            <w:vAlign w:val="bottom"/>
            <w:gridSpan w:val="14"/>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92"/>
        </w:trPr>
        <w:tc>
          <w:tcPr>
            <w:tcW w:w="126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Arial" w:cs="Arial" w:eastAsia="Arial" w:hAnsi="Arial"/>
                <w:sz w:val="20"/>
                <w:szCs w:val="20"/>
                <w:color w:val="auto"/>
                <w:w w:val="89"/>
              </w:rPr>
              <w:t>The address of the business office of each of the Reporting Persons is 40 10</w:t>
            </w:r>
            <w:r>
              <w:rPr>
                <w:rFonts w:ascii="Arial" w:cs="Arial" w:eastAsia="Arial" w:hAnsi="Arial"/>
                <w:sz w:val="32"/>
                <w:szCs w:val="32"/>
                <w:color w:val="auto"/>
                <w:w w:val="89"/>
                <w:vertAlign w:val="superscript"/>
              </w:rPr>
              <w:t>th</w:t>
            </w:r>
            <w:r>
              <w:rPr>
                <w:rFonts w:ascii="Arial" w:cs="Arial" w:eastAsia="Arial" w:hAnsi="Arial"/>
                <w:sz w:val="20"/>
                <w:szCs w:val="20"/>
                <w:color w:val="auto"/>
                <w:w w:val="89"/>
              </w:rPr>
              <w:t xml:space="preserve"> Avenue, Floor 7, New York, New York</w:t>
            </w:r>
          </w:p>
        </w:tc>
      </w:tr>
      <w:tr>
        <w:trPr>
          <w:trHeight w:val="250"/>
        </w:trPr>
        <w:tc>
          <w:tcPr>
            <w:tcW w:w="1260" w:type="dxa"/>
            <w:vAlign w:val="bottom"/>
          </w:tcPr>
          <w:p>
            <w:pPr>
              <w:spacing w:after="0"/>
              <w:rPr>
                <w:sz w:val="21"/>
                <w:szCs w:val="21"/>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10014.</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59"/>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2(c).</w:t>
            </w:r>
          </w:p>
        </w:tc>
        <w:tc>
          <w:tcPr>
            <w:tcW w:w="9740" w:type="dxa"/>
            <w:vAlign w:val="bottom"/>
            <w:gridSpan w:val="14"/>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Arial" w:cs="Arial" w:eastAsia="Arial" w:hAnsi="Arial"/>
                <w:sz w:val="20"/>
                <w:szCs w:val="20"/>
                <w:color w:val="auto"/>
              </w:rPr>
              <w:t>RTW Investments is a Delaware limited partnership. Mr. Wong is a citizen of the United States.</w:t>
            </w:r>
          </w:p>
        </w:tc>
      </w:tr>
      <w:tr>
        <w:trPr>
          <w:trHeight w:val="445"/>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2(d).</w:t>
            </w:r>
          </w:p>
        </w:tc>
        <w:tc>
          <w:tcPr>
            <w:tcW w:w="9740" w:type="dxa"/>
            <w:vAlign w:val="bottom"/>
            <w:gridSpan w:val="14"/>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15"/>
        </w:trPr>
        <w:tc>
          <w:tcPr>
            <w:tcW w:w="1260" w:type="dxa"/>
            <w:vAlign w:val="bottom"/>
          </w:tcPr>
          <w:p>
            <w:pPr>
              <w:spacing w:after="0"/>
              <w:rPr>
                <w:sz w:val="24"/>
                <w:szCs w:val="24"/>
                <w:color w:val="auto"/>
              </w:rPr>
            </w:pPr>
          </w:p>
        </w:tc>
        <w:tc>
          <w:tcPr>
            <w:tcW w:w="9740" w:type="dxa"/>
            <w:vAlign w:val="bottom"/>
            <w:gridSpan w:val="14"/>
          </w:tcPr>
          <w:p>
            <w:pPr>
              <w:ind w:left="440"/>
              <w:spacing w:after="0"/>
              <w:rPr>
                <w:sz w:val="20"/>
                <w:szCs w:val="20"/>
                <w:color w:val="auto"/>
              </w:rPr>
            </w:pPr>
            <w:r>
              <w:rPr>
                <w:rFonts w:ascii="Arial" w:cs="Arial" w:eastAsia="Arial" w:hAnsi="Arial"/>
                <w:sz w:val="20"/>
                <w:szCs w:val="20"/>
                <w:color w:val="auto"/>
              </w:rPr>
              <w:t>Common Stock, par value $0.001 per share (the "Shares").</w:t>
            </w:r>
          </w:p>
        </w:tc>
      </w:tr>
      <w:tr>
        <w:trPr>
          <w:trHeight w:val="483"/>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2(e).</w:t>
            </w:r>
          </w:p>
        </w:tc>
        <w:tc>
          <w:tcPr>
            <w:tcW w:w="4360" w:type="dxa"/>
            <w:vAlign w:val="bottom"/>
            <w:gridSpan w:val="7"/>
          </w:tcPr>
          <w:p>
            <w:pPr>
              <w:ind w:left="440"/>
              <w:spacing w:after="0"/>
              <w:rPr>
                <w:sz w:val="20"/>
                <w:szCs w:val="20"/>
                <w:color w:val="auto"/>
              </w:rPr>
            </w:pPr>
            <w:r>
              <w:rPr>
                <w:rFonts w:ascii="Arial" w:cs="Arial" w:eastAsia="Arial" w:hAnsi="Arial"/>
                <w:sz w:val="20"/>
                <w:szCs w:val="20"/>
                <w:b w:val="1"/>
                <w:bCs w:val="1"/>
                <w:color w:val="auto"/>
              </w:rPr>
              <w:t>CUSIP NUMBER:</w:t>
            </w:r>
          </w:p>
        </w:tc>
        <w:tc>
          <w:tcPr>
            <w:tcW w:w="520" w:type="dxa"/>
            <w:vAlign w:val="bottom"/>
            <w:tcBorders>
              <w:top w:val="single" w:sz="8" w:color="auto"/>
            </w:tcBorders>
            <w:gridSpan w:val="2"/>
          </w:tcPr>
          <w:p>
            <w:pPr>
              <w:spacing w:after="0"/>
              <w:rPr>
                <w:sz w:val="24"/>
                <w:szCs w:val="24"/>
                <w:color w:val="auto"/>
              </w:rPr>
            </w:pPr>
          </w:p>
        </w:tc>
        <w:tc>
          <w:tcPr>
            <w:tcW w:w="4860" w:type="dxa"/>
            <w:vAlign w:val="bottom"/>
            <w:gridSpan w:val="5"/>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2760" w:type="dxa"/>
            <w:vAlign w:val="bottom"/>
            <w:gridSpan w:val="2"/>
          </w:tcPr>
          <w:p>
            <w:pPr>
              <w:ind w:left="440"/>
              <w:spacing w:after="0"/>
              <w:rPr>
                <w:sz w:val="20"/>
                <w:szCs w:val="20"/>
                <w:color w:val="auto"/>
              </w:rPr>
            </w:pPr>
            <w:r>
              <w:rPr>
                <w:rFonts w:ascii="Arial" w:cs="Arial" w:eastAsia="Arial" w:hAnsi="Arial"/>
                <w:sz w:val="20"/>
                <w:szCs w:val="20"/>
                <w:color w:val="auto"/>
              </w:rPr>
              <w:t>359616109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7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800" w:right="100" w:hanging="1687"/>
        <w:spacing w:after="0" w:line="267" w:lineRule="auto"/>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 240.13d-1(b) OR 240.13d-2(b) OR (c), CHECK WHETHER THE PERSON FILING IS A:</w:t>
      </w:r>
    </w:p>
    <w:p>
      <w:pPr>
        <w:spacing w:after="0" w:line="159" w:lineRule="exact"/>
        <w:rPr>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280" w:hanging="1241"/>
        <w:spacing w:after="0" w:line="252" w:lineRule="exact"/>
        <w:tabs>
          <w:tab w:leader="none" w:pos="2565"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spacing w:after="0" w:line="172"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Rule 13d-1(b)(1)(ii)(F);</w:t>
      </w:r>
    </w:p>
    <w:p>
      <w:pPr>
        <w:spacing w:after="0" w:line="176" w:lineRule="exact"/>
        <w:rPr>
          <w:sz w:val="20"/>
          <w:szCs w:val="20"/>
          <w:color w:val="auto"/>
        </w:rPr>
      </w:pPr>
    </w:p>
    <w:p>
      <w:pPr>
        <w:ind w:left="3040" w:right="3320" w:hanging="1241"/>
        <w:spacing w:after="0" w:line="252" w:lineRule="exact"/>
        <w:tabs>
          <w:tab w:leader="none" w:pos="2565"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spacing w:after="0" w:line="172" w:lineRule="exact"/>
        <w:rPr>
          <w:rFonts w:ascii="Arial" w:cs="Arial" w:eastAsia="Arial" w:hAnsi="Arial"/>
          <w:sz w:val="20"/>
          <w:szCs w:val="20"/>
          <w:color w:val="auto"/>
        </w:rPr>
      </w:pPr>
    </w:p>
    <w:p>
      <w:pPr>
        <w:ind w:left="2560" w:hanging="761"/>
        <w:spacing w:after="0" w:line="207" w:lineRule="exact"/>
        <w:tabs>
          <w:tab w:leader="none" w:pos="256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3040" w:right="200" w:hanging="1241"/>
        <w:spacing w:after="0" w:line="252" w:lineRule="exact"/>
        <w:tabs>
          <w:tab w:leader="none" w:pos="2565"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72"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60" w:hanging="761"/>
        <w:spacing w:after="0" w:line="230" w:lineRule="exact"/>
        <w:tabs>
          <w:tab w:leader="none" w:pos="2560" w:val="left"/>
        </w:tabs>
        <w:numPr>
          <w:ilvl w:val="0"/>
          <w:numId w:val="1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66"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 ____________________________</w:t>
      </w:r>
    </w:p>
    <w:p>
      <w:pPr>
        <w:spacing w:after="0" w:line="184"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1700" w:right="52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of the Reporting Persons and is incorporated herein by reference.</w:t>
      </w:r>
    </w:p>
    <w:p>
      <w:pPr>
        <w:spacing w:after="0" w:line="190" w:lineRule="exact"/>
        <w:rPr>
          <w:sz w:val="20"/>
          <w:szCs w:val="20"/>
          <w:color w:val="auto"/>
        </w:rPr>
      </w:pPr>
    </w:p>
    <w:p>
      <w:pPr>
        <w:jc w:val="both"/>
        <w:ind w:left="1700" w:right="360"/>
        <w:spacing w:after="0" w:line="250" w:lineRule="auto"/>
        <w:rPr>
          <w:sz w:val="20"/>
          <w:szCs w:val="20"/>
          <w:color w:val="auto"/>
        </w:rPr>
      </w:pPr>
      <w:r>
        <w:rPr>
          <w:rFonts w:ascii="Arial" w:cs="Arial" w:eastAsia="Arial" w:hAnsi="Arial"/>
          <w:sz w:val="20"/>
          <w:szCs w:val="20"/>
          <w:color w:val="auto"/>
        </w:rPr>
        <w:t>The percentages set forth herein are calculated based upon 40,548,783 Shares outstanding as of October 28, 2021 as reported in the Company's Quarterly Report on Form 10-Q for the quarterly period ended September 30, 2021, filed with the Securities and Exchange Commission on November 4, 2021.</w:t>
      </w:r>
    </w:p>
    <w:p>
      <w:pPr>
        <w:spacing w:after="0" w:line="193"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800" w:right="240"/>
        <w:spacing w:after="0" w:line="291" w:lineRule="auto"/>
        <w:rPr>
          <w:sz w:val="20"/>
          <w:szCs w:val="20"/>
          <w:color w:val="auto"/>
        </w:rPr>
      </w:pPr>
      <w:r>
        <w:rPr>
          <w:rFonts w:ascii="Arial" w:cs="Arial" w:eastAsia="Arial" w:hAnsi="Arial"/>
          <w:sz w:val="18"/>
          <w:szCs w:val="18"/>
          <w:color w:val="auto"/>
        </w:rPr>
        <w:t>See Item 2. The RTW Funds have the right to receive or the power to direct the receipt of dividends from, or the proceeds from the sale of, the Shares reported herein. RTW Master Fund Ltd., a RTW Fund, has the right to receive or the power to direct the receipt of dividends or the proceeds from the sale of more than 5% of the Shares.</w:t>
      </w:r>
    </w:p>
    <w:p>
      <w:pPr>
        <w:spacing w:after="0" w:line="159"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SECURITY BEING REPORTED ON BY THE PARENT HOLDING COMPANY.</w:t>
      </w:r>
    </w:p>
    <w:p>
      <w:pPr>
        <w:spacing w:after="0" w:line="213"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00" w:lineRule="exact"/>
        <w:rPr>
          <w:sz w:val="20"/>
          <w:szCs w:val="20"/>
          <w:color w:val="auto"/>
        </w:rPr>
      </w:pPr>
    </w:p>
    <w:p>
      <w:pPr>
        <w:spacing w:after="0" w:line="26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800" w:right="140"/>
        <w:spacing w:after="0" w:line="282"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14, 2022</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RTW INVESTMENTS, LP</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Roderick Wong</w:t>
            </w:r>
          </w:p>
        </w:tc>
      </w:tr>
      <w:tr>
        <w:trPr>
          <w:trHeight w:val="213"/>
        </w:trPr>
        <w:tc>
          <w:tcPr>
            <w:tcW w:w="68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840" w:type="dxa"/>
            <w:vAlign w:val="bottom"/>
          </w:tcPr>
          <w:p>
            <w:pPr>
              <w:spacing w:after="0" w:line="212" w:lineRule="exact"/>
              <w:rPr>
                <w:sz w:val="20"/>
                <w:szCs w:val="20"/>
                <w:color w:val="auto"/>
              </w:rPr>
            </w:pPr>
            <w:r>
              <w:rPr>
                <w:rFonts w:ascii="Arial" w:cs="Arial" w:eastAsia="Arial" w:hAnsi="Arial"/>
                <w:sz w:val="20"/>
                <w:szCs w:val="20"/>
                <w:color w:val="auto"/>
              </w:rPr>
              <w:t>Roderick Wong</w:t>
            </w:r>
          </w:p>
        </w:tc>
      </w:t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840" w:type="dxa"/>
            <w:vAlign w:val="bottom"/>
          </w:tcPr>
          <w:p>
            <w:pPr>
              <w:spacing w:after="0"/>
              <w:rPr>
                <w:sz w:val="20"/>
                <w:szCs w:val="20"/>
                <w:color w:val="auto"/>
              </w:rPr>
            </w:pPr>
            <w:r>
              <w:rPr>
                <w:rFonts w:ascii="Arial" w:cs="Arial" w:eastAsia="Arial" w:hAnsi="Arial"/>
                <w:sz w:val="20"/>
                <w:szCs w:val="20"/>
                <w:color w:val="auto"/>
              </w:rPr>
              <w:t>Managing Partner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497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RODERICK WONG</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2022-02-14T07:23:33Z</dcterms:created>
  <dcterms:modified xsi:type="dcterms:W3CDTF">2022-02-14T07:23:33Z</dcterms:modified>
</cp:coreProperties>
</file>