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Fulcrum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359616109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CUSIP No. 359616109</w:t>
            </w:r>
          </w:p>
        </w:tc>
        <w:tc>
          <w:tcPr>
            <w:tcW w:w="100" w:type="dxa"/>
            <w:vAlign w:val="bottom"/>
          </w:tcPr>
          <w:p>
            <w:pPr>
              <w:spacing w:after="0"/>
              <w:rPr>
                <w:sz w:val="20"/>
                <w:szCs w:val="20"/>
                <w:color w:val="auto"/>
              </w:rPr>
            </w:pPr>
          </w:p>
        </w:tc>
        <w:tc>
          <w:tcPr>
            <w:tcW w:w="6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Page 2 of 13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Third Rock Ventures III, L.P.</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1,962,202</w:t>
            </w: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1,962,202</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78"/>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1,962,202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3.8%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6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52,051,405 shares of common stock issued and outstanding as of November 1, 2022 as disclosed in the Issuer’s 10-Q filed with the Securities and Exchange Commission on November 8, 2022.</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CUSIP No. 359616109</w:t>
            </w:r>
          </w:p>
        </w:tc>
        <w:tc>
          <w:tcPr>
            <w:tcW w:w="100" w:type="dxa"/>
            <w:vAlign w:val="bottom"/>
          </w:tcPr>
          <w:p>
            <w:pPr>
              <w:spacing w:after="0"/>
              <w:rPr>
                <w:sz w:val="20"/>
                <w:szCs w:val="20"/>
                <w:color w:val="auto"/>
              </w:rPr>
            </w:pPr>
          </w:p>
        </w:tc>
        <w:tc>
          <w:tcPr>
            <w:tcW w:w="6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Page 3 of 13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Third Rock Ventures GP III, L.P.</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1,962,202</w:t>
            </w: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1,962,202</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78"/>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1,962,202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3.8%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CUSIP No. 359616109</w:t>
            </w:r>
          </w:p>
        </w:tc>
        <w:tc>
          <w:tcPr>
            <w:tcW w:w="100" w:type="dxa"/>
            <w:vAlign w:val="bottom"/>
          </w:tcPr>
          <w:p>
            <w:pPr>
              <w:spacing w:after="0"/>
              <w:rPr>
                <w:sz w:val="20"/>
                <w:szCs w:val="20"/>
                <w:color w:val="auto"/>
              </w:rPr>
            </w:pPr>
          </w:p>
        </w:tc>
        <w:tc>
          <w:tcPr>
            <w:tcW w:w="6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Page 4 of 13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TRV GP III, LLC</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1,962,202</w:t>
            </w: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1,962,202</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78"/>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1,962,202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3.8%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CUSIP No. 359616109</w:t>
            </w:r>
          </w:p>
        </w:tc>
        <w:tc>
          <w:tcPr>
            <w:tcW w:w="100" w:type="dxa"/>
            <w:vAlign w:val="bottom"/>
          </w:tcPr>
          <w:p>
            <w:pPr>
              <w:spacing w:after="0"/>
              <w:rPr>
                <w:sz w:val="20"/>
                <w:szCs w:val="20"/>
                <w:color w:val="auto"/>
              </w:rPr>
            </w:pPr>
          </w:p>
        </w:tc>
        <w:tc>
          <w:tcPr>
            <w:tcW w:w="6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Page 5 of 13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Third Rock Ventures IV, L.P.</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2,343,154</w:t>
            </w: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2,343,154</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78"/>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2,343,154</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4.5%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CUSIP No. 359616109</w:t>
            </w:r>
          </w:p>
        </w:tc>
        <w:tc>
          <w:tcPr>
            <w:tcW w:w="100" w:type="dxa"/>
            <w:vAlign w:val="bottom"/>
          </w:tcPr>
          <w:p>
            <w:pPr>
              <w:spacing w:after="0"/>
              <w:rPr>
                <w:sz w:val="20"/>
                <w:szCs w:val="20"/>
                <w:color w:val="auto"/>
              </w:rPr>
            </w:pPr>
          </w:p>
        </w:tc>
        <w:tc>
          <w:tcPr>
            <w:tcW w:w="6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Page 6 of 13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Third Rock Ventures GP IV, L.P.</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2,343,154</w:t>
            </w: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2,343,154</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78"/>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2,343,154</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4.5%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CUSIP No. 359616109</w:t>
            </w:r>
          </w:p>
        </w:tc>
        <w:tc>
          <w:tcPr>
            <w:tcW w:w="100" w:type="dxa"/>
            <w:vAlign w:val="bottom"/>
          </w:tcPr>
          <w:p>
            <w:pPr>
              <w:spacing w:after="0"/>
              <w:rPr>
                <w:sz w:val="20"/>
                <w:szCs w:val="20"/>
                <w:color w:val="auto"/>
              </w:rPr>
            </w:pPr>
          </w:p>
        </w:tc>
        <w:tc>
          <w:tcPr>
            <w:tcW w:w="6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Page 7 of 13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TRV GP IV, LLC</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2,343,154</w:t>
            </w: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2,343,154</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78"/>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2,343,154</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4.5%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CUSIP No. 359616109</w:t>
            </w:r>
          </w:p>
        </w:tc>
        <w:tc>
          <w:tcPr>
            <w:tcW w:w="100" w:type="dxa"/>
            <w:vAlign w:val="bottom"/>
          </w:tcPr>
          <w:p>
            <w:pPr>
              <w:spacing w:after="0"/>
              <w:rPr>
                <w:sz w:val="20"/>
                <w:szCs w:val="20"/>
                <w:color w:val="auto"/>
              </w:rPr>
            </w:pPr>
          </w:p>
        </w:tc>
        <w:tc>
          <w:tcPr>
            <w:tcW w:w="6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Page 8 of 13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Robert I. Tepper</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156,189</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1,962,202</w:t>
            </w: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156,189</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1,962,202</w:t>
            </w: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78"/>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2,118,391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Times New Roman" w:cs="Times New Roman" w:eastAsia="Times New Roman" w:hAnsi="Times New Roman"/>
          <w:sz w:val="17"/>
          <w:szCs w:val="17"/>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-206375</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9 of 13 Pages</w:t>
      </w:r>
    </w:p>
    <w:p>
      <w:pPr>
        <w:spacing w:after="0" w:line="154" w:lineRule="exact"/>
        <w:rPr>
          <w:sz w:val="20"/>
          <w:szCs w:val="20"/>
          <w:color w:val="auto"/>
        </w:rPr>
      </w:pPr>
    </w:p>
    <w:p>
      <w:pPr>
        <w:sectPr>
          <w:pgSz w:w="11900" w:h="16838" w:orient="portrait"/>
          <w:cols w:equalWidth="0" w:num="3">
            <w:col w:w="4380" w:space="720"/>
            <w:col w:w="3820" w:space="720"/>
            <w:col w:w="138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21" w:lineRule="exact"/>
        <w:rPr>
          <w:sz w:val="20"/>
          <w:szCs w:val="20"/>
          <w:color w:val="auto"/>
        </w:rPr>
      </w:pPr>
    </w:p>
    <w:p>
      <w:pPr>
        <w:sectPr>
          <w:pgSz w:w="11900" w:h="16838" w:orient="portrait"/>
          <w:cols w:equalWidth="0" w:num="2">
            <w:col w:w="780" w:space="720"/>
            <w:col w:w="9520"/>
          </w:cols>
          <w:pgMar w:left="440" w:top="270" w:right="4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(a) Name of Issuer:</w:t>
      </w:r>
    </w:p>
    <w:p>
      <w:pPr>
        <w:spacing w:after="0" w:line="1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Fulcrum Therapeutics,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(b) Address of Issuer’s Principal Executive Offices: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Cambridge, MA 02139</w:t>
      </w:r>
    </w:p>
    <w:p>
      <w:pPr>
        <w:sectPr>
          <w:pgSz w:w="11900" w:h="16838" w:orient="portrait"/>
          <w:cols w:equalWidth="0" w:num="1">
            <w:col w:w="11020"/>
          </w:cols>
          <w:pgMar w:left="440" w:top="270" w:right="4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Person</w:t>
      </w:r>
    </w:p>
    <w:p>
      <w:pPr>
        <w:spacing w:after="0" w:line="121" w:lineRule="exact"/>
        <w:rPr>
          <w:sz w:val="20"/>
          <w:szCs w:val="20"/>
          <w:color w:val="auto"/>
        </w:rPr>
      </w:pPr>
    </w:p>
    <w:p>
      <w:pPr>
        <w:sectPr>
          <w:pgSz w:w="11900" w:h="16838" w:orient="portrait"/>
          <w:cols w:equalWidth="0" w:num="2">
            <w:col w:w="780" w:space="720"/>
            <w:col w:w="9520"/>
          </w:cols>
          <w:pgMar w:left="440" w:top="270" w:right="439" w:bottom="1440" w:gutter="0" w:footer="0" w:header="0"/>
          <w:type w:val="continuous"/>
        </w:sectPr>
      </w:pPr>
    </w:p>
    <w:p>
      <w:pPr>
        <w:ind w:left="1120" w:hanging="254"/>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Name of Persons Filing; Address; Citizenship:</w:t>
      </w:r>
    </w:p>
    <w:p>
      <w:pPr>
        <w:spacing w:after="0" w:line="11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Third Rock Ventures III, L.P. (“</w:t>
      </w:r>
      <w:r>
        <w:rPr>
          <w:rFonts w:ascii="Times New Roman" w:cs="Times New Roman" w:eastAsia="Times New Roman" w:hAnsi="Times New Roman"/>
          <w:sz w:val="18"/>
          <w:szCs w:val="18"/>
          <w:b w:val="1"/>
          <w:bCs w:val="1"/>
          <w:color w:val="auto"/>
        </w:rPr>
        <w:t>TRV III</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00" w:right="226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Third Rock Ventures GP III, L.P. (“</w:t>
      </w:r>
      <w:r>
        <w:rPr>
          <w:rFonts w:ascii="Times New Roman" w:cs="Times New Roman" w:eastAsia="Times New Roman" w:hAnsi="Times New Roman"/>
          <w:sz w:val="18"/>
          <w:szCs w:val="18"/>
          <w:b w:val="1"/>
          <w:bCs w:val="1"/>
          <w:color w:val="auto"/>
        </w:rPr>
        <w:t>TRV GP III</w:t>
      </w:r>
      <w:r>
        <w:rPr>
          <w:rFonts w:ascii="Times New Roman" w:cs="Times New Roman" w:eastAsia="Times New Roman" w:hAnsi="Times New Roman"/>
          <w:sz w:val="18"/>
          <w:szCs w:val="18"/>
          <w:color w:val="auto"/>
        </w:rPr>
        <w:t>”), which is the sole general partner of TRV III; (iii)  TRV GP III, LLC (“</w:t>
      </w:r>
      <w:r>
        <w:rPr>
          <w:rFonts w:ascii="Times New Roman" w:cs="Times New Roman" w:eastAsia="Times New Roman" w:hAnsi="Times New Roman"/>
          <w:sz w:val="18"/>
          <w:szCs w:val="18"/>
          <w:b w:val="1"/>
          <w:bCs w:val="1"/>
          <w:color w:val="auto"/>
        </w:rPr>
        <w:t>TRV GP III LLC</w:t>
      </w:r>
      <w:r>
        <w:rPr>
          <w:rFonts w:ascii="Times New Roman" w:cs="Times New Roman" w:eastAsia="Times New Roman" w:hAnsi="Times New Roman"/>
          <w:sz w:val="18"/>
          <w:szCs w:val="18"/>
          <w:color w:val="auto"/>
        </w:rPr>
        <w:t>”), which is the sole general partner of TRV GP III; (iv)  Third Rock Ventures IV, L.P. (“</w:t>
      </w:r>
      <w:r>
        <w:rPr>
          <w:rFonts w:ascii="Times New Roman" w:cs="Times New Roman" w:eastAsia="Times New Roman" w:hAnsi="Times New Roman"/>
          <w:sz w:val="18"/>
          <w:szCs w:val="18"/>
          <w:b w:val="1"/>
          <w:bCs w:val="1"/>
          <w:color w:val="auto"/>
        </w:rPr>
        <w:t>TRV IV</w:t>
      </w:r>
      <w:r>
        <w:rPr>
          <w:rFonts w:ascii="Times New Roman" w:cs="Times New Roman" w:eastAsia="Times New Roman" w:hAnsi="Times New Roman"/>
          <w:sz w:val="18"/>
          <w:szCs w:val="18"/>
          <w:color w:val="auto"/>
        </w:rPr>
        <w:t>”);</w:t>
      </w:r>
    </w:p>
    <w:p>
      <w:pPr>
        <w:ind w:left="1500" w:right="2300"/>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    Third Rock Ventures GP IV, L.P. (“</w:t>
      </w:r>
      <w:r>
        <w:rPr>
          <w:rFonts w:ascii="Times New Roman" w:cs="Times New Roman" w:eastAsia="Times New Roman" w:hAnsi="Times New Roman"/>
          <w:sz w:val="17"/>
          <w:szCs w:val="17"/>
          <w:b w:val="1"/>
          <w:bCs w:val="1"/>
          <w:color w:val="auto"/>
        </w:rPr>
        <w:t>TRV GP IV</w:t>
      </w:r>
      <w:r>
        <w:rPr>
          <w:rFonts w:ascii="Times New Roman" w:cs="Times New Roman" w:eastAsia="Times New Roman" w:hAnsi="Times New Roman"/>
          <w:sz w:val="17"/>
          <w:szCs w:val="17"/>
          <w:color w:val="auto"/>
        </w:rPr>
        <w:t>”), which is the sole general partner of TRV IV; (vi)  TRV GP IV, LLC (“</w:t>
      </w:r>
      <w:r>
        <w:rPr>
          <w:rFonts w:ascii="Times New Roman" w:cs="Times New Roman" w:eastAsia="Times New Roman" w:hAnsi="Times New Roman"/>
          <w:sz w:val="17"/>
          <w:szCs w:val="17"/>
          <w:b w:val="1"/>
          <w:bCs w:val="1"/>
          <w:color w:val="auto"/>
        </w:rPr>
        <w:t>TRV GP IV LLC</w:t>
      </w:r>
      <w:r>
        <w:rPr>
          <w:rFonts w:ascii="Times New Roman" w:cs="Times New Roman" w:eastAsia="Times New Roman" w:hAnsi="Times New Roman"/>
          <w:sz w:val="17"/>
          <w:szCs w:val="17"/>
          <w:color w:val="auto"/>
        </w:rPr>
        <w:t>”), which is the sole general partner of TRV GP IV; and</w:t>
      </w:r>
    </w:p>
    <w:p>
      <w:pPr>
        <w:spacing w:after="0" w:line="1" w:lineRule="exact"/>
        <w:rPr>
          <w:sz w:val="20"/>
          <w:szCs w:val="20"/>
          <w:color w:val="auto"/>
        </w:rPr>
      </w:pPr>
    </w:p>
    <w:p>
      <w:pPr>
        <w:ind w:left="1860" w:right="140" w:hanging="359"/>
        <w:spacing w:after="0" w:line="286" w:lineRule="auto"/>
        <w:rPr>
          <w:sz w:val="20"/>
          <w:szCs w:val="20"/>
          <w:color w:val="auto"/>
        </w:rPr>
      </w:pPr>
      <w:r>
        <w:rPr>
          <w:rFonts w:ascii="Times New Roman" w:cs="Times New Roman" w:eastAsia="Times New Roman" w:hAnsi="Times New Roman"/>
          <w:sz w:val="18"/>
          <w:szCs w:val="18"/>
          <w:color w:val="auto"/>
        </w:rPr>
        <w:t>(vii) Robert I. Tepper (“</w:t>
      </w:r>
      <w:r>
        <w:rPr>
          <w:rFonts w:ascii="Times New Roman" w:cs="Times New Roman" w:eastAsia="Times New Roman" w:hAnsi="Times New Roman"/>
          <w:sz w:val="18"/>
          <w:szCs w:val="18"/>
          <w:b w:val="1"/>
          <w:bCs w:val="1"/>
          <w:color w:val="auto"/>
        </w:rPr>
        <w:t>Tepper</w:t>
      </w:r>
      <w:r>
        <w:rPr>
          <w:rFonts w:ascii="Times New Roman" w:cs="Times New Roman" w:eastAsia="Times New Roman" w:hAnsi="Times New Roman"/>
          <w:sz w:val="18"/>
          <w:szCs w:val="18"/>
          <w:color w:val="auto"/>
        </w:rPr>
        <w:t>,” and collectively with TRV III, TRV GP III, TRV GP III LLC, TRV IV, TRV GP IV and TRV GP IV LLC,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 the managing member of TRV GP III LLC.</w:t>
      </w:r>
    </w:p>
    <w:p>
      <w:pPr>
        <w:spacing w:after="0" w:line="64" w:lineRule="exact"/>
        <w:rPr>
          <w:sz w:val="20"/>
          <w:szCs w:val="20"/>
          <w:color w:val="auto"/>
        </w:rPr>
      </w:pPr>
    </w:p>
    <w:p>
      <w:pPr>
        <w:ind w:left="1500" w:right="34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 Third Rock Ventures, LLC, 201 Brookline Ave, Suite 1401, Boston, MA 02215.</w:t>
      </w:r>
    </w:p>
    <w:p>
      <w:pPr>
        <w:spacing w:after="0" w:line="67" w:lineRule="exact"/>
        <w:rPr>
          <w:sz w:val="20"/>
          <w:szCs w:val="20"/>
          <w:color w:val="auto"/>
        </w:rPr>
      </w:pPr>
    </w:p>
    <w:p>
      <w:pPr>
        <w:ind w:left="1500" w:right="200"/>
        <w:spacing w:after="0" w:line="282" w:lineRule="auto"/>
        <w:rPr>
          <w:sz w:val="20"/>
          <w:szCs w:val="20"/>
          <w:color w:val="auto"/>
        </w:rPr>
      </w:pPr>
      <w:r>
        <w:rPr>
          <w:rFonts w:ascii="Times New Roman" w:cs="Times New Roman" w:eastAsia="Times New Roman" w:hAnsi="Times New Roman"/>
          <w:sz w:val="18"/>
          <w:szCs w:val="18"/>
          <w:color w:val="auto"/>
        </w:rPr>
        <w:t>Each of TRV III, TRV GP III, TRV IV and TRV GP IV is a Delaware limited partnership. Each of TRV GP III LLC and TRV GP IV LLC is a Delaware limited liability company. Tepper is a United States citizen.</w:t>
      </w:r>
    </w:p>
    <w:p>
      <w:pPr>
        <w:spacing w:after="0" w:line="67" w:lineRule="exact"/>
        <w:rPr>
          <w:sz w:val="20"/>
          <w:szCs w:val="20"/>
          <w:color w:val="auto"/>
        </w:rPr>
      </w:pPr>
    </w:p>
    <w:p>
      <w:pPr>
        <w:ind w:left="1500" w:hanging="310"/>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1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500" w:right="8320" w:hanging="300"/>
        <w:spacing w:after="0" w:line="282"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359616109</w:t>
      </w:r>
    </w:p>
    <w:p>
      <w:pPr>
        <w:spacing w:after="0" w:line="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92" w:lineRule="exact"/>
        <w:rPr>
          <w:sz w:val="20"/>
          <w:szCs w:val="20"/>
          <w:color w:val="auto"/>
        </w:rPr>
      </w:pPr>
    </w:p>
    <w:p>
      <w:pPr>
        <w:ind w:left="1500" w:hanging="748"/>
        <w:spacing w:after="0" w:line="207" w:lineRule="exact"/>
        <w:tabs>
          <w:tab w:leader="none" w:pos="15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1500" w:hanging="748"/>
        <w:spacing w:after="0" w:line="207" w:lineRule="exact"/>
        <w:tabs>
          <w:tab w:leader="none" w:pos="15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ectPr>
          <w:pgSz w:w="11900" w:h="16838" w:orient="portrait"/>
          <w:cols w:equalWidth="0" w:num="1">
            <w:col w:w="11020"/>
          </w:cols>
          <w:pgMar w:left="440" w:top="270" w:right="439" w:bottom="1440" w:gutter="0" w:footer="0" w:header="0"/>
          <w:type w:val="continuous"/>
        </w:sectPr>
      </w:pPr>
    </w:p>
    <w:bookmarkStart w:id="9" w:name="page10"/>
    <w:bookmarkEnd w:id="9"/>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10 of 13 Pages</w:t>
      </w:r>
    </w:p>
    <w:p>
      <w:pPr>
        <w:spacing w:after="0" w:line="129" w:lineRule="exact"/>
        <w:rPr>
          <w:sz w:val="20"/>
          <w:szCs w:val="20"/>
          <w:color w:val="auto"/>
        </w:rPr>
      </w:pPr>
    </w:p>
    <w:p>
      <w:pPr>
        <w:ind w:left="1120" w:hanging="341"/>
        <w:spacing w:after="0" w:line="207" w:lineRule="exact"/>
        <w:tabs>
          <w:tab w:leader="none" w:pos="11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1120" w:hanging="341"/>
        <w:spacing w:after="0" w:line="207" w:lineRule="exact"/>
        <w:tabs>
          <w:tab w:leader="none" w:pos="11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117" w:lineRule="exact"/>
        <w:rPr>
          <w:rFonts w:ascii="Times New Roman" w:cs="Times New Roman" w:eastAsia="Times New Roman" w:hAnsi="Times New Roman"/>
          <w:sz w:val="18"/>
          <w:szCs w:val="18"/>
          <w:color w:val="auto"/>
        </w:rPr>
      </w:pPr>
    </w:p>
    <w:p>
      <w:pPr>
        <w:ind w:left="1120" w:hanging="341"/>
        <w:spacing w:after="0" w:line="207" w:lineRule="exact"/>
        <w:tabs>
          <w:tab w:leader="none" w:pos="11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1120" w:hanging="341"/>
        <w:spacing w:after="0" w:line="207" w:lineRule="exact"/>
        <w:tabs>
          <w:tab w:leader="none" w:pos="11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p>
      <w:pPr>
        <w:spacing w:after="0" w:line="22" w:lineRule="exact"/>
        <w:rPr>
          <w:sz w:val="20"/>
          <w:szCs w:val="20"/>
          <w:color w:val="auto"/>
        </w:rPr>
      </w:pPr>
    </w:p>
    <w:p>
      <w:pPr>
        <w:ind w:left="1120" w:hanging="341"/>
        <w:spacing w:after="0" w:line="207" w:lineRule="exact"/>
        <w:tabs>
          <w:tab w:leader="none" w:pos="112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of 1940;</w:t>
      </w:r>
    </w:p>
    <w:p>
      <w:pPr>
        <w:spacing w:after="0" w:line="75" w:lineRule="exact"/>
        <w:rPr>
          <w:rFonts w:ascii="Times New Roman" w:cs="Times New Roman" w:eastAsia="Times New Roman" w:hAnsi="Times New Roman"/>
          <w:sz w:val="18"/>
          <w:szCs w:val="18"/>
          <w:color w:val="auto"/>
        </w:rPr>
      </w:pPr>
    </w:p>
    <w:p>
      <w:pPr>
        <w:ind w:left="1120" w:hanging="341"/>
        <w:spacing w:after="0" w:line="207" w:lineRule="exact"/>
        <w:tabs>
          <w:tab w:leader="none" w:pos="112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333" w:lineRule="exact"/>
        <w:rPr>
          <w:sz w:val="20"/>
          <w:szCs w:val="20"/>
          <w:color w:val="auto"/>
        </w:rPr>
      </w:pPr>
    </w:p>
    <w:p>
      <w:pPr>
        <w:ind w:left="1120" w:hanging="341"/>
        <w:spacing w:after="0" w:line="207" w:lineRule="exact"/>
        <w:tabs>
          <w:tab w:leader="none" w:pos="112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240.13d-1(b)(1)(ii)(J), please specify the type of institution:</w:t>
      </w:r>
    </w:p>
    <w:p>
      <w:pPr>
        <w:spacing w:after="0" w:line="145"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2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31"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color w:val="auto"/>
        </w:rPr>
        <w:t>(a) and</w:t>
      </w:r>
      <w:r>
        <w:rPr>
          <w:sz w:val="20"/>
          <w:szCs w:val="20"/>
          <w:color w:val="auto"/>
        </w:rPr>
        <w:tab/>
      </w:r>
      <w:r>
        <w:rPr>
          <w:rFonts w:ascii="Times New Roman" w:cs="Times New Roman" w:eastAsia="Times New Roman" w:hAnsi="Times New Roman"/>
          <w:sz w:val="17"/>
          <w:szCs w:val="17"/>
          <w:color w:val="auto"/>
        </w:rPr>
        <w:t>Amount beneficially owned:</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w:t>
      </w:r>
    </w:p>
    <w:p>
      <w:pPr>
        <w:spacing w:after="0" w:line="108" w:lineRule="exact"/>
        <w:rPr>
          <w:sz w:val="20"/>
          <w:szCs w:val="20"/>
          <w:color w:val="auto"/>
        </w:rPr>
      </w:pPr>
    </w:p>
    <w:p>
      <w:pPr>
        <w:ind w:left="1980" w:right="200" w:hanging="472"/>
        <w:spacing w:after="0" w:line="286" w:lineRule="auto"/>
        <w:tabs>
          <w:tab w:leader="none" w:pos="1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III directly owns 1,962,202 shares of Common Stock (the “</w:t>
      </w:r>
      <w:r>
        <w:rPr>
          <w:rFonts w:ascii="Times New Roman" w:cs="Times New Roman" w:eastAsia="Times New Roman" w:hAnsi="Times New Roman"/>
          <w:sz w:val="18"/>
          <w:szCs w:val="18"/>
          <w:b w:val="1"/>
          <w:bCs w:val="1"/>
          <w:color w:val="auto"/>
        </w:rPr>
        <w:t>III Shares</w:t>
      </w:r>
      <w:r>
        <w:rPr>
          <w:rFonts w:ascii="Times New Roman" w:cs="Times New Roman" w:eastAsia="Times New Roman" w:hAnsi="Times New Roman"/>
          <w:sz w:val="18"/>
          <w:szCs w:val="18"/>
          <w:color w:val="auto"/>
        </w:rPr>
        <w:t>”), which represents approximately 3.8% of the outstanding shares of Common Stock.</w:t>
      </w:r>
    </w:p>
    <w:p>
      <w:pPr>
        <w:spacing w:after="0" w:line="50" w:lineRule="exact"/>
        <w:rPr>
          <w:rFonts w:ascii="Times New Roman" w:cs="Times New Roman" w:eastAsia="Times New Roman" w:hAnsi="Times New Roman"/>
          <w:sz w:val="18"/>
          <w:szCs w:val="18"/>
          <w:color w:val="auto"/>
        </w:rPr>
      </w:pPr>
    </w:p>
    <w:p>
      <w:pPr>
        <w:ind w:left="1980" w:hanging="472"/>
        <w:spacing w:after="0"/>
        <w:tabs>
          <w:tab w:leader="none" w:pos="1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III is the general partner of TRV III and may be deemed to beneficially own the III Shares.</w:t>
      </w:r>
    </w:p>
    <w:p>
      <w:pPr>
        <w:spacing w:after="0" w:line="117" w:lineRule="exact"/>
        <w:rPr>
          <w:rFonts w:ascii="Times New Roman" w:cs="Times New Roman" w:eastAsia="Times New Roman" w:hAnsi="Times New Roman"/>
          <w:sz w:val="18"/>
          <w:szCs w:val="18"/>
          <w:color w:val="auto"/>
        </w:rPr>
      </w:pPr>
    </w:p>
    <w:p>
      <w:pPr>
        <w:ind w:left="1980" w:hanging="472"/>
        <w:spacing w:after="0"/>
        <w:tabs>
          <w:tab w:leader="none" w:pos="1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III LLC is the general partner of TRV GP III and may be deemed to beneficially own the III Shares.</w:t>
      </w:r>
    </w:p>
    <w:p>
      <w:pPr>
        <w:spacing w:after="0" w:line="113" w:lineRule="exact"/>
        <w:rPr>
          <w:rFonts w:ascii="Times New Roman" w:cs="Times New Roman" w:eastAsia="Times New Roman" w:hAnsi="Times New Roman"/>
          <w:sz w:val="18"/>
          <w:szCs w:val="18"/>
          <w:color w:val="auto"/>
        </w:rPr>
      </w:pPr>
    </w:p>
    <w:p>
      <w:pPr>
        <w:ind w:left="1980" w:right="440" w:hanging="472"/>
        <w:spacing w:after="0" w:line="286" w:lineRule="auto"/>
        <w:tabs>
          <w:tab w:leader="none" w:pos="1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IV directly owns 2,343,154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which represents approximately 4.5% of the outstanding shares of Common Stock.</w:t>
      </w:r>
    </w:p>
    <w:p>
      <w:pPr>
        <w:spacing w:after="0" w:line="50" w:lineRule="exact"/>
        <w:rPr>
          <w:rFonts w:ascii="Times New Roman" w:cs="Times New Roman" w:eastAsia="Times New Roman" w:hAnsi="Times New Roman"/>
          <w:sz w:val="18"/>
          <w:szCs w:val="18"/>
          <w:color w:val="auto"/>
        </w:rPr>
      </w:pPr>
    </w:p>
    <w:p>
      <w:pPr>
        <w:ind w:left="1980" w:hanging="472"/>
        <w:spacing w:after="0"/>
        <w:tabs>
          <w:tab w:leader="none" w:pos="1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IV is the general partner of TRV IV and may be deemed to beneficially own the Shares.</w:t>
      </w:r>
    </w:p>
    <w:p>
      <w:pPr>
        <w:spacing w:after="0" w:line="117" w:lineRule="exact"/>
        <w:rPr>
          <w:rFonts w:ascii="Times New Roman" w:cs="Times New Roman" w:eastAsia="Times New Roman" w:hAnsi="Times New Roman"/>
          <w:sz w:val="18"/>
          <w:szCs w:val="18"/>
          <w:color w:val="auto"/>
        </w:rPr>
      </w:pPr>
    </w:p>
    <w:p>
      <w:pPr>
        <w:ind w:left="1980" w:hanging="472"/>
        <w:spacing w:after="0"/>
        <w:tabs>
          <w:tab w:leader="none" w:pos="1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IV LLC is the general partner of TRV GP IV and may be deemed to beneficially own the Shares.</w:t>
      </w:r>
    </w:p>
    <w:p>
      <w:pPr>
        <w:spacing w:after="0" w:line="117" w:lineRule="exact"/>
        <w:rPr>
          <w:rFonts w:ascii="Times New Roman" w:cs="Times New Roman" w:eastAsia="Times New Roman" w:hAnsi="Times New Roman"/>
          <w:sz w:val="18"/>
          <w:szCs w:val="18"/>
          <w:color w:val="auto"/>
        </w:rPr>
      </w:pPr>
    </w:p>
    <w:p>
      <w:pPr>
        <w:ind w:left="1980" w:right="520" w:hanging="472"/>
        <w:spacing w:after="0" w:line="282" w:lineRule="auto"/>
        <w:tabs>
          <w:tab w:leader="none" w:pos="1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managing member of TRV GP III LLC Tepper may be deemed to beneficially own the III Shares. Additionally, Tepper directly owns 156,189 shares of Common Stock.</w:t>
      </w:r>
    </w:p>
    <w:p>
      <w:pPr>
        <w:spacing w:after="0" w:line="53" w:lineRule="exact"/>
        <w:rPr>
          <w:rFonts w:ascii="Times New Roman" w:cs="Times New Roman" w:eastAsia="Times New Roman" w:hAnsi="Times New Roman"/>
          <w:sz w:val="18"/>
          <w:szCs w:val="18"/>
          <w:color w:val="auto"/>
        </w:rPr>
      </w:pPr>
    </w:p>
    <w:p>
      <w:pPr>
        <w:ind w:left="1500" w:hanging="748"/>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342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82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color w:val="auto"/>
              </w:rPr>
              <w:t>(i)</w:t>
            </w:r>
          </w:p>
        </w:tc>
        <w:tc>
          <w:tcPr>
            <w:tcW w:w="94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color w:val="auto"/>
              </w:rPr>
              <w:t>(ii)</w:t>
            </w:r>
          </w:p>
        </w:tc>
        <w:tc>
          <w:tcPr>
            <w:tcW w:w="82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(iii)</w:t>
            </w:r>
          </w:p>
        </w:tc>
        <w:tc>
          <w:tcPr>
            <w:tcW w:w="78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(iv)</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III</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1,962,202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TRV GP III</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1,962,202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1,962,202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GP III LLC</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1,962,202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1,962,202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2,343,154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2,343,154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GP IV</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2,343,154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2,343,154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TRV GP IV LLC</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2,343,154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2,343,154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Tepper</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156,189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1,962,202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156,189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1,962,202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11 of 13 Pages</w:t>
      </w:r>
    </w:p>
    <w:p>
      <w:pPr>
        <w:spacing w:after="0" w:line="1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Sole power to vote or direct the vote</w:t>
      </w:r>
    </w:p>
    <w:p>
      <w:pPr>
        <w:spacing w:after="0" w:line="1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1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1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pacing w:after="0" w:line="144" w:lineRule="exact"/>
        <w:rPr>
          <w:sz w:val="20"/>
          <w:szCs w:val="20"/>
          <w:color w:val="auto"/>
        </w:rPr>
      </w:pPr>
    </w:p>
    <w:p>
      <w:pPr>
        <w:ind w:left="1540" w:right="140"/>
        <w:spacing w:after="0" w:line="282" w:lineRule="auto"/>
        <w:rPr>
          <w:sz w:val="20"/>
          <w:szCs w:val="20"/>
          <w:color w:val="auto"/>
        </w:rPr>
      </w:pPr>
      <w:r>
        <w:rPr>
          <w:rFonts w:ascii="Times New Roman" w:cs="Times New Roman" w:eastAsia="Times New Roman" w:hAnsi="Times New Roman"/>
          <w:sz w:val="18"/>
          <w:szCs w:val="18"/>
          <w:color w:val="auto"/>
        </w:rPr>
        <w:t>The percent of class was calculated based on 52,051,405 shares of common stock issued and outstanding as of November 1, 2022 as disclosed in the Issuer’s 10-Q filed with the Securities and Exchange Commission on November 8, 2022.</w:t>
      </w:r>
    </w:p>
    <w:p>
      <w:pPr>
        <w:spacing w:after="0" w:line="26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880" w:hanging="1070"/>
        <w:spacing w:after="0" w:line="28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11" w:name="page12"/>
    <w:bookmarkEnd w:id="11"/>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12 of 13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III,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THIRD ROCK VENTURES GP III,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TRV GP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GP III,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TRV GP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TRV GP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THIRD ROCK VENTURES GP IV,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TRV GP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GP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TRV GP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ectPr>
          <w:pgSz w:w="11900" w:h="16838" w:orient="portrait"/>
          <w:cols w:equalWidth="0" w:num="1">
            <w:col w:w="11020"/>
          </w:cols>
          <w:pgMar w:left="440" w:top="270" w:right="439" w:bottom="1440" w:gutter="0" w:footer="0" w:header="0"/>
        </w:sectPr>
      </w:pPr>
    </w:p>
    <w:bookmarkStart w:id="12" w:name="page13"/>
    <w:bookmarkEnd w:id="12"/>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13 of 13 Pages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TRV GP IV,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I. TEPPER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I. Tepper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9"/>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2023-02-14T15:36:12Z</dcterms:created>
  <dcterms:modified xsi:type="dcterms:W3CDTF">2023-02-14T15:36:12Z</dcterms:modified>
</cp:coreProperties>
</file>