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359616109</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1240" w:hanging="253"/>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1240" w:hanging="253"/>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240" w:hanging="253"/>
        <w:spacing w:after="0"/>
        <w:tabs>
          <w:tab w:leader="none" w:pos="12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220" w:right="140" w:hanging="229"/>
        <w:spacing w:after="0" w:line="308" w:lineRule="auto"/>
        <w:rPr>
          <w:rFonts w:ascii="MS PGothic" w:cs="MS PGothic" w:eastAsia="MS PGothic" w:hAnsi="MS PGothic"/>
          <w:sz w:val="18"/>
          <w:szCs w:val="18"/>
          <w:color w:val="auto"/>
        </w:rPr>
      </w:pPr>
      <w:r>
        <w:rPr>
          <w:rFonts w:ascii="Arial" w:cs="Arial" w:eastAsia="Arial" w:hAnsi="Arial"/>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0"/>
          </w:cols>
          <w:pgMar w:left="440" w:top="517" w:right="57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2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Third Rock Ventures III, L.P.</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3,962,202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40,548,783 shares of common stock issued and outstanding as of October 28, 2021 as disclosed in the Issuer’s 10-Q filed with the Securities and Exchange Commission on November 4, 2021.</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3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Third Rock Ventures GP III, L.P.</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3,962,202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4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TRV GP III, LLC</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3,962,202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9.8%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5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Third Rock Ventures IV, L.P.</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2,343,154</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2,343,154</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2,343,154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5.8%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6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Third Rock Ventures GP IV, L.P.</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2,343,154</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2,343,154</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2,343,154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5.8%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7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2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color w:val="auto"/>
              </w:rPr>
              <w:t>TRV GP IV, LLC</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2,343,154</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0</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2,343,154</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2,343,154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5.8%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14"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8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Mark Levin</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United States</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84,223(2)</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84,223 (2)</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4,046,425</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10.0%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number includes 8,423 shares of Common Stock held directly by the Levin Family 2014 Irrevocable Trust.</w:t>
      </w:r>
    </w:p>
    <w:p>
      <w:pPr>
        <w:sectPr>
          <w:pgSz w:w="11900" w:h="16838" w:orient="portrait"/>
          <w:cols w:equalWidth="0" w:num="1">
            <w:col w:w="11024"/>
          </w:cols>
          <w:pgMar w:left="436" w:top="274" w:right="4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82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40" w:type="dxa"/>
            <w:vAlign w:val="bottom"/>
            <w:gridSpan w:val="2"/>
          </w:tcPr>
          <w:p>
            <w:pPr>
              <w:ind w:left="960"/>
              <w:spacing w:after="0"/>
              <w:rPr>
                <w:sz w:val="20"/>
                <w:szCs w:val="20"/>
                <w:color w:val="auto"/>
              </w:rPr>
            </w:pPr>
            <w:r>
              <w:rPr>
                <w:rFonts w:ascii="Arial" w:cs="Arial" w:eastAsia="Arial" w:hAnsi="Arial"/>
                <w:sz w:val="18"/>
                <w:szCs w:val="18"/>
                <w:color w:val="auto"/>
                <w:w w:val="85"/>
              </w:rPr>
              <w:t>Page 9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Kevin P. Starr</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20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9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820" w:type="dxa"/>
            <w:vAlign w:val="bottom"/>
            <w:tcBorders>
              <w:bottom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United States</w:t>
            </w: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84,218</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820" w:type="dxa"/>
            <w:vAlign w:val="bottom"/>
            <w:tcBorders>
              <w:bottom w:val="single" w:sz="8" w:color="auto"/>
            </w:tcBorders>
            <w:vMerge w:val="continue"/>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82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84,218</w:t>
            </w:r>
          </w:p>
        </w:tc>
        <w:tc>
          <w:tcPr>
            <w:tcW w:w="2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820" w:type="dxa"/>
            <w:vAlign w:val="bottom"/>
            <w:tcBorders>
              <w:bottom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82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820" w:type="dxa"/>
            <w:vAlign w:val="bottom"/>
            <w:vMerge w:val="continue"/>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3,962,202</w:t>
            </w: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4,046,420</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20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10.0%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20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10" w:type="dxa"/>
        <w:tblCellMar>
          <w:top w:w="0" w:type="dxa"/>
          <w:left w:w="0" w:type="dxa"/>
          <w:bottom w:w="0" w:type="dxa"/>
          <w:right w:w="0" w:type="dxa"/>
        </w:tblCellMar>
      </w:tblPr>
      <w:tr>
        <w:trPr>
          <w:trHeight w:val="230"/>
        </w:trPr>
        <w:tc>
          <w:tcPr>
            <w:tcW w:w="1760" w:type="dxa"/>
            <w:vAlign w:val="bottom"/>
            <w:gridSpan w:val="4"/>
          </w:tcPr>
          <w:p>
            <w:pPr>
              <w:jc w:val="center"/>
              <w:spacing w:after="0"/>
              <w:rPr>
                <w:sz w:val="20"/>
                <w:szCs w:val="20"/>
                <w:color w:val="auto"/>
              </w:rPr>
            </w:pPr>
            <w:r>
              <w:rPr>
                <w:rFonts w:ascii="Arial" w:cs="Arial" w:eastAsia="Arial" w:hAnsi="Arial"/>
                <w:sz w:val="18"/>
                <w:szCs w:val="18"/>
                <w:color w:val="auto"/>
                <w:w w:val="91"/>
              </w:rPr>
              <w:t>CUSIP No. 359616109</w:t>
            </w:r>
          </w:p>
        </w:tc>
        <w:tc>
          <w:tcPr>
            <w:tcW w:w="100" w:type="dxa"/>
            <w:vAlign w:val="bottom"/>
          </w:tcPr>
          <w:p>
            <w:pPr>
              <w:spacing w:after="0"/>
              <w:rPr>
                <w:sz w:val="20"/>
                <w:szCs w:val="20"/>
                <w:color w:val="auto"/>
              </w:rPr>
            </w:pPr>
          </w:p>
        </w:tc>
        <w:tc>
          <w:tcPr>
            <w:tcW w:w="6780" w:type="dxa"/>
            <w:vAlign w:val="bottom"/>
          </w:tcPr>
          <w:p>
            <w:pPr>
              <w:ind w:left="3240"/>
              <w:spacing w:after="0"/>
              <w:rPr>
                <w:sz w:val="20"/>
                <w:szCs w:val="20"/>
                <w:color w:val="auto"/>
              </w:rPr>
            </w:pPr>
            <w:r>
              <w:rPr>
                <w:rFonts w:ascii="Arial" w:cs="Arial" w:eastAsia="Arial" w:hAnsi="Arial"/>
                <w:sz w:val="18"/>
                <w:szCs w:val="18"/>
                <w:color w:val="auto"/>
              </w:rPr>
              <w:t>SCHEDULE 13G</w:t>
            </w:r>
          </w:p>
        </w:tc>
        <w:tc>
          <w:tcPr>
            <w:tcW w:w="2380" w:type="dxa"/>
            <w:vAlign w:val="bottom"/>
            <w:gridSpan w:val="2"/>
          </w:tcPr>
          <w:p>
            <w:pPr>
              <w:ind w:left="920"/>
              <w:spacing w:after="0"/>
              <w:rPr>
                <w:sz w:val="20"/>
                <w:szCs w:val="20"/>
                <w:color w:val="auto"/>
              </w:rPr>
            </w:pPr>
            <w:r>
              <w:rPr>
                <w:rFonts w:ascii="Arial" w:cs="Arial" w:eastAsia="Arial" w:hAnsi="Arial"/>
                <w:sz w:val="18"/>
                <w:szCs w:val="18"/>
                <w:color w:val="auto"/>
                <w:w w:val="85"/>
              </w:rPr>
              <w:t>Page 10 of 15 Pages</w:t>
            </w:r>
          </w:p>
        </w:tc>
        <w:tc>
          <w:tcPr>
            <w:tcW w:w="0" w:type="dxa"/>
            <w:vAlign w:val="bottom"/>
          </w:tcPr>
          <w:p>
            <w:pPr>
              <w:spacing w:after="0"/>
              <w:rPr>
                <w:sz w:val="1"/>
                <w:szCs w:val="1"/>
                <w:color w:val="auto"/>
              </w:rPr>
            </w:pPr>
          </w:p>
        </w:tc>
      </w:tr>
      <w:tr>
        <w:trPr>
          <w:trHeight w:val="162"/>
        </w:trPr>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340" w:type="dxa"/>
            <w:vAlign w:val="bottom"/>
            <w:tcBorders>
              <w:bottom w:val="single" w:sz="8" w:color="auto"/>
            </w:tcBorders>
            <w:gridSpan w:val="2"/>
          </w:tcPr>
          <w:p>
            <w:pPr>
              <w:spacing w:after="0"/>
              <w:rPr>
                <w:sz w:val="14"/>
                <w:szCs w:val="14"/>
                <w:color w:val="auto"/>
              </w:rPr>
            </w:pPr>
          </w:p>
        </w:tc>
        <w:tc>
          <w:tcPr>
            <w:tcW w:w="6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2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81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rPr>
              <w:t>Robert I. Tepper</w:t>
            </w: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80" w:type="dxa"/>
            <w:vAlign w:val="bottom"/>
            <w:tcBorders>
              <w:left w:val="single" w:sz="8" w:color="auto"/>
              <w:right w:val="single" w:sz="8" w:color="auto"/>
            </w:tcBorders>
          </w:tcPr>
          <w:p>
            <w:pPr>
              <w:jc w:val="right"/>
              <w:ind w:right="10"/>
              <w:spacing w:after="0" w:line="169" w:lineRule="exact"/>
              <w:rPr>
                <w:sz w:val="20"/>
                <w:szCs w:val="20"/>
                <w:color w:val="auto"/>
              </w:rPr>
            </w:pPr>
            <w:r>
              <w:rPr>
                <w:rFonts w:ascii="Arial" w:cs="Arial" w:eastAsia="Arial" w:hAnsi="Arial"/>
                <w:sz w:val="18"/>
                <w:szCs w:val="18"/>
                <w:color w:val="auto"/>
              </w:rPr>
              <w:t>2.</w:t>
            </w:r>
          </w:p>
        </w:tc>
        <w:tc>
          <w:tcPr>
            <w:tcW w:w="8160" w:type="dxa"/>
            <w:vAlign w:val="bottom"/>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80" w:type="dxa"/>
            <w:vAlign w:val="bottom"/>
            <w:tcBorders>
              <w:left w:val="single" w:sz="8" w:color="auto"/>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68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SEC USE ONLY</w:t>
            </w:r>
          </w:p>
        </w:tc>
        <w:tc>
          <w:tcPr>
            <w:tcW w:w="2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6780" w:type="dxa"/>
            <w:vAlign w:val="bottom"/>
            <w:tcBorders>
              <w:bottom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2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United States</w:t>
            </w:r>
          </w:p>
        </w:tc>
        <w:tc>
          <w:tcPr>
            <w:tcW w:w="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22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8"/>
              </w:rPr>
              <w:t>NUMBER OF</w:t>
            </w:r>
          </w:p>
        </w:tc>
        <w:tc>
          <w:tcPr>
            <w:tcW w:w="10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84,220</w:t>
            </w: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0" w:type="dxa"/>
            <w:vAlign w:val="bottom"/>
            <w:tcBorders>
              <w:left w:val="single" w:sz="8" w:color="auto"/>
            </w:tcBorders>
          </w:tcPr>
          <w:p>
            <w:pPr>
              <w:spacing w:after="0"/>
              <w:rPr>
                <w:sz w:val="20"/>
                <w:szCs w:val="20"/>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4"/>
              </w:rPr>
              <w:t>SHARES</w:t>
            </w:r>
          </w:p>
        </w:tc>
        <w:tc>
          <w:tcPr>
            <w:tcW w:w="10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22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780" w:type="dxa"/>
            <w:vAlign w:val="bottom"/>
            <w:vMerge w:val="restart"/>
          </w:tcPr>
          <w:p>
            <w:pPr>
              <w:ind w:left="180"/>
              <w:spacing w:after="0"/>
              <w:rPr>
                <w:sz w:val="20"/>
                <w:szCs w:val="20"/>
                <w:color w:val="auto"/>
              </w:rPr>
            </w:pPr>
            <w:r>
              <w:rPr>
                <w:rFonts w:ascii="Arial" w:cs="Arial" w:eastAsia="Arial" w:hAnsi="Arial"/>
                <w:sz w:val="18"/>
                <w:szCs w:val="18"/>
                <w:color w:val="auto"/>
              </w:rPr>
              <w:t>3,962,202</w:t>
            </w:r>
          </w:p>
        </w:tc>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Borders>
              <w:left w:val="single" w:sz="8" w:color="auto"/>
            </w:tcBorders>
            <w:gridSpan w:val="2"/>
          </w:tcPr>
          <w:p>
            <w:pPr>
              <w:jc w:val="center"/>
              <w:ind w:left="150"/>
              <w:spacing w:after="0"/>
              <w:rPr>
                <w:sz w:val="20"/>
                <w:szCs w:val="20"/>
                <w:color w:val="auto"/>
              </w:rPr>
            </w:pPr>
            <w:r>
              <w:rPr>
                <w:rFonts w:ascii="Arial" w:cs="Arial" w:eastAsia="Arial" w:hAnsi="Arial"/>
                <w:sz w:val="18"/>
                <w:szCs w:val="18"/>
                <w:color w:val="auto"/>
                <w:w w:val="99"/>
              </w:rPr>
              <w:t>OWNED BY</w:t>
            </w:r>
          </w:p>
        </w:tc>
        <w:tc>
          <w:tcPr>
            <w:tcW w:w="10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780" w:type="dxa"/>
            <w:vAlign w:val="bottom"/>
            <w:tcBorders>
              <w:bottom w:val="single" w:sz="8" w:color="auto"/>
            </w:tcBorders>
            <w:vMerge w:val="continue"/>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Borders>
              <w:left w:val="single" w:sz="8" w:color="auto"/>
            </w:tcBorders>
          </w:tcPr>
          <w:p>
            <w:pPr>
              <w:spacing w:after="0"/>
              <w:rPr>
                <w:sz w:val="15"/>
                <w:szCs w:val="15"/>
                <w:color w:val="auto"/>
              </w:rPr>
            </w:pPr>
          </w:p>
        </w:tc>
        <w:tc>
          <w:tcPr>
            <w:tcW w:w="940" w:type="dxa"/>
            <w:vAlign w:val="bottom"/>
          </w:tcPr>
          <w:p>
            <w:pPr>
              <w:jc w:val="center"/>
              <w:ind w:right="150"/>
              <w:spacing w:after="0" w:line="182" w:lineRule="exact"/>
              <w:rPr>
                <w:sz w:val="20"/>
                <w:szCs w:val="20"/>
                <w:color w:val="auto"/>
              </w:rPr>
            </w:pPr>
            <w:r>
              <w:rPr>
                <w:rFonts w:ascii="Arial" w:cs="Arial" w:eastAsia="Arial" w:hAnsi="Arial"/>
                <w:sz w:val="18"/>
                <w:szCs w:val="18"/>
                <w:color w:val="auto"/>
                <w:w w:val="99"/>
              </w:rPr>
              <w:t>EACH</w:t>
            </w:r>
          </w:p>
        </w:tc>
        <w:tc>
          <w:tcPr>
            <w:tcW w:w="10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678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22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jc w:val="center"/>
              <w:ind w:left="170"/>
              <w:spacing w:after="0"/>
              <w:rPr>
                <w:sz w:val="20"/>
                <w:szCs w:val="20"/>
                <w:color w:val="auto"/>
              </w:rPr>
            </w:pPr>
            <w:r>
              <w:rPr>
                <w:rFonts w:ascii="Arial" w:cs="Arial" w:eastAsia="Arial" w:hAnsi="Arial"/>
                <w:sz w:val="18"/>
                <w:szCs w:val="18"/>
                <w:color w:val="auto"/>
                <w:w w:val="93"/>
              </w:rPr>
              <w:t>REPORTING</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780" w:type="dxa"/>
            <w:vAlign w:val="bottom"/>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 w:type="dxa"/>
            <w:vAlign w:val="bottom"/>
            <w:tcBorders>
              <w:left w:val="single" w:sz="8" w:color="auto"/>
            </w:tcBorders>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PERSON</w:t>
            </w:r>
          </w:p>
        </w:tc>
        <w:tc>
          <w:tcPr>
            <w:tcW w:w="1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780" w:type="dxa"/>
            <w:vAlign w:val="bottom"/>
          </w:tcPr>
          <w:p>
            <w:pPr>
              <w:ind w:left="180"/>
              <w:spacing w:after="0"/>
              <w:rPr>
                <w:sz w:val="20"/>
                <w:szCs w:val="20"/>
                <w:color w:val="auto"/>
              </w:rPr>
            </w:pPr>
            <w:r>
              <w:rPr>
                <w:rFonts w:ascii="Arial" w:cs="Arial" w:eastAsia="Arial" w:hAnsi="Arial"/>
                <w:sz w:val="18"/>
                <w:szCs w:val="18"/>
                <w:color w:val="auto"/>
              </w:rPr>
              <w:t>84,220</w:t>
            </w:r>
          </w:p>
        </w:tc>
        <w:tc>
          <w:tcPr>
            <w:tcW w:w="2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80" w:type="dxa"/>
            <w:vAlign w:val="bottom"/>
            <w:tcBorders>
              <w:left w:val="single" w:sz="8" w:color="auto"/>
            </w:tcBorders>
          </w:tcPr>
          <w:p>
            <w:pPr>
              <w:spacing w:after="0"/>
              <w:rPr>
                <w:sz w:val="5"/>
                <w:szCs w:val="5"/>
                <w:color w:val="auto"/>
              </w:rPr>
            </w:pPr>
          </w:p>
        </w:tc>
        <w:tc>
          <w:tcPr>
            <w:tcW w:w="940" w:type="dxa"/>
            <w:vAlign w:val="bottom"/>
            <w:vMerge w:val="restart"/>
          </w:tcPr>
          <w:p>
            <w:pPr>
              <w:jc w:val="center"/>
              <w:ind w:right="150"/>
              <w:spacing w:after="0"/>
              <w:rPr>
                <w:sz w:val="20"/>
                <w:szCs w:val="20"/>
                <w:color w:val="auto"/>
              </w:rPr>
            </w:pPr>
            <w:r>
              <w:rPr>
                <w:rFonts w:ascii="Arial" w:cs="Arial" w:eastAsia="Arial" w:hAnsi="Arial"/>
                <w:sz w:val="18"/>
                <w:szCs w:val="18"/>
                <w:color w:val="auto"/>
                <w:w w:val="99"/>
              </w:rPr>
              <w:t>WITH</w:t>
            </w:r>
          </w:p>
        </w:tc>
        <w:tc>
          <w:tcPr>
            <w:tcW w:w="10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c>
          <w:tcPr>
            <w:tcW w:w="22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80" w:type="dxa"/>
            <w:vAlign w:val="bottom"/>
            <w:tcBorders>
              <w:left w:val="single" w:sz="8" w:color="auto"/>
            </w:tcBorders>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678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2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80" w:type="dxa"/>
            <w:vAlign w:val="bottom"/>
            <w:tcBorders>
              <w:lef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780" w:type="dxa"/>
            <w:vAlign w:val="bottom"/>
            <w:vMerge w:val="continue"/>
          </w:tcPr>
          <w:p>
            <w:pPr>
              <w:spacing w:after="0"/>
              <w:rPr>
                <w:sz w:val="7"/>
                <w:szCs w:val="7"/>
                <w:color w:val="auto"/>
              </w:rPr>
            </w:pPr>
          </w:p>
        </w:tc>
        <w:tc>
          <w:tcPr>
            <w:tcW w:w="2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3,962,202</w:t>
            </w: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40" w:type="dxa"/>
            <w:vAlign w:val="bottom"/>
            <w:gridSpan w:val="2"/>
          </w:tcPr>
          <w:p>
            <w:pPr>
              <w:spacing w:after="0"/>
              <w:rPr>
                <w:sz w:val="20"/>
                <w:szCs w:val="20"/>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22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4,046,422</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8160" w:type="dxa"/>
            <w:vAlign w:val="bottom"/>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22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10.0% (1)</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816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22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spacing w:after="0"/>
        <w:rPr>
          <w:sz w:val="20"/>
          <w:szCs w:val="20"/>
          <w:color w:val="auto"/>
        </w:rPr>
      </w:pPr>
      <w:r>
        <w:rPr>
          <w:rFonts w:ascii="Arial" w:cs="Arial" w:eastAsia="Arial" w:hAnsi="Arial"/>
          <w:sz w:val="16"/>
          <w:szCs w:val="16"/>
          <w:color w:val="auto"/>
        </w:rPr>
        <w:t>CUSIP No. 359616109</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6"/>
          <w:szCs w:val="16"/>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-201295</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11 of 15 Pages</w:t>
      </w:r>
    </w:p>
    <w:p>
      <w:pPr>
        <w:spacing w:after="0" w:line="201" w:lineRule="exact"/>
        <w:rPr>
          <w:sz w:val="20"/>
          <w:szCs w:val="20"/>
          <w:color w:val="auto"/>
        </w:rPr>
      </w:pPr>
    </w:p>
    <w:p>
      <w:pPr>
        <w:sectPr>
          <w:pgSz w:w="11900" w:h="16838" w:orient="portrait"/>
          <w:cols w:equalWidth="0" w:num="3">
            <w:col w:w="4380" w:space="720"/>
            <w:col w:w="3740" w:space="720"/>
            <w:col w:w="1460"/>
          </w:cols>
          <w:pgMar w:left="440" w:top="274" w:right="4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w:t>
      </w:r>
    </w:p>
    <w:p>
      <w:pPr>
        <w:spacing w:after="0" w:line="144" w:lineRule="exact"/>
        <w:rPr>
          <w:sz w:val="20"/>
          <w:szCs w:val="20"/>
          <w:color w:val="auto"/>
        </w:rPr>
      </w:pPr>
    </w:p>
    <w:p>
      <w:pPr>
        <w:sectPr>
          <w:pgSz w:w="11900" w:h="16838" w:orient="portrait"/>
          <w:cols w:equalWidth="0" w:num="2">
            <w:col w:w="780" w:space="720"/>
            <w:col w:w="9520"/>
          </w:cols>
          <w:pgMar w:left="440" w:top="274" w:right="439" w:bottom="1440" w:gutter="0" w:footer="0" w:header="0"/>
          <w:type w:val="continuous"/>
        </w:sectPr>
      </w:pPr>
    </w:p>
    <w:p>
      <w:pPr>
        <w:ind w:left="1500" w:hanging="748"/>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Fulcrum Therapeutics,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00" w:hanging="748"/>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jc w:val="both"/>
        <w:ind w:left="1500" w:right="7840"/>
        <w:spacing w:after="0" w:line="342" w:lineRule="auto"/>
        <w:rPr>
          <w:rFonts w:ascii="Arial" w:cs="Arial" w:eastAsia="Arial" w:hAnsi="Arial"/>
          <w:sz w:val="18"/>
          <w:szCs w:val="18"/>
          <w:color w:val="auto"/>
        </w:rPr>
      </w:pPr>
      <w:r>
        <w:rPr>
          <w:rFonts w:ascii="Arial" w:cs="Arial" w:eastAsia="Arial" w:hAnsi="Arial"/>
          <w:sz w:val="16"/>
          <w:szCs w:val="16"/>
          <w:color w:val="auto"/>
        </w:rPr>
        <w:t>26 Landsdowne Street Cambridge, MA 02139</w:t>
      </w:r>
    </w:p>
    <w:p>
      <w:pPr>
        <w:spacing w:after="0" w:line="24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000" w:hanging="2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113"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Third Rock Ventures III, L.P. (“</w:t>
      </w:r>
      <w:r>
        <w:rPr>
          <w:rFonts w:ascii="Arial" w:cs="Arial" w:eastAsia="Arial" w:hAnsi="Arial"/>
          <w:sz w:val="18"/>
          <w:szCs w:val="18"/>
          <w:b w:val="1"/>
          <w:bCs w:val="1"/>
          <w:color w:val="auto"/>
        </w:rPr>
        <w:t>TRV III</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Third Rock Ventures GP III, L.P. (“</w:t>
      </w:r>
      <w:r>
        <w:rPr>
          <w:rFonts w:ascii="Arial" w:cs="Arial" w:eastAsia="Arial" w:hAnsi="Arial"/>
          <w:sz w:val="18"/>
          <w:szCs w:val="18"/>
          <w:b w:val="1"/>
          <w:bCs w:val="1"/>
          <w:color w:val="auto"/>
        </w:rPr>
        <w:t>TRV GP III</w:t>
      </w:r>
      <w:r>
        <w:rPr>
          <w:rFonts w:ascii="Arial" w:cs="Arial" w:eastAsia="Arial" w:hAnsi="Arial"/>
          <w:sz w:val="18"/>
          <w:szCs w:val="18"/>
          <w:color w:val="auto"/>
        </w:rPr>
        <w:t>”), which is the sole general partner of TRV III;</w:t>
      </w:r>
    </w:p>
    <w:p>
      <w:pPr>
        <w:spacing w:after="0" w:line="130"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TRV GP III, LLC (“</w:t>
      </w:r>
      <w:r>
        <w:rPr>
          <w:rFonts w:ascii="Arial" w:cs="Arial" w:eastAsia="Arial" w:hAnsi="Arial"/>
          <w:sz w:val="18"/>
          <w:szCs w:val="18"/>
          <w:b w:val="1"/>
          <w:bCs w:val="1"/>
          <w:color w:val="auto"/>
        </w:rPr>
        <w:t>TRV GP III LLC</w:t>
      </w:r>
      <w:r>
        <w:rPr>
          <w:rFonts w:ascii="Arial" w:cs="Arial" w:eastAsia="Arial" w:hAnsi="Arial"/>
          <w:sz w:val="18"/>
          <w:szCs w:val="18"/>
          <w:color w:val="auto"/>
        </w:rPr>
        <w:t>”), which is the sole general partner of TRV GP III;</w:t>
      </w:r>
    </w:p>
    <w:p>
      <w:pPr>
        <w:spacing w:after="0" w:line="130"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Third Rock Ventures IV, L.P. (“</w:t>
      </w:r>
      <w:r>
        <w:rPr>
          <w:rFonts w:ascii="Arial" w:cs="Arial" w:eastAsia="Arial" w:hAnsi="Arial"/>
          <w:sz w:val="18"/>
          <w:szCs w:val="18"/>
          <w:b w:val="1"/>
          <w:bCs w:val="1"/>
          <w:color w:val="auto"/>
        </w:rPr>
        <w:t>TRV IV</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Third Rock Ventures GP IV, L.P. (“</w:t>
      </w:r>
      <w:r>
        <w:rPr>
          <w:rFonts w:ascii="Arial" w:cs="Arial" w:eastAsia="Arial" w:hAnsi="Arial"/>
          <w:sz w:val="18"/>
          <w:szCs w:val="18"/>
          <w:b w:val="1"/>
          <w:bCs w:val="1"/>
          <w:color w:val="auto"/>
        </w:rPr>
        <w:t>TRV GP IV</w:t>
      </w:r>
      <w:r>
        <w:rPr>
          <w:rFonts w:ascii="Arial" w:cs="Arial" w:eastAsia="Arial" w:hAnsi="Arial"/>
          <w:sz w:val="18"/>
          <w:szCs w:val="18"/>
          <w:color w:val="auto"/>
        </w:rPr>
        <w:t>”), which is the sole general partner of TRV IV;</w:t>
      </w:r>
    </w:p>
    <w:p>
      <w:pPr>
        <w:spacing w:after="0" w:line="130"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TRV GP IV, LLC (“</w:t>
      </w:r>
      <w:r>
        <w:rPr>
          <w:rFonts w:ascii="Arial" w:cs="Arial" w:eastAsia="Arial" w:hAnsi="Arial"/>
          <w:sz w:val="18"/>
          <w:szCs w:val="18"/>
          <w:b w:val="1"/>
          <w:bCs w:val="1"/>
          <w:color w:val="auto"/>
        </w:rPr>
        <w:t>TRV GP IV LLC</w:t>
      </w:r>
      <w:r>
        <w:rPr>
          <w:rFonts w:ascii="Arial" w:cs="Arial" w:eastAsia="Arial" w:hAnsi="Arial"/>
          <w:sz w:val="18"/>
          <w:szCs w:val="18"/>
          <w:color w:val="auto"/>
        </w:rPr>
        <w:t>”), which is the sole general partner of TRV GP IV;</w:t>
      </w:r>
    </w:p>
    <w:p>
      <w:pPr>
        <w:spacing w:after="0" w:line="130"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Mark Levin (“</w:t>
      </w:r>
      <w:r>
        <w:rPr>
          <w:rFonts w:ascii="Arial" w:cs="Arial" w:eastAsia="Arial" w:hAnsi="Arial"/>
          <w:sz w:val="18"/>
          <w:szCs w:val="18"/>
          <w:b w:val="1"/>
          <w:bCs w:val="1"/>
          <w:color w:val="auto"/>
        </w:rPr>
        <w:t>Levin</w:t>
      </w:r>
      <w:r>
        <w:rPr>
          <w:rFonts w:ascii="Arial" w:cs="Arial" w:eastAsia="Arial" w:hAnsi="Arial"/>
          <w:sz w:val="18"/>
          <w:szCs w:val="18"/>
          <w:color w:val="auto"/>
        </w:rPr>
        <w:t>”), a managing member of TRV GP III LLC;</w:t>
      </w:r>
    </w:p>
    <w:p>
      <w:pPr>
        <w:spacing w:after="0" w:line="130" w:lineRule="exact"/>
        <w:rPr>
          <w:rFonts w:ascii="Arial" w:cs="Arial" w:eastAsia="Arial" w:hAnsi="Arial"/>
          <w:sz w:val="18"/>
          <w:szCs w:val="18"/>
          <w:color w:val="auto"/>
        </w:rPr>
      </w:pPr>
    </w:p>
    <w:p>
      <w:pPr>
        <w:ind w:left="2300" w:hanging="432"/>
        <w:spacing w:after="0"/>
        <w:tabs>
          <w:tab w:leader="none" w:pos="2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Kevin P. Starr (“</w:t>
      </w:r>
      <w:r>
        <w:rPr>
          <w:rFonts w:ascii="Arial" w:cs="Arial" w:eastAsia="Arial" w:hAnsi="Arial"/>
          <w:sz w:val="18"/>
          <w:szCs w:val="18"/>
          <w:b w:val="1"/>
          <w:bCs w:val="1"/>
          <w:color w:val="auto"/>
        </w:rPr>
        <w:t>Starr</w:t>
      </w:r>
      <w:r>
        <w:rPr>
          <w:rFonts w:ascii="Arial" w:cs="Arial" w:eastAsia="Arial" w:hAnsi="Arial"/>
          <w:sz w:val="18"/>
          <w:szCs w:val="18"/>
          <w:color w:val="auto"/>
        </w:rPr>
        <w:t>”), a managing member of TRV GP III LLC; and</w:t>
      </w:r>
    </w:p>
    <w:p>
      <w:pPr>
        <w:spacing w:after="0" w:line="130" w:lineRule="exact"/>
        <w:rPr>
          <w:rFonts w:ascii="Arial" w:cs="Arial" w:eastAsia="Arial" w:hAnsi="Arial"/>
          <w:sz w:val="18"/>
          <w:szCs w:val="18"/>
          <w:color w:val="auto"/>
        </w:rPr>
      </w:pPr>
    </w:p>
    <w:p>
      <w:pPr>
        <w:ind w:left="2320" w:right="260" w:hanging="452"/>
        <w:spacing w:after="0" w:line="282" w:lineRule="auto"/>
        <w:tabs>
          <w:tab w:leader="none" w:pos="2310" w:val="left"/>
        </w:tabs>
        <w:numPr>
          <w:ilvl w:val="1"/>
          <w:numId w:val="6"/>
        </w:numPr>
        <w:rPr>
          <w:rFonts w:ascii="Arial" w:cs="Arial" w:eastAsia="Arial" w:hAnsi="Arial"/>
          <w:sz w:val="18"/>
          <w:szCs w:val="18"/>
          <w:color w:val="auto"/>
        </w:rPr>
      </w:pPr>
      <w:r>
        <w:rPr>
          <w:rFonts w:ascii="Arial" w:cs="Arial" w:eastAsia="Arial" w:hAnsi="Arial"/>
          <w:sz w:val="18"/>
          <w:szCs w:val="18"/>
          <w:color w:val="auto"/>
        </w:rPr>
        <w:t>Robert I. Tepper (“</w:t>
      </w:r>
      <w:r>
        <w:rPr>
          <w:rFonts w:ascii="Arial" w:cs="Arial" w:eastAsia="Arial" w:hAnsi="Arial"/>
          <w:sz w:val="18"/>
          <w:szCs w:val="18"/>
          <w:b w:val="1"/>
          <w:bCs w:val="1"/>
          <w:color w:val="auto"/>
        </w:rPr>
        <w:t>Tepper</w:t>
      </w:r>
      <w:r>
        <w:rPr>
          <w:rFonts w:ascii="Arial" w:cs="Arial" w:eastAsia="Arial" w:hAnsi="Arial"/>
          <w:sz w:val="18"/>
          <w:szCs w:val="18"/>
          <w:color w:val="auto"/>
        </w:rPr>
        <w:t>,” and collectively with TRV III, TRV GP III, TRV GP III LLC, TRV IV, TRV GP IV, TRV GP IV LLC, Levin and Starr, the “</w:t>
      </w:r>
      <w:r>
        <w:rPr>
          <w:rFonts w:ascii="Arial" w:cs="Arial" w:eastAsia="Arial" w:hAnsi="Arial"/>
          <w:sz w:val="18"/>
          <w:szCs w:val="18"/>
          <w:b w:val="1"/>
          <w:bCs w:val="1"/>
          <w:color w:val="auto"/>
        </w:rPr>
        <w:t>Reporting Persons</w:t>
      </w:r>
      <w:r>
        <w:rPr>
          <w:rFonts w:ascii="Arial" w:cs="Arial" w:eastAsia="Arial" w:hAnsi="Arial"/>
          <w:sz w:val="18"/>
          <w:szCs w:val="18"/>
          <w:color w:val="auto"/>
        </w:rPr>
        <w:t>”), a managing member of TRV GP III LLC.</w:t>
      </w:r>
    </w:p>
    <w:p>
      <w:pPr>
        <w:spacing w:after="0" w:line="71" w:lineRule="exact"/>
        <w:rPr>
          <w:sz w:val="20"/>
          <w:szCs w:val="20"/>
          <w:color w:val="auto"/>
        </w:rPr>
      </w:pPr>
    </w:p>
    <w:p>
      <w:pPr>
        <w:ind w:left="1500" w:right="8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is Third Rock Ventures, LLC, 29 Newbury Street, 3rd Floor, Boston, MA 02116.</w:t>
      </w:r>
    </w:p>
    <w:p>
      <w:pPr>
        <w:spacing w:after="0" w:line="76" w:lineRule="exact"/>
        <w:rPr>
          <w:sz w:val="20"/>
          <w:szCs w:val="20"/>
          <w:color w:val="auto"/>
        </w:rPr>
      </w:pPr>
    </w:p>
    <w:p>
      <w:pPr>
        <w:ind w:left="1500" w:right="200"/>
        <w:spacing w:after="0" w:line="277" w:lineRule="auto"/>
        <w:rPr>
          <w:sz w:val="20"/>
          <w:szCs w:val="20"/>
          <w:color w:val="auto"/>
        </w:rPr>
      </w:pPr>
      <w:r>
        <w:rPr>
          <w:rFonts w:ascii="Arial" w:cs="Arial" w:eastAsia="Arial" w:hAnsi="Arial"/>
          <w:sz w:val="18"/>
          <w:szCs w:val="18"/>
          <w:color w:val="auto"/>
        </w:rPr>
        <w:t>Each of TRV III, TRV GP III, TRV IV and TRV GP IV is a Delaware limited partnership. Each of TRV GP III LLC and TRV GP IV LLC is a Delaware limited liability company. Levin, Tepper and Starr are United States citizens.</w:t>
      </w:r>
    </w:p>
    <w:p>
      <w:pPr>
        <w:spacing w:after="0" w:line="76" w:lineRule="exact"/>
        <w:rPr>
          <w:sz w:val="20"/>
          <w:szCs w:val="20"/>
          <w:color w:val="auto"/>
        </w:rPr>
      </w:pPr>
    </w:p>
    <w:p>
      <w:pPr>
        <w:ind w:left="1500" w:hanging="748"/>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500" w:right="8320" w:hanging="748"/>
        <w:spacing w:after="0" w:line="500" w:lineRule="auto"/>
        <w:tabs>
          <w:tab w:leader="none" w:pos="1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359616109</w:t>
      </w:r>
    </w:p>
    <w:p>
      <w:pPr>
        <w:spacing w:after="0" w:line="1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1500" w:hanging="748"/>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ectPr>
          <w:pgSz w:w="11900" w:h="16838" w:orient="portrait"/>
          <w:cols w:equalWidth="0" w:num="1">
            <w:col w:w="11020"/>
          </w:cols>
          <w:pgMar w:left="440" w:top="274" w:right="4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w w:val="92"/>
              </w:rPr>
              <w:t>CUSIP No. 359616109</w:t>
            </w:r>
          </w:p>
        </w:tc>
        <w:tc>
          <w:tcPr>
            <w:tcW w:w="6460" w:type="dxa"/>
            <w:vAlign w:val="bottom"/>
          </w:tcPr>
          <w:p>
            <w:pPr>
              <w:ind w:left="3380"/>
              <w:spacing w:after="0"/>
              <w:rPr>
                <w:sz w:val="20"/>
                <w:szCs w:val="20"/>
                <w:color w:val="auto"/>
              </w:rPr>
            </w:pPr>
            <w:r>
              <w:rPr>
                <w:rFonts w:ascii="Arial" w:cs="Arial" w:eastAsia="Arial" w:hAnsi="Arial"/>
                <w:sz w:val="18"/>
                <w:szCs w:val="18"/>
                <w:color w:val="auto"/>
              </w:rPr>
              <w:t>SCHEDULE 13G</w:t>
            </w:r>
          </w:p>
        </w:tc>
        <w:tc>
          <w:tcPr>
            <w:tcW w:w="2840" w:type="dxa"/>
            <w:vAlign w:val="bottom"/>
          </w:tcPr>
          <w:p>
            <w:pPr>
              <w:ind w:left="1380"/>
              <w:spacing w:after="0"/>
              <w:rPr>
                <w:sz w:val="20"/>
                <w:szCs w:val="20"/>
                <w:color w:val="auto"/>
              </w:rPr>
            </w:pPr>
            <w:r>
              <w:rPr>
                <w:rFonts w:ascii="Arial" w:cs="Arial" w:eastAsia="Arial" w:hAnsi="Arial"/>
                <w:sz w:val="18"/>
                <w:szCs w:val="18"/>
                <w:color w:val="auto"/>
                <w:w w:val="85"/>
              </w:rPr>
              <w:t>Page 12 of 15 Pages</w:t>
            </w:r>
          </w:p>
        </w:tc>
      </w:tr>
      <w:tr>
        <w:trPr>
          <w:trHeight w:val="472"/>
        </w:trPr>
        <w:tc>
          <w:tcPr>
            <w:tcW w:w="860" w:type="dxa"/>
            <w:vAlign w:val="bottom"/>
          </w:tcPr>
          <w:p>
            <w:pPr>
              <w:ind w:left="540"/>
              <w:spacing w:after="0"/>
              <w:rPr>
                <w:sz w:val="20"/>
                <w:szCs w:val="20"/>
                <w:color w:val="auto"/>
              </w:rPr>
            </w:pPr>
            <w:r>
              <w:rPr>
                <w:rFonts w:ascii="Arial" w:cs="Arial" w:eastAsia="Arial" w:hAnsi="Arial"/>
                <w:sz w:val="18"/>
                <w:szCs w:val="18"/>
                <w:color w:val="auto"/>
              </w:rPr>
              <w:t>(i)</w:t>
            </w:r>
          </w:p>
        </w:tc>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300" w:type="dxa"/>
            <w:vAlign w:val="bottom"/>
            <w:gridSpan w:val="2"/>
          </w:tcPr>
          <w:p>
            <w:pPr>
              <w:ind w:left="4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w:t>
            </w:r>
          </w:p>
        </w:tc>
      </w:tr>
      <w:tr>
        <w:trPr>
          <w:trHeight w:val="230"/>
        </w:trPr>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rPr>
              <w:t>Act of 1940;</w:t>
            </w:r>
          </w:p>
        </w:tc>
        <w:tc>
          <w:tcPr>
            <w:tcW w:w="2840" w:type="dxa"/>
            <w:vAlign w:val="bottom"/>
          </w:tcPr>
          <w:p>
            <w:pPr>
              <w:spacing w:after="0"/>
              <w:rPr>
                <w:sz w:val="20"/>
                <w:szCs w:val="20"/>
                <w:color w:val="auto"/>
              </w:rPr>
            </w:pPr>
          </w:p>
        </w:tc>
      </w:tr>
      <w:tr>
        <w:trPr>
          <w:trHeight w:val="344"/>
        </w:trPr>
        <w:tc>
          <w:tcPr>
            <w:tcW w:w="860" w:type="dxa"/>
            <w:vAlign w:val="bottom"/>
          </w:tcPr>
          <w:p>
            <w:pPr>
              <w:ind w:left="540"/>
              <w:spacing w:after="0"/>
              <w:rPr>
                <w:sz w:val="20"/>
                <w:szCs w:val="20"/>
                <w:color w:val="auto"/>
              </w:rPr>
            </w:pPr>
            <w:r>
              <w:rPr>
                <w:rFonts w:ascii="Arial" w:cs="Arial" w:eastAsia="Arial" w:hAnsi="Arial"/>
                <w:sz w:val="18"/>
                <w:szCs w:val="18"/>
                <w:color w:val="auto"/>
              </w:rPr>
              <w:t>(j)</w:t>
            </w:r>
          </w:p>
        </w:tc>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6460" w:type="dxa"/>
            <w:vAlign w:val="bottom"/>
          </w:tcPr>
          <w:p>
            <w:pPr>
              <w:ind w:left="40"/>
              <w:spacing w:after="0"/>
              <w:rPr>
                <w:sz w:val="20"/>
                <w:szCs w:val="20"/>
                <w:color w:val="auto"/>
              </w:rPr>
            </w:pPr>
            <w:r>
              <w:rPr>
                <w:rFonts w:ascii="Arial" w:cs="Arial" w:eastAsia="Arial" w:hAnsi="Arial"/>
                <w:sz w:val="18"/>
                <w:szCs w:val="18"/>
                <w:color w:val="auto"/>
              </w:rPr>
              <w:t>A non-U.S. institution in accordance with Rule 240.13d-1(b)(1)(ii)(J);</w:t>
            </w:r>
          </w:p>
        </w:tc>
        <w:tc>
          <w:tcPr>
            <w:tcW w:w="2840" w:type="dxa"/>
            <w:vAlign w:val="bottom"/>
          </w:tcPr>
          <w:p>
            <w:pPr>
              <w:spacing w:after="0"/>
              <w:rPr>
                <w:sz w:val="24"/>
                <w:szCs w:val="24"/>
                <w:color w:val="auto"/>
              </w:rPr>
            </w:pPr>
          </w:p>
        </w:tc>
      </w:tr>
      <w:tr>
        <w:trPr>
          <w:trHeight w:val="290"/>
        </w:trPr>
        <w:tc>
          <w:tcPr>
            <w:tcW w:w="860" w:type="dxa"/>
            <w:vAlign w:val="bottom"/>
          </w:tcPr>
          <w:p>
            <w:pPr>
              <w:ind w:left="540"/>
              <w:spacing w:after="0"/>
              <w:rPr>
                <w:sz w:val="20"/>
                <w:szCs w:val="20"/>
                <w:color w:val="auto"/>
              </w:rPr>
            </w:pPr>
            <w:r>
              <w:rPr>
                <w:rFonts w:ascii="Arial" w:cs="Arial" w:eastAsia="Arial" w:hAnsi="Arial"/>
                <w:sz w:val="18"/>
                <w:szCs w:val="18"/>
                <w:color w:val="auto"/>
              </w:rPr>
              <w:t>(k)</w:t>
            </w:r>
          </w:p>
        </w:tc>
        <w:tc>
          <w:tcPr>
            <w:tcW w:w="8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9300" w:type="dxa"/>
            <w:vAlign w:val="bottom"/>
            <w:gridSpan w:val="2"/>
          </w:tcPr>
          <w:p>
            <w:pPr>
              <w:ind w:left="40"/>
              <w:spacing w:after="0"/>
              <w:rPr>
                <w:sz w:val="20"/>
                <w:szCs w:val="20"/>
                <w:color w:val="auto"/>
              </w:rPr>
            </w:pPr>
            <w:r>
              <w:rPr>
                <w:rFonts w:ascii="Arial" w:cs="Arial" w:eastAsia="Arial" w:hAnsi="Arial"/>
                <w:sz w:val="18"/>
                <w:szCs w:val="18"/>
                <w:color w:val="auto"/>
              </w:rPr>
              <w:t>Group, in accordance with Rule 240.13d-1(b)(1)(ii)(K). If filing as a non-U.S. institution in accordance with Rule</w:t>
            </w:r>
          </w:p>
        </w:tc>
      </w:tr>
      <w:tr>
        <w:trPr>
          <w:trHeight w:val="230"/>
        </w:trPr>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460" w:type="dxa"/>
            <w:vAlign w:val="bottom"/>
          </w:tcPr>
          <w:p>
            <w:pPr>
              <w:ind w:left="40"/>
              <w:spacing w:after="0"/>
              <w:rPr>
                <w:sz w:val="20"/>
                <w:szCs w:val="20"/>
                <w:color w:val="auto"/>
              </w:rPr>
            </w:pPr>
            <w:r>
              <w:rPr>
                <w:rFonts w:ascii="Arial" w:cs="Arial" w:eastAsia="Arial" w:hAnsi="Arial"/>
                <w:sz w:val="18"/>
                <w:szCs w:val="18"/>
                <w:color w:val="auto"/>
              </w:rPr>
              <w:t>240.13d-1(b)(1)(ii)(J), please specify the type of institution:</w:t>
            </w:r>
          </w:p>
        </w:tc>
        <w:tc>
          <w:tcPr>
            <w:tcW w:w="2840" w:type="dxa"/>
            <w:vAlign w:val="bottom"/>
          </w:tcPr>
          <w:p>
            <w:pPr>
              <w:spacing w:after="0"/>
              <w:rPr>
                <w:sz w:val="20"/>
                <w:szCs w:val="20"/>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3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00" w:hanging="2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13" w:lineRule="exact"/>
        <w:rPr>
          <w:rFonts w:ascii="Arial" w:cs="Arial" w:eastAsia="Arial" w:hAnsi="Arial"/>
          <w:sz w:val="18"/>
          <w:szCs w:val="18"/>
          <w:color w:val="auto"/>
        </w:rPr>
      </w:pPr>
    </w:p>
    <w:p>
      <w:pPr>
        <w:ind w:left="2320" w:right="120" w:hanging="583"/>
        <w:spacing w:after="0" w:line="282" w:lineRule="auto"/>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TRV III directly owns 3,962,202 shares of Common Stock (the “</w:t>
      </w:r>
      <w:r>
        <w:rPr>
          <w:rFonts w:ascii="Arial" w:cs="Arial" w:eastAsia="Arial" w:hAnsi="Arial"/>
          <w:sz w:val="18"/>
          <w:szCs w:val="18"/>
          <w:b w:val="1"/>
          <w:bCs w:val="1"/>
          <w:color w:val="auto"/>
        </w:rPr>
        <w:t>III Shares</w:t>
      </w:r>
      <w:r>
        <w:rPr>
          <w:rFonts w:ascii="Arial" w:cs="Arial" w:eastAsia="Arial" w:hAnsi="Arial"/>
          <w:sz w:val="18"/>
          <w:szCs w:val="18"/>
          <w:color w:val="auto"/>
        </w:rPr>
        <w:t>”), which represents approximately 9.8% of the outstanding shares of Common Stock.</w:t>
      </w:r>
    </w:p>
    <w:p>
      <w:pPr>
        <w:spacing w:after="0" w:line="57" w:lineRule="exact"/>
        <w:rPr>
          <w:rFonts w:ascii="Arial" w:cs="Arial" w:eastAsia="Arial" w:hAnsi="Arial"/>
          <w:sz w:val="18"/>
          <w:szCs w:val="18"/>
          <w:color w:val="auto"/>
        </w:rPr>
      </w:pPr>
    </w:p>
    <w:p>
      <w:pPr>
        <w:ind w:left="2320" w:hanging="583"/>
        <w:spacing w:after="0"/>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TRV GP III is the general partner of TRV III and may be deemed to beneficially own the III Shares.</w:t>
      </w:r>
    </w:p>
    <w:p>
      <w:pPr>
        <w:spacing w:after="0" w:line="117" w:lineRule="exact"/>
        <w:rPr>
          <w:rFonts w:ascii="Arial" w:cs="Arial" w:eastAsia="Arial" w:hAnsi="Arial"/>
          <w:sz w:val="18"/>
          <w:szCs w:val="18"/>
          <w:color w:val="auto"/>
        </w:rPr>
      </w:pPr>
    </w:p>
    <w:p>
      <w:pPr>
        <w:ind w:left="2320" w:hanging="583"/>
        <w:spacing w:after="0"/>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TRV GP III LLC is the general partner of TRV GP III and may be deemed to beneficially own the III Shares.</w:t>
      </w:r>
    </w:p>
    <w:p>
      <w:pPr>
        <w:spacing w:after="0" w:line="113" w:lineRule="exact"/>
        <w:rPr>
          <w:rFonts w:ascii="Arial" w:cs="Arial" w:eastAsia="Arial" w:hAnsi="Arial"/>
          <w:sz w:val="18"/>
          <w:szCs w:val="18"/>
          <w:color w:val="auto"/>
        </w:rPr>
      </w:pPr>
    </w:p>
    <w:p>
      <w:pPr>
        <w:ind w:left="2320" w:right="100" w:hanging="583"/>
        <w:spacing w:after="0" w:line="282" w:lineRule="auto"/>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TRV IV directly owns 2,343,154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which represents approximately 5.8% of the outstanding shares of Common Stock.</w:t>
      </w:r>
    </w:p>
    <w:p>
      <w:pPr>
        <w:spacing w:after="0" w:line="57" w:lineRule="exact"/>
        <w:rPr>
          <w:rFonts w:ascii="Arial" w:cs="Arial" w:eastAsia="Arial" w:hAnsi="Arial"/>
          <w:sz w:val="18"/>
          <w:szCs w:val="18"/>
          <w:color w:val="auto"/>
        </w:rPr>
      </w:pPr>
    </w:p>
    <w:p>
      <w:pPr>
        <w:ind w:left="2320" w:hanging="583"/>
        <w:spacing w:after="0"/>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TRV GP IV is the general partner of TRV IV and may be deemed to beneficially own the Shares.</w:t>
      </w:r>
    </w:p>
    <w:p>
      <w:pPr>
        <w:spacing w:after="0" w:line="117" w:lineRule="exact"/>
        <w:rPr>
          <w:rFonts w:ascii="Arial" w:cs="Arial" w:eastAsia="Arial" w:hAnsi="Arial"/>
          <w:sz w:val="18"/>
          <w:szCs w:val="18"/>
          <w:color w:val="auto"/>
        </w:rPr>
      </w:pPr>
    </w:p>
    <w:p>
      <w:pPr>
        <w:ind w:left="2320" w:hanging="583"/>
        <w:spacing w:after="0"/>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TRV GP IV LLC is the general partner of TRV GP IV and may be deemed to beneficially own the Shares.</w:t>
      </w:r>
    </w:p>
    <w:p>
      <w:pPr>
        <w:spacing w:after="0" w:line="117" w:lineRule="exact"/>
        <w:rPr>
          <w:rFonts w:ascii="Arial" w:cs="Arial" w:eastAsia="Arial" w:hAnsi="Arial"/>
          <w:sz w:val="18"/>
          <w:szCs w:val="18"/>
          <w:color w:val="auto"/>
        </w:rPr>
      </w:pPr>
    </w:p>
    <w:p>
      <w:pPr>
        <w:jc w:val="both"/>
        <w:ind w:left="2320" w:right="320" w:hanging="583"/>
        <w:spacing w:after="0" w:line="259" w:lineRule="auto"/>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a managing member of TRV GP III LLC, Levin may be deemed to beneficially own the III Shares. Additionally, Levin directly owns 75,800 shares of Common Stock. The Levin Family 2014 Irrevocable Trust directly owns 8,423 shares of Common Stock (the “</w:t>
      </w:r>
      <w:r>
        <w:rPr>
          <w:rFonts w:ascii="Arial" w:cs="Arial" w:eastAsia="Arial" w:hAnsi="Arial"/>
          <w:sz w:val="18"/>
          <w:szCs w:val="18"/>
          <w:b w:val="1"/>
          <w:bCs w:val="1"/>
          <w:color w:val="auto"/>
        </w:rPr>
        <w:t>Trust Shares</w:t>
      </w:r>
      <w:r>
        <w:rPr>
          <w:rFonts w:ascii="Arial" w:cs="Arial" w:eastAsia="Arial" w:hAnsi="Arial"/>
          <w:sz w:val="18"/>
          <w:szCs w:val="18"/>
          <w:color w:val="auto"/>
        </w:rPr>
        <w:t>”). As Levin’s spouse is a trustee of the Levin Family 2014 Irrevocable Trust, Levin may be deemed to beneficially own the Trust Shares.</w:t>
      </w:r>
    </w:p>
    <w:p>
      <w:pPr>
        <w:spacing w:after="0" w:line="78" w:lineRule="exact"/>
        <w:rPr>
          <w:rFonts w:ascii="Arial" w:cs="Arial" w:eastAsia="Arial" w:hAnsi="Arial"/>
          <w:sz w:val="18"/>
          <w:szCs w:val="18"/>
          <w:color w:val="auto"/>
        </w:rPr>
      </w:pPr>
    </w:p>
    <w:p>
      <w:pPr>
        <w:ind w:left="2320" w:right="320" w:hanging="583"/>
        <w:spacing w:after="0" w:line="277" w:lineRule="auto"/>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a managing member of TRV GP III LLC Tepper may be deemed to beneficially own the III Shares. Additionally, Tepper directly owns 84,220 shares of Common Stock.</w:t>
      </w:r>
    </w:p>
    <w:p>
      <w:pPr>
        <w:spacing w:after="0" w:line="62" w:lineRule="exact"/>
        <w:rPr>
          <w:rFonts w:ascii="Arial" w:cs="Arial" w:eastAsia="Arial" w:hAnsi="Arial"/>
          <w:sz w:val="18"/>
          <w:szCs w:val="18"/>
          <w:color w:val="auto"/>
        </w:rPr>
      </w:pPr>
    </w:p>
    <w:p>
      <w:pPr>
        <w:ind w:left="2320" w:right="20" w:hanging="583"/>
        <w:spacing w:after="0" w:line="258" w:lineRule="auto"/>
        <w:tabs>
          <w:tab w:leader="none" w:pos="2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a managing member of TRV GP III LLC, Starr may be deemed to beneficially own the III Shares. Additionally, Starr directly owns 84,218 shares of Common Stock.</w:t>
      </w:r>
    </w:p>
    <w:p>
      <w:pPr>
        <w:spacing w:after="0" w:line="1" w:lineRule="exact"/>
        <w:rPr>
          <w:rFonts w:ascii="Arial" w:cs="Arial" w:eastAsia="Arial" w:hAnsi="Arial"/>
          <w:sz w:val="18"/>
          <w:szCs w:val="18"/>
          <w:color w:val="auto"/>
        </w:rPr>
      </w:pPr>
    </w:p>
    <w:p>
      <w:pPr>
        <w:ind w:left="2320" w:right="60"/>
        <w:spacing w:after="0" w:line="253" w:lineRule="auto"/>
        <w:rPr>
          <w:rFonts w:ascii="Arial" w:cs="Arial" w:eastAsia="Arial" w:hAnsi="Arial"/>
          <w:sz w:val="18"/>
          <w:szCs w:val="18"/>
          <w:color w:val="auto"/>
        </w:rPr>
      </w:pPr>
      <w:r>
        <w:rPr>
          <w:rFonts w:ascii="Arial" w:cs="Arial" w:eastAsia="Arial" w:hAnsi="Arial"/>
          <w:sz w:val="18"/>
          <w:szCs w:val="18"/>
          <w:color w:val="auto"/>
        </w:rPr>
        <w:t>Each of TRV III, TRV GP III, TRV GP III LLC, Levin, Starr and Tepper, on the one hand, and TRV IV, TRV GP IV and TRV GP IV LLC, on the other hand, disclaim the existence of a “group” for purposes of Rule 13d-5 of the Securities Exchange Act of 1934, as amended, and nothing contained in this report shall be deemed an admission that any such group exists or may exist</w:t>
      </w:r>
    </w:p>
    <w:p>
      <w:pPr>
        <w:spacing w:after="0" w:line="98" w:lineRule="exact"/>
        <w:rPr>
          <w:sz w:val="20"/>
          <w:szCs w:val="20"/>
          <w:color w:val="auto"/>
        </w:rPr>
      </w:pPr>
    </w:p>
    <w:p>
      <w:pPr>
        <w:ind w:left="1740" w:hanging="988"/>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1"/>
              </w:rPr>
              <w:t>Reporting Person</w:t>
            </w:r>
          </w:p>
        </w:tc>
        <w:tc>
          <w:tcPr>
            <w:tcW w:w="552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gridSpan w:val="7"/>
          </w:tcPr>
          <w:p>
            <w:pPr>
              <w:ind w:left="20"/>
              <w:spacing w:after="0"/>
              <w:rPr>
                <w:sz w:val="20"/>
                <w:szCs w:val="20"/>
                <w:color w:val="auto"/>
              </w:rPr>
            </w:pPr>
            <w:r>
              <w:rPr>
                <w:rFonts w:ascii="Arial" w:cs="Arial" w:eastAsia="Arial" w:hAnsi="Arial"/>
                <w:sz w:val="14"/>
                <w:szCs w:val="14"/>
                <w:b w:val="1"/>
                <w:bCs w:val="1"/>
                <w:color w:val="auto"/>
              </w:rPr>
              <w:t>Number of Shares of Common Stock</w:t>
            </w:r>
          </w:p>
        </w:tc>
        <w:tc>
          <w:tcPr>
            <w:tcW w:w="0" w:type="dxa"/>
            <w:vAlign w:val="bottom"/>
          </w:tcPr>
          <w:p>
            <w:pPr>
              <w:spacing w:after="0"/>
              <w:rPr>
                <w:sz w:val="1"/>
                <w:szCs w:val="1"/>
                <w:color w:val="auto"/>
              </w:rPr>
            </w:pPr>
          </w:p>
        </w:tc>
      </w:tr>
      <w:tr>
        <w:trPr>
          <w:trHeight w:val="149"/>
        </w:trPr>
        <w:tc>
          <w:tcPr>
            <w:tcW w:w="1100" w:type="dxa"/>
            <w:vAlign w:val="bottom"/>
            <w:tcBorders>
              <w:bottom w:val="single" w:sz="8" w:color="auto"/>
            </w:tcBorders>
            <w:vMerge w:val="continue"/>
          </w:tcPr>
          <w:p>
            <w:pPr>
              <w:spacing w:after="0"/>
              <w:rPr>
                <w:sz w:val="12"/>
                <w:szCs w:val="12"/>
                <w:color w:val="auto"/>
              </w:rPr>
            </w:pPr>
          </w:p>
        </w:tc>
        <w:tc>
          <w:tcPr>
            <w:tcW w:w="5520" w:type="dxa"/>
            <w:vAlign w:val="bottom"/>
            <w:vMerge w:val="continue"/>
          </w:tcPr>
          <w:p>
            <w:pPr>
              <w:spacing w:after="0"/>
              <w:rPr>
                <w:sz w:val="12"/>
                <w:szCs w:val="12"/>
                <w:color w:val="auto"/>
              </w:rPr>
            </w:pPr>
          </w:p>
        </w:tc>
        <w:tc>
          <w:tcPr>
            <w:tcW w:w="58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color w:val="auto"/>
              </w:rPr>
              <w:t>(i)</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color w:val="auto"/>
              </w:rPr>
              <w:t>(ii)</w:t>
            </w:r>
          </w:p>
        </w:tc>
        <w:tc>
          <w:tcPr>
            <w:tcW w:w="800" w:type="dxa"/>
            <w:vAlign w:val="bottom"/>
            <w:tcBorders>
              <w:top w:val="single" w:sz="8" w:color="auto"/>
            </w:tcBorders>
            <w:gridSpan w:val="2"/>
          </w:tcPr>
          <w:p>
            <w:pPr>
              <w:ind w:left="160"/>
              <w:spacing w:after="0" w:line="129" w:lineRule="exact"/>
              <w:rPr>
                <w:sz w:val="20"/>
                <w:szCs w:val="20"/>
                <w:color w:val="auto"/>
              </w:rPr>
            </w:pPr>
            <w:r>
              <w:rPr>
                <w:rFonts w:ascii="Arial" w:cs="Arial" w:eastAsia="Arial" w:hAnsi="Arial"/>
                <w:sz w:val="14"/>
                <w:szCs w:val="14"/>
                <w:color w:val="auto"/>
              </w:rPr>
              <w:t>(iii)</w:t>
            </w:r>
          </w:p>
        </w:tc>
        <w:tc>
          <w:tcPr>
            <w:tcW w:w="80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color w:val="auto"/>
              </w:rPr>
              <w:t>(iv)</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TRV III</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3,962,202</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3,962,202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TRV GP III</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3,962,202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3,962,202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TRV GP III LLC</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3,962,202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3,962,202</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TRV IV</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2,343,154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2,343,154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TRV GP IV</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2,343,154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2,343,154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TRV GP IV LLC</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2,343,154</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2,343,154</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Levin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84,223</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3,962,202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84,223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3,962,202</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Starr</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84,218</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3,962,202</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84,218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3,962,202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Tepper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84,220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3,962,202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84,220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3,962,202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12" w:name="page13"/>
    <w:bookmarkEnd w:id="12"/>
    <w:p>
      <w:pPr>
        <w:spacing w:after="0"/>
        <w:tabs>
          <w:tab w:leader="none" w:pos="508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13 of 15 Pages</w:t>
      </w:r>
    </w:p>
    <w:p>
      <w:pPr>
        <w:spacing w:after="0" w:line="279" w:lineRule="exact"/>
        <w:rPr>
          <w:sz w:val="20"/>
          <w:szCs w:val="20"/>
          <w:color w:val="auto"/>
        </w:rPr>
      </w:pPr>
    </w:p>
    <w:p>
      <w:pPr>
        <w:ind w:left="1460" w:hanging="348"/>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1460" w:hanging="348"/>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460" w:hanging="348"/>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460" w:hanging="348"/>
        <w:spacing w:after="0"/>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31" w:lineRule="exact"/>
        <w:rPr>
          <w:sz w:val="20"/>
          <w:szCs w:val="20"/>
          <w:color w:val="auto"/>
        </w:rPr>
      </w:pPr>
    </w:p>
    <w:p>
      <w:pPr>
        <w:ind w:left="760" w:right="120"/>
        <w:spacing w:after="0" w:line="277" w:lineRule="auto"/>
        <w:rPr>
          <w:sz w:val="20"/>
          <w:szCs w:val="20"/>
          <w:color w:val="auto"/>
        </w:rPr>
      </w:pPr>
      <w:r>
        <w:rPr>
          <w:rFonts w:ascii="Arial" w:cs="Arial" w:eastAsia="Arial" w:hAnsi="Arial"/>
          <w:sz w:val="18"/>
          <w:szCs w:val="18"/>
          <w:color w:val="auto"/>
        </w:rPr>
        <w:t>The percent of class was calculated based on 40,548,783 shares of common stock issued and outstanding as of October 28, 2021 as disclosed in the Issuer’s 10-Q filed with the Securities and Exchange Commission on November 4, 2021.</w:t>
      </w:r>
    </w:p>
    <w:p>
      <w:pPr>
        <w:spacing w:after="0" w:line="27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ind w:left="760" w:right="140" w:hanging="755"/>
        <w:spacing w:after="0" w:line="282" w:lineRule="auto"/>
        <w:tabs>
          <w:tab w:leader="none" w:pos="7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3" w:name="page14"/>
    <w:bookmarkEnd w:id="13"/>
    <w:p>
      <w:pPr>
        <w:spacing w:after="0"/>
        <w:tabs>
          <w:tab w:leader="none" w:pos="508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14 of 15 Pages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III,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III,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ectPr>
          <w:pgSz w:w="11900" w:h="16838" w:orient="portrait"/>
          <w:cols w:equalWidth="0" w:num="1">
            <w:col w:w="11020"/>
          </w:cols>
          <w:pgMar w:left="440" w:top="274" w:right="439" w:bottom="1440" w:gutter="0" w:footer="0" w:header="0"/>
        </w:sectPr>
      </w:pPr>
    </w:p>
    <w:bookmarkStart w:id="14" w:name="page15"/>
    <w:bookmarkEnd w:id="14"/>
    <w:p>
      <w:pPr>
        <w:spacing w:after="0"/>
        <w:tabs>
          <w:tab w:leader="none" w:pos="5080" w:val="left"/>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359616109</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5"/>
          <w:szCs w:val="15"/>
          <w:color w:val="auto"/>
        </w:rPr>
        <w:t>Page 15 of 15 Pages</w:t>
      </w:r>
    </w:p>
    <w:p>
      <w:pPr>
        <w:sectPr>
          <w:pgSz w:w="11900" w:h="16838" w:orient="portrait"/>
          <w:cols w:equalWidth="0" w:num="1">
            <w:col w:w="11020"/>
          </w:cols>
          <w:pgMar w:left="440" w:top="274" w:right="439" w:bottom="1440" w:gutter="0" w:footer="0" w:header="0"/>
        </w:sectPr>
      </w:pPr>
    </w:p>
    <w:p>
      <w:pPr>
        <w:spacing w:after="0" w:line="17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IV,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29210</wp:posOffset>
            </wp:positionV>
            <wp:extent cx="2794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KEVIN P. STARR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29210</wp:posOffset>
            </wp:positionV>
            <wp:extent cx="27946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29210</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11020"/>
          </w:cols>
          <w:pgMar w:left="440" w:top="274" w:right="4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00" w:lineRule="exact"/>
        <w:rPr>
          <w:sz w:val="20"/>
          <w:szCs w:val="20"/>
          <w:color w:val="auto"/>
        </w:rPr>
      </w:pPr>
    </w:p>
    <w:p>
      <w:pPr>
        <w:spacing w:after="0" w:line="26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III,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III,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ectPr>
          <w:pgSz w:w="11900" w:h="16838" w:orient="portrait"/>
          <w:cols w:equalWidth="0" w:num="1">
            <w:col w:w="11020"/>
          </w:cols>
          <w:pgMar w:left="440" w:top="121" w:right="439" w:bottom="1440" w:gutter="0" w:footer="0" w:header="0"/>
        </w:sectPr>
      </w:pPr>
    </w:p>
    <w:bookmarkStart w:id="16" w:name="page17"/>
    <w:bookmarkEnd w:id="1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Chief Operating Officer</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THIRD ROCK VENTURES GP IV,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TRV GP IV,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Operating Officer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Levin</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KEVIN P. STARR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P. Starr</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Gillis,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Robert I. Tepper</w:t>
      </w:r>
    </w:p>
    <w:p>
      <w:pPr>
        <w:sectPr>
          <w:pgSz w:w="11900" w:h="16838" w:orient="portrait"/>
          <w:cols w:equalWidth="0" w:num="1">
            <w:col w:w="9019"/>
          </w:cols>
          <w:pgMar w:left="1440" w:top="274"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KNOW ALL MEN BY THESE PRESENTS, that the undersigned hereby constitutes and appoints Kevin Gillis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 Each of the undersigned may execute this power of attorney in separate counterparts, and each counterpart shall be deemed to be an original instrument. This agreement shall be effective as to each of the undersigned as of the date signed by that signatory.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16th day of January, 2014.</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Levin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P. Starr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Robert I. Tepper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lvl w:ilvl="1">
      <w:lvlJc w:val="left"/>
      <w:lvlText w:val="(%2)"/>
      <w:numFmt w:val="lowerRoman"/>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2022-02-14T16:48:43Z</dcterms:created>
  <dcterms:modified xsi:type="dcterms:W3CDTF">2022-02-14T16:48:43Z</dcterms:modified>
</cp:coreProperties>
</file>