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359616109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359616109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SUVRETTA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5,067,394.00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5,067,394.00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5,067,394.00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359616109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AVERILL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4,635,481.00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4,635,481.00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4,635,481.00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359616109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COWEN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5,067,394.00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5,067,394.00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5,067,394.00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Suvretta Capital Management, LLC Averill Master Fund, Ltd. Aaron Cowen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Suvretta Capital Management, LLC 540 Madison Avenue, 7th Floor New York, New York 10022 United States of America Averill Master Fund, Ltd. c/o Maples Corporate Services Limited P.O. Box 309 Ugland House Grand Cayman KY1-1104 Cayman Islands Aaron Cowen c/o Suvretta Capital Management, LLC 540 Madison Avenue, 7th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Suvretta Capital Management, LLC - Delaware Averill Master Fund, Ltd. - Cayman Islands Aaron Cowen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359616109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Suvretta Capital Management, LLC - 5,067,394 Averill Master Fund, Ltd. - 4,635,481 Aaron Cowen - 5,067,394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Suvretta Capital Management, LLC - 9.4% Averill Master Fund, Ltd. - 8.6% Aaron Cowen - 9.4%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Suvretta Capital Management,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Suvretta Capital Management, LLC - 5,067,394 Averill Master Fund, Ltd. - 4,635,481 Aaron Cowen - 5,067,394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Suvretta Capital Management,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Suvretta Capital Management, LLC - 5,067,394 Averill Master Fund, Ltd. - 4,635,481 Aaron Cowen - 5,067,394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Amendment No. 1 are directly owned by advisory clients of Suvretta Capital Management, LLC. None of those advisory clients, other than Averill Master Fund, Ltd., may be deemed to beneficially own more than 5% of the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SUVRETTA CAPITAL MANAGEMENT, LLC</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/s/ Andrew Nathanson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Andrew Nathanson / General Counsel and Chief Compliance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05/02/2025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AVERILL MASTER FUND, LTD.</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/s/ Andrew Nathanson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Andrew Nathanson /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05/02/2025</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AARON COWEN</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By: /s/ Aaron Cowen</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Aaron Cowen</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05/02/2025</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Material to be Filed as Exhibit: [Exhibit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4" w:name="d11788941-ex99_a.htm"/>
      <w:bookmarkStart w:id="25" w:name="ksd11788941ex99_a"/>
      <w:bookmarkEnd w:id="24"/>
      <w:bookmarkEnd w:id="25"/>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1 dated May 2, 2025 relating to the Common Stock, par value $0.001 per share, of Fulcrum Therapeutics, Inc. shall be filed on behalf of the undersigned.</w:t>
      </w:r>
    </w:p>
    <w:tbl>
      <w:tblPr>
        <w:tblW w:w="5270" w:type="dxa"/>
        <w:jc w:val="left"/>
        <w:tblInd w:w="0" w:type="dxa"/>
        <w:tblLayout w:type="fixed"/>
        <w:tblCellMar>
          <w:top w:w="0" w:type="dxa"/>
          <w:left w:w="0" w:type="dxa"/>
          <w:bottom w:w="0" w:type="dxa"/>
          <w:right w:w="0" w:type="dxa"/>
        </w:tblCellMar>
      </w:tblPr>
      <w:tblGrid>
        <w:gridCol w:w="75"/>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SUVRETTA CAPITAL MANAGEMENT,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Title:   General Counsel and Chief Compliance Officer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AVERILL MASTER FUND, LTD.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COWEN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Cowen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caps w:val="false"/>
          <w:smallCaps w:val="false"/>
        </w:rPr>
      </w:pPr>
      <w:r>
        <w:rPr>
          <w:caps w:val="false"/>
          <w:smallCaps w:val="false"/>
        </w:rPr>
        <w:t> </w:t>
      </w:r>
    </w:p>
    <w:p>
      <w:pPr>
        <w:pStyle w:val="TextBody"/>
        <w:bidi w:val="0"/>
        <w:jc w:val="left"/>
        <w:rPr/>
      </w:pPr>
      <w:bookmarkStart w:id="26" w:name="d11788941-ex99_b.htm"/>
      <w:bookmarkStart w:id="27" w:name="ksd11788941ex99_b"/>
      <w:bookmarkEnd w:id="26"/>
      <w:bookmarkEnd w:id="27"/>
      <w:r>
        <w:rPr/>
        <w:t> </w:t>
      </w:r>
      <w:r>
        <w:br w:type="page"/>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B</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Suvretta Capital Management, LLC is the relevant entity for which Aaron Cowen is the control person.</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8216</Characters>
  <CharactersWithSpaces>9749</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